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/>
          <w:color w:val="147F85"/>
          <w:sz w:val="20"/>
        </w:rPr>
        <w:t>产品实现 · 工程评审 · V0.1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17344B"/>
          <w:sz w:val="56"/>
        </w:rPr>
        <w:t>VS Code 与 Blender</w:t>
        <w:br/>
        <w:t>双场景实现设计</w:t>
      </w:r>
    </w:p>
    <w:p>
      <w:r>
        <w:rPr>
          <w:rFonts w:ascii="Noto Sans CJK SC" w:hAnsi="Noto Sans CJK SC" w:eastAsia="Noto Sans CJK SC"/>
          <w:b w:val="0"/>
          <w:color w:val="647580"/>
          <w:sz w:val="24"/>
        </w:rPr>
        <w:t>ComputeAstra  /  从本地项目，到可确认交付的结果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本轮建议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先把 Python/PyTorch 批任务做成一个完整交付闭环，再把 Blender 离线渲染接入同一套系统。两个插件只负责理解各自的工作场景，任务执行、结果、预算和结算由平台统一管理。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499"/>
      </w:tblGrid>
      <w:tr>
        <w:trPr>
          <w:tblHeader/>
        </w:trPr>
        <w:tc>
          <w:tcPr>
            <w:tcW w:type="dxa" w:w="1361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91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用户入口</w:t>
            </w:r>
          </w:p>
        </w:tc>
        <w:tc>
          <w:tcPr>
            <w:tcW w:type="dxa" w:w="5499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第一版交付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代码计算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VS Code 插件 + 轻量任务工具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已有项目的单机单卡评测/批推理；交付指标、文件与日志。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离线渲染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Blender 插件 + 同一轻量工具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受支持版本下的 Cycles 静帧与独立动画帧；交付完整帧序列。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共用后台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现有 Web / Worker 的新增任务能力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统一 TaskSpec、Artifact、Reservation、Attempt、计量和费用终态。</w:t>
            </w:r>
          </w:p>
        </w:tc>
      </w:tr>
    </w:tbl>
    <w:p>
      <w:pPr>
        <w:spacing w:after="20"/>
      </w:pPr>
    </w:p>
    <w:p>
      <w:pPr>
        <w:pStyle w:val="Heading2"/>
      </w:pPr>
      <w:r>
        <w:t>适用范围与证据口径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本稿是新增的建议设计，不代表相关功能已经上线；未读取当前代码仓库，具体数据库与接口需在联调前核对。用户提供的调研报告支撑责任与生命周期边界，不包含这套完整架构。技术文档核查用于限定插件能力，不能代替实机验证。[R1][R2]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本稿作为接入专项评审材料，定稿后分别归入既有《架构设计文档》《任务创建与执行——前后端详细设计文档》《API 文档》，不另建互相冲突的长期主文档。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阅读路径：第 2—3 页看总体设计；第 4—6 页看 VS Code；第 7—9 页看 Blender；第 10—12 页看公共工程；第 13—14 页看任务示例；第 15—16 页看验收与排期；第 17 页为来源。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01  /  专项实现设计</w:t>
      </w:r>
    </w:p>
    <w:p>
      <w:pPr>
        <w:pStyle w:val="Heading1"/>
      </w:pPr>
      <w:r>
        <w:t>总体架构与首发边界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目标：两个轻量入口，一套能脱离客户端继续工作的任务执行与结果系统。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3969"/>
      </w:tblGrid>
      <w:tr>
        <w:trPr>
          <w:tblHeader/>
        </w:trPr>
        <w:tc>
          <w:tcPr>
            <w:tcW w:type="dxa" w:w="1757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02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969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不应承担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VS Code 插件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读取被授权的项目上下文；确认计划；提交；显示日志和结果。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不替平台调度；不要求编辑器常开；不接管所有 F5/终端命令。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Blender 插件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读取场景；生成快照；识别资产；确认帧范围与输出；展示进度。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不在编辑中的工程上改路径；不把渲染放进 UI 主进程。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Local Helper / CLI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共享的项目检查、哈希、上传、下载和本地任务记录；可独立调用。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不默认常驻；不默认接入供给；不要求需求用户安装 Docker。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平台控制面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TaskSpec、计划、授权、预算、队列、Reservation、Attempt、事件与审计。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不在控制服务内执行用户 Python、构建脚本或反序列化模型。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执行与数据面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隔离构建、Python/Blender Runner、Worker、Artifact 存储和校验。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不把临时节点磁盘当结果存储；不认为容器可以对宿主保密。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Web 与供给 Worker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Web 承接全局任务、账单和团队；Worker 承接设备、资源执行与出租。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需求端插件不自动开启出租；固定租期不被自用优先随意打断。</w:t>
            </w:r>
          </w:p>
        </w:tc>
      </w:tr>
    </w:tbl>
    <w:p>
      <w:pPr>
        <w:spacing w:after="20"/>
      </w:pPr>
    </w:p>
    <w:p>
      <w:pPr>
        <w:pStyle w:val="Heading2"/>
      </w:pPr>
      <w:r>
        <w:t>共用的业务链路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项目或场景 → 本地只读检查 → 上传与消费授权 → 不可变输入快照 → 构建/试跑 → 确认有效计划 → 资源预定 → 执行 → 结果校验与持久保存 → 释放并确认费用 → 回传原工作位置。</w:t>
      </w:r>
    </w:p>
    <w:p>
      <w:pPr>
        <w:pStyle w:val="Heading2"/>
      </w:pPr>
      <w:r>
        <w:t>首发范围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代码侧先做 Windows/Linux 桌面中的普通本地工作区，目标执行环境为经过测试的 Linux/NVIDIA GPU 组合；WSL/SSH/容器工作区单独验收后开放。渲染侧先固定一个受支持 Blender 版本系列、明确补丁版本与 Cycles 运行环境。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两个禁止扩大的承诺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不做任意运行中进程的透明迁移；不把多台电脑的显存合并成一张大显卡。多节点首先用于相互独立的实验或帧任务。</w:t>
            </w:r>
          </w:p>
        </w:tc>
      </w:tr>
    </w:tbl>
    <w:p>
      <w:pPr>
        <w:spacing w:after="20"/>
      </w:pP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依据：[R1] 第 1、7、9 章；[R2] 首发任务与资源策略。组件边界为本次建议。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02  /  专项实现设计</w:t>
      </w:r>
    </w:p>
    <w:p>
      <w:pPr>
        <w:pStyle w:val="Heading1"/>
      </w:pPr>
      <w:r>
        <w:t>核心领域模型与状态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沿用 TaskSpec、Artifact、Reservation、ExecutionPlan 与 Settlement；增加接入和分片所需最小对象。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42"/>
        <w:gridCol w:w="3742"/>
      </w:tblGrid>
      <w:tr>
        <w:trPr>
          <w:tblHeader/>
        </w:trPr>
        <w:tc>
          <w:tcPr>
            <w:tcW w:type="dxa" w:w="2268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742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最小内容</w:t>
            </w:r>
          </w:p>
        </w:tc>
        <w:tc>
          <w:tcPr>
            <w:tcW w:type="dxa" w:w="3742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关键不变量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ProjectSnapshot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文件清单、摘要、输入引用、来源工作区和授权范围。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提交后不可变；运行期间的本地修改不会改变本次任务。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TaskSpec / Task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版本化任务定义 / 一次用户提交的任务身份。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声明与运行分离；更改语义生成新版本。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ResourcePlan / ExecutionPlan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资源约束、候选 / 执行位置、环境、数据路由、成本与恢复计划。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执行前锁定已授权的计划摘要；变更越界需重新确认。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WorkUnit / Attempt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独立实验或帧单元 / 单元的一次实际尝试。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重试保留原尝试；只接收合法租约对应结果。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Reservation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节点、资源片、时间窗口、执行租约和隔离代次。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同一资源不能同时卖给直接租赁和托管任务。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Artifact / Delivery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结果文件及验证信息 / 对一个回传目标的传输与确认。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结果持久保存和回到用户电脑是两个状态。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BudgetHold / Settlement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任务总预算预留 / 用量、用户费用、资源方收入与平台服务费。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子任务共享总预算；重放事件不产生重复结算。</w:t>
            </w:r>
          </w:p>
        </w:tc>
      </w:tr>
    </w:tbl>
    <w:p>
      <w:pPr>
        <w:spacing w:after="20"/>
      </w:pPr>
    </w:p>
    <w:p>
      <w:pPr>
        <w:pStyle w:val="Heading2"/>
      </w:pPr>
      <w:r>
        <w:t>四条状态轴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执行：待准备 → 排队 → 运行 → 结束（成功/失败/取消）。结果：待生成 → 部分可用 → 校验中 → 已保存/无效。回传：等待 → 下载中 → 已校验/冲突/失败。费用：预留 → 累计 → 止费处理中 → 止费确认 → 结算完成。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任务详情把四条轴聚合展示，不相互冒充。客户端离线时可以显示“计算完成、结果已保存、等待同步”；必需结果缺失时不能显示“结果已交付”。取消与预算耗尽仍保留已有结果，但标为部分交付。</w:t>
      </w:r>
    </w:p>
    <w:p>
      <w:pPr>
        <w:pStyle w:val="Heading2"/>
      </w:pPr>
      <w:r>
        <w:t>前端与 Web 的衔接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插件内部只保留“项目配置—运行计划—任务详情—结果”四个视图状态；任务详情以 task_id 深链打开 Web 的 /tasks/{task_id}。同一账号在插件、CLI 与 Web 看同一个任务，不复制数据库状态。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依据：[R1] 第 33—34 页 Task 与 Artifact 的区别、第 45 页生命周期与费用。新对象和路由均为拟议。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03  /  专项实现设计</w:t>
      </w:r>
    </w:p>
    <w:p>
      <w:pPr>
        <w:pStyle w:val="Heading1"/>
      </w:pPr>
      <w:r>
        <w:t>场景 A：VS Code 用户流程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示例：用户已有 MOTSP 模型评测项目，需要额外 GPU 执行，并把指标与日志带回项目。</w:t>
      </w:r>
    </w:p>
    <w:p>
      <w:pPr>
        <w:pStyle w:val="Heading2"/>
      </w:pPr>
      <w:r>
        <w:t>入口与页面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在项目右键菜单和命令面板增加“ComputeAstra：运行当前项目”。侧边栏显示当前项目任务与近期结果；运行配置用一张计划卡，不把资源市场与账单表复制进编辑器。普通用户不必学习 CLI。[E1]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12"/>
        <w:gridCol w:w="4365"/>
      </w:tblGrid>
      <w:tr>
        <w:trPr>
          <w:tblHeader/>
        </w:trPr>
        <w:tc>
          <w:tcPr>
            <w:tcW w:type="dxa" w:w="1474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912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用户看见什么</w:t>
            </w:r>
          </w:p>
        </w:tc>
        <w:tc>
          <w:tcPr>
            <w:tcW w:type="dxa" w:w="436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系统动作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首次登录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系统浏览器登录、账户可用性、数据外发说明。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先检查准入与功能资格；凭据不进入项目文件。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准备项目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已识别入口、依赖和输入；无法确定处就地补充。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仅静态读取；未保存文件先要求“保存并运行”或取消。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确认计划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命令、输出、传输范围、预算上限、预计时间及资源信任范围。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绑定快照、参数、校验标准和授权策略；提供费用组成。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上传与试跑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上传进度、环境准备、试跑费用及结论。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先上传获准文件；构建与试跑在隔离执行面进行。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正式执行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任务阶段、日志、费用、取消；不强制显示 GPU 列表。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计划在授权范围内才分配资源；变化越界回到确认。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结果回传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指标/文件清单、打开结果、止费确认。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校验独立存储结果；传回本地新目录并确认。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计划卡的默认字段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任务：当前项目的评测；入口：用户确认的命令与参数；输入：已选择的数据集与模型版本；交付：metrics.json 与日志；预算：本次授权上限；回传：results/computeastra/{task_id}/。显存、镜像、地区与重试规则放“高级设置”。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第一版“低学习成本”的落点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成功配置保存为任务模板，下次复用环境、输入引用和输出规则。存在新数据、新依赖或更高消费时再确认；不要求每次重复填写全表。预算 30 元等仅是交互示例，不是报价。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04  /  专项实现设计</w:t>
      </w:r>
    </w:p>
    <w:p>
      <w:pPr>
        <w:pStyle w:val="Heading1"/>
      </w:pPr>
      <w:r>
        <w:t>场景 A：源码、环境与输入处理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“自动打包”要产出可解释、可验证的计划，不是把整台电脑复制到云端。</w:t>
      </w:r>
    </w:p>
    <w:p>
      <w:pPr>
        <w:pStyle w:val="Heading2"/>
      </w:pPr>
      <w:r>
        <w:t>1. 生成不可变项目快照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用户保存后，按明确上传清单复制代码和配置到暂存目录，逐文件计算摘要。纳入用户允许的未提交修改；保留 Git 提交号只作来源信息，不以提交号冒充完整快照。扫描期间有文件变化则重建该快照。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默认排除 .git、虚拟环境、缓存、密钥、.env 和历史结果；.gitignore 只是筛选提示，不能代替安全检查。大型数据、权重和项目外路径单独声明；不自动跟随越出授权目录的符号链接。上传列表与预计字节数可展开确认。</w:t>
      </w:r>
    </w:p>
    <w:p>
      <w:pPr>
        <w:pStyle w:val="Heading2"/>
      </w:pPr>
      <w:r>
        <w:t>2. 入口与依赖识别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优先使用已确认的运行模板、依赖锁文件、项目声明与用户选择的 VS Code 任务。没有唯一入口时询问，不因文件叫 train.py 就自动执行。静态检查不执行 setup.py、项目 import、终端历史或未知的 --help 命令。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首版支持经过测试的 pip/锁文件路径及有限 GPU 基础环境；Conda、自定义 CUDA 扩展或系统依赖未在白名单时明确提示需要适配。不能把本地整个 venv 或 pip freeze 原样当作跨系统可运行环境。</w:t>
      </w:r>
    </w:p>
    <w:p>
      <w:pPr>
        <w:pStyle w:val="Heading2"/>
      </w:pPr>
      <w:r>
        <w:t>3. 远端构建与试跑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构建计划包括基础镜像摘要、Python/框架版本、依赖解析结果、构建参数与入口。先在独立构建沙箱生成镜像，再到 GPU 节点检查设备、实际框架调用及适配器定义的小样本。未提供安全试跑方式的项目，不伪称已做业务验证。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CUDA 用户态库与宿主驱动有兼容边界，不能凭“镜像含 CUDA”判断任务可运行；用经过验收的环境矩阵与实际 GPU 调用检查，不能静默回退 CPU。[E4] 构建缓存按基础镜像、平台、锁文件及构建参数生成键，私有项目缓存按租户隔离。</w:t>
      </w:r>
    </w:p>
    <w:p>
      <w:pPr>
        <w:pStyle w:val="Heading2"/>
      </w:pPr>
      <w:r>
        <w:t>4. 数据与输出路径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把数据和权重作为独立、只读的输入对象挂载；代码副本进入工作目录；输出指向专用 /output。已有脚本支持输出参数就复用；固定路径脚本允许登记明确的收集路径。既无输出规范又不愿适配的任务，不能保证零改动接入。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依据：[R1] 第 7 章构建与业务成功边界；[E2] 工作区信任；[E4] CUDA 兼容性。第三方模型读取源码还需单独授权。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05  /  专项实现设计</w:t>
      </w:r>
    </w:p>
    <w:p>
      <w:pPr>
        <w:pStyle w:val="Heading1"/>
      </w:pPr>
      <w:r>
        <w:t>场景 A：运行、恢复与结果验收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首发执行单元是一条已确认命令；多实验只按明确参数列表扩展，不自动拆解任意 Python 程序。</w:t>
      </w:r>
    </w:p>
    <w:p>
      <w:pPr>
        <w:pStyle w:val="Heading2"/>
      </w:pPr>
      <w:r>
        <w:t>执行与资源选择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兼容性、数据去向、显存、CPU/内存/磁盘、可用时间先作为硬约束；再比较包括传输、排队、启动和恢复风险的总时间与总费用。没有足够样本时给估计区间与不确定性，不编造完成时刻。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Runner 按参数数组执行命令，默认不拼接任意 shell；挂载输入、结果目录和最小凭据。stdout/stderr、退出码、资源与用量归入同一个 Attempt。指标曲线只在已有适配器或明确日志格式下解析，普通日志不伪装成精确进度。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969"/>
      </w:tblGrid>
      <w:tr>
        <w:trPr>
          <w:tblHeader/>
        </w:trPr>
        <w:tc>
          <w:tcPr>
            <w:tcW w:type="dxa" w:w="2268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51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默认处理</w:t>
            </w:r>
          </w:p>
        </w:tc>
        <w:tc>
          <w:tcPr>
            <w:tcW w:type="dxa" w:w="3969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确定性代码/输入错误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保留 traceback 与日志，停止自动重跑。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不自动修改算法、batch size 或验收标准。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节点故障，无 checkpoint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仅短任务且用户同意从头重跑时，创建新 Attempt。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不是把原进程迁移过去；记录已浪费计算。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已验证 checkpoint/resume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读取最新已持久化、完整校验的 checkpoint，按协议启动。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不能使用未上传完的文件；恢复参数固定。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显存不足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给出更大显存或参数调整建议，按授权范围重新规划。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显存升级与改实验语义分开；改变参数需用户确认。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结果下载失败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重试下载，或等待用户重新在线。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已保存结果不触发整项 GPU 重跑。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训练恢复通常需要模型权重以外的状态，例如优化器与轮次；具体项目还可能需要调度器、随机状态与数据进度。恢复能力必须由适配器和故障测试确认，不承诺任意训练的无损续跑。[E5]</w:t>
      </w:r>
    </w:p>
    <w:p>
      <w:pPr>
        <w:pStyle w:val="Heading2"/>
      </w:pPr>
      <w:r>
        <w:t>结果契约与验收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每次提交至少明确必需输出、文件格式或 schema、预计数量/范围、保留期限及回传目标。例如评测输出 metrics.json，校验为有效 JSON、包含约定指标键、对应已确认实验配置；数值是否优于基线不属于默认平台保证。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先上传并登记 Artifact，再校验与发布结果清单。普通模型文件在控制面只做文件与摘要检查，不随意加载 pickle 类对象。下载到 task_id 独立目录，先写临时文件、校验、再提交；现有文件冲突时保留双方版本。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06  /  专项实现设计</w:t>
      </w:r>
    </w:p>
    <w:p>
      <w:pPr>
        <w:pStyle w:val="Heading1"/>
      </w:pPr>
      <w:r>
        <w:t>场景 B：Blender 用户流程与资产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示例：用户已有 240 帧产品展示动画，希望保持工程设置，调用外部 GPU 并取回帧序列。</w:t>
      </w:r>
    </w:p>
    <w:p>
      <w:pPr>
        <w:pStyle w:val="Heading2"/>
      </w:pPr>
      <w:r>
        <w:t>产品入口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在 Blender 渲染属性区域增加 ComputeAstra 面板：检查并提交、预算与资源策略、当前任务、查看结果。默认继承当前场景的相机、帧范围、分辨率、采样、引擎、输出与色彩配置，不要求用户重复填写。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515"/>
      </w:tblGrid>
      <w:tr>
        <w:trPr>
          <w:tblHeader/>
        </w:trPr>
        <w:tc>
          <w:tcPr>
            <w:tcW w:type="dxa" w:w="1701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453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插件与平台动作</w:t>
            </w:r>
          </w:p>
        </w:tc>
        <w:tc>
          <w:tcPr>
            <w:tcW w:type="dxa" w:w="351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点击检查并提交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读取支持版本、场景、相机、帧范围、渲染设置和依赖。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是否可提交；缺失资产或不支持功能的具体位置。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生成提交快照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在授权下保存工程副本，收集资产与路径映射。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此次提交对应哪份快照；原工程保持可继续编辑。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确认上传与试渲染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显示文件范围、大小和试渲染消费上限。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预览用途、成本估计的依据、正式任务总预算。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确认正式任务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冻结工程、设置和输入；在预算与兼容范围内分片。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预计时间区间、并发规模、回传位置。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观察与收取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逐帧保存校验、显示进度、同步结果。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已持久化帧数、缺失帧、完整帧序列与费用状态。</w:t>
            </w:r>
          </w:p>
        </w:tc>
      </w:tr>
    </w:tbl>
    <w:p>
      <w:pPr>
        <w:spacing w:after="20"/>
      </w:pPr>
    </w:p>
    <w:p>
      <w:pPr>
        <w:pStyle w:val="Heading2"/>
      </w:pPr>
      <w:r>
        <w:t>工程副本 + 资产清单，不只上传 .blend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Blender 官方说明并非所有外部文件都能打包进 .blend，因此不能把一次 Pack All 当成所有依赖已经完整。[E6] 首版资产适配器至少覆盖受支持的贴图、HDRI、字体与链接库；外部视频、缓存和复杂依赖须逐类明确支持。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记录原始路径、快照内相对路径、大小、摘要、用途和是否获准外发。重写路径仅在提交副本中进行；链接库递归检查并防循环。对序列贴图、UDIM、模拟缓存不能只检查当前一张文件。缺失/不支持资产先阻止正式执行，不悄悄删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首发收敛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受支持版本的 Cycles 静帧，以及已验证可独立求值的动画帧；单场景、单主输出，PNG 或受支持 EXR。未经验证的第三方渲染器、脚本依赖、模拟/几何节点缓存与复杂合成，先不接。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07  /  专项实现设计</w:t>
      </w:r>
    </w:p>
    <w:p>
      <w:pPr>
        <w:pStyle w:val="Heading1"/>
      </w:pPr>
      <w:r>
        <w:t>场景 B：试渲染与帧级调度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先做单帧正确，再做短序列完整，最后增加多节点并行。</w:t>
      </w:r>
    </w:p>
    <w:p>
      <w:pPr>
        <w:pStyle w:val="Heading2"/>
      </w:pPr>
      <w:r>
        <w:t>运行环境与非阻塞插件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记录客户端 Blender 版本与工程能力，远端选择测试过的精确运行环境，不静默升级工程或改变渲染引擎。平台 Runner 用无界面的 Blender 执行固定配置；官方命令行支持后台与帧渲染，参数顺序会影响行为，因此统一由版本化 Runner 生成。[E7]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插件在主线程读取/保存场景。哈希、大文件复制、网络上传和下载交给独立 Helper 进程；插件通过定时器接收轻量事件。Blender 官方对 Python 线程的稳定性有明确限制，不能让上传线程随意访问 bpy 或修改场景。[E8]</w:t>
      </w:r>
    </w:p>
    <w:p>
      <w:pPr>
        <w:pStyle w:val="Heading2"/>
      </w:pPr>
      <w:r>
        <w:t>两类试渲染分开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低质量预览只用于尽早发现贴图、相机和色彩问题；它不直接代表正式渲染耗时。费用估计优先使用少量正式配置样帧，并涵盖场景加载、内核准备与传输成本。样帧代表性不足时明确扩大误差范围。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正式样帧通过相同结果契约后直接计入最终交付，不再次计算；低质量预览保存在单独位置，绝不混入正式帧序列。首个任务建议用户确认预览；后续可复用其已授权策略。</w:t>
      </w:r>
    </w:p>
    <w:p>
      <w:pPr>
        <w:pStyle w:val="Heading2"/>
      </w:pPr>
      <w:r>
        <w:t>分片的具体方式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把帧作为逻辑交付单元；执行时可将相邻帧打包给同一节点，复用场景加载。每帧完成后单独上传与提交结果记录，节点失败后只调度缺失或校验失败的帧。首版不做单帧内部的跨节点拼接。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tblHeader/>
        </w:trPr>
        <w:tc>
          <w:tcPr>
            <w:tcW w:type="dxa" w:w="1984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7767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调度规则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版本与视觉一致性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同一任务固定 Blender、渲染设置、色彩配置、资产版本与经测试的设备后端；用样例验收，不能声称异构设备位级一致。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独立求值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只对可独立计算的帧拆分；依赖连续模拟状态的工程必须先完成受支持的烘焙，否则拒绝并行提交。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预算与数据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全部帧和所有尝试共用任务预算；每个节点都要取得所需场景资产，增加节点可能增加传输与加载。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显存与可靠性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每个节点都要容纳该帧所需场景，不合并跨机器显存；中断重跑当前未完成帧，不恢复未知内部采样状态。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08  /  专项实现设计</w:t>
      </w:r>
    </w:p>
    <w:p>
      <w:pPr>
        <w:pStyle w:val="Heading1"/>
      </w:pPr>
      <w:r>
        <w:t>场景 B：完整序列交付与异常处理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渲染 240 帧的成功定义是约定的 240 个帧输出齐备且已保存，不是某个 Blender 进程退出为零。</w:t>
      </w:r>
    </w:p>
    <w:p>
      <w:pPr>
        <w:pStyle w:val="Heading2"/>
      </w:pPr>
      <w:r>
        <w:t>逐帧结果键与提交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结果身份包含任务版本、场景、视图层、帧号、输出槽和设置摘要。每次尝试写入独立临时位置；校验通过后由平台原子登记有效结果。重试或失联旧节点不能覆盖已确认帧；过期尝试的结果先隔离，不直接进入最终清单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校验解码能力、分辨率、通道/格式、帧号与数量、文件摘要及运行环境记录。合法黑帧不是自动判错依据；结构校验也不能证明画面符合审美或贴图必然正确。关键内容由预览/样片确认，必要时使用用户约定的图像检查。</w:t>
      </w:r>
    </w:p>
    <w:p>
      <w:pPr>
        <w:pStyle w:val="Heading2"/>
      </w:pPr>
      <w:r>
        <w:t>输出、预览与合成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主交付为完整 PNG/EXR 帧序列，并包含 manifest、渲染设置与日志。图片序列支持逐帧持久化，独立于动画视频是否合成成功。可选视频作为后续 CPU 合成任务，固定帧率、顺序、色彩与编码策略；首版不必把视频合成作为主链路前置。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39"/>
        <w:gridCol w:w="3628"/>
      </w:tblGrid>
      <w:tr>
        <w:trPr>
          <w:tblHeader/>
        </w:trPr>
        <w:tc>
          <w:tcPr>
            <w:tcW w:type="dxa" w:w="1984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139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3628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不能做的事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单帧渲染失败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按次数与预算上限重试该帧；保留已通过帧。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重跑所有已完成帧并向用户重复收费。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临时节点失联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租约到期隔离旧执行；重新调度未提交帧。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只凭心跳暂断立刻同时启动无限副本。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资产/版本不匹配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试渲染阶段阻止正式任务；说明缺少什么。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换引擎、降采样、删资产后伪称原任务完成。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用户取消/预算将耗尽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停止派发新帧；按已授权收尾策略处理在途帧。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把 236/240 帧显示为完整交付。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最终合成失败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保留帧序列，只重试合成步骤。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重新占用所有 GPU 渲染。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用户关闭 Blender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平台接管且输入齐备后继续；结果保存等待同步。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将 UI 进程生命周期等同远端任务生命周期。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回传不污染原工程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结果默认保存到用户确认目录下的 task_id 子目录；可在 Blender 中打开预览，但不自动切换用户正在编辑的场景、不覆盖原输出，也不把登录凭据写入 .blend。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09  /  专项实现设计</w:t>
      </w:r>
    </w:p>
    <w:p>
      <w:pPr>
        <w:pStyle w:val="Heading1"/>
      </w:pPr>
      <w:r>
        <w:t>本地组件、权限与 Agent 边界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技术上共享传输与鉴权，权限上保持工作区、软件、设备出租和消费授权彼此独立。</w:t>
      </w:r>
    </w:p>
    <w:p>
      <w:pPr>
        <w:pStyle w:val="Heading2"/>
      </w:pPr>
      <w:r>
        <w:t>Local Helper 的落地方式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建议以独立、可签名发布的跨平台程序提供 inspect、snapshot、upload、submit、watch、fetch 能力。插件通过受控子进程的结构化消息调用它；同一逻辑同时暴露 CLI，避免在 TypeScript 与 Blender Python 内分别重写数据传输。实现语言按团队能力确定，本稿不假定已有语言栈。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第一版采用按需运行。关闭插件前若上传未完成，明确提示；输入齐备并被平台接管后可以关闭软件。持续后台上传/回传作为用户显式开启的能力，不能悄悄安装系统服务或要求管理员权限。</w:t>
      </w:r>
    </w:p>
    <w:p>
      <w:pPr>
        <w:pStyle w:val="Heading2"/>
      </w:pPr>
      <w:r>
        <w:t>VS Code 工作区位置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文件读写优先遵循工作区 URI；Helper 在实际项目所在主机运行。VS Code 的 UI 与工作区扩展可能处于不同宿主，这会影响读取路径与凭据位置。[E3] 默认结果回到来源工作区，SSH/WSL 中的项目不自动映射到 Windows 桌面；跨主机回传另建 Delivery 目标。</w:t>
      </w:r>
    </w:p>
    <w:p>
      <w:pPr>
        <w:pStyle w:val="Heading2"/>
      </w:pPr>
      <w:r>
        <w:t>鉴权与数据安全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浏览器登录使用短期授权流程；插件/Helper 仅持有所需范围的访问令牌，凭据进入系统安全存储。项目文件、日志、镜像层、.blend 和命令行参数中不保存长期令牌；文件下载/上传凭证仅授权本任务对象与有效期。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未受信任的 VS Code 工作区禁用任务执行、Helper 启动和自动上传。[E2] Blender 工程可能包含脚本；默认不自动运行工程嵌入 Python，需要这些能力的项目进入单独支持与授权流程。[E9] 禁用自动脚本不是完整沙箱，远端解析和渲染仍要隔离。</w:t>
      </w:r>
    </w:p>
    <w:p>
      <w:pPr>
        <w:pStyle w:val="Heading2"/>
      </w:pPr>
      <w:r>
        <w:t>Agent / MCP 共用同一入口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Agent 可以解释代码、补充候选计划与错误，但不能自行提高预算、扩大上传范围或改变算法/采样。后续工具接口可暴露 inspect、plan、submit、status、fetch；submit 必须带服务器确认的 plan_id 与授权凭证，不让模型另建支付通道。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数据接收节点的宿主控制者仍在执行信任边界内；加密传输和容器不构成对宿主机的计算机密性保证。敏感任务只进入用户明确接受的可信环境。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10  /  专项实现设计</w:t>
      </w:r>
    </w:p>
    <w:p>
      <w:pPr>
        <w:pStyle w:val="Heading1"/>
      </w:pPr>
      <w:r>
        <w:t>公共控制面：预算、生命周期与恢复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以任务总预算约束所有构建、试跑、分片与恢复，不让自动化变成无限重试和隐性消费。</w:t>
      </w:r>
    </w:p>
    <w:p>
      <w:pPr>
        <w:pStyle w:val="Heading2"/>
      </w:pPr>
      <w:r>
        <w:t>授权绑定到什么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授权内容至少绑定：输入快照、命令/场景设置、结果契约、允许资源信任范围、费用上限、试跑额度、重试策略、数据保留与回传目标。精确执行计划在这些边界内才自动生效；依赖、数据、预算或业务语义发生越界变化时重新确认。</w:t>
      </w:r>
    </w:p>
    <w:p>
      <w:pPr>
        <w:pStyle w:val="Heading2"/>
      </w:pPr>
      <w:r>
        <w:t>预算的执行方式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任务级 BudgetHold 通过事务控制；每次构建、试跑或分片取得子额度。派发前检查“已发生费用 + 在途费用估计 + 收尾预留 + 新派发额度”是否超过可用上限；所有子任务累计，不能每个节点各自使用完整预算。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Worker 收到短期执行租约与本地停止期限；续期失败时按策略停机。预留上传收尾与回收延迟费用；平台向用户承诺的扣费上限应由账单层强制执行，无法避免的基础设施尾部成本记平台风险项，不能悄悄加到账单。</w:t>
      </w:r>
    </w:p>
    <w:p>
      <w:pPr>
        <w:pStyle w:val="Heading2"/>
      </w:pPr>
      <w:r>
        <w:t>正确的结束顺序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执行过程中持续保存关键结果；进程退出后完成剩余结果上传与校验，确认独立存储可用，再释放会删除本地数据的资源。释放后记录权威止费时间，最后完成账单核对。本地下载无需继续保留 GPU。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部分后端可释放 GPU 而保留 CPU/磁盘完成上传，部分整机计费后端不能。本方案不假定都能拆开计费；不能拆分时上传尾段可能仍有资源费用，应纳入计划。上传长期失败时不能无限保机，按预定收尾时限处理并明确部分结果风险。</w:t>
      </w:r>
    </w:p>
    <w:p>
      <w:pPr>
        <w:pStyle w:val="Heading2"/>
      </w:pPr>
      <w:r>
        <w:t>一致性底线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任务提交使用幂等键；Worker 命令、状态事件、计量与结果提交都有唯一标识与序号。新尝试使用新的租约代次，过期执行不能登记最终结果。执行可能重复，系统保证合法结果的唯一接纳和事件去重，不能声称任意外部副作用“恰好一次”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用户脚本默认不允许未经治理的外部写入；需外部写入时单独声明幂等方案。自动重试只处理白名单故障，并保留各 Attempt 的结果和费用归因，重复物理执行与重复入账是两件事。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11  /  专项实现设计</w:t>
      </w:r>
    </w:p>
    <w:p>
      <w:pPr>
        <w:pStyle w:val="Heading1"/>
      </w:pPr>
      <w:r>
        <w:t>前后端接口与现有系统衔接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以下为拟议业务接口，不是当前已上线 API；最终按主 API 文档统一命名与权限。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5896"/>
      </w:tblGrid>
      <w:tr>
        <w:trPr>
          <w:tblHeader/>
        </w:trPr>
        <w:tc>
          <w:tcPr>
            <w:tcW w:type="dxa" w:w="385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 / 接口</w:t>
            </w:r>
          </w:p>
        </w:tc>
        <w:tc>
          <w:tcPr>
            <w:tcW w:type="dxa" w:w="5896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请求与返回重点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/v1/upload-sessions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以 approval_id 和获准文件清单创建上传会话；返回缺失文件/分片和短期上传权限。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/v1/snapshots:finalize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确认已上传文件的大小、摘要与授权；返回不可变 snapshot_id。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/v1/plans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输入 TaskSpec 草稿、清单摘要或已有 snapshot_id；返回分阶段计划、成本区间与授权要求。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/v1/plans/{id}/approvals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确认预算和外发范围；签发仅适用于本计划/策略的 approval_id。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/v1/tasks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以 plan_id、approval_id、snapshot_id 和幂等键创建任务；准备阶段执行已授权的构建/试跑。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GET /v1/tasks/{id}/events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按事件游标取状态/日志；可用 SSE，重连从游标续取，支持轮询降级。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/v1/tasks/{id}:cancel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记录取消请求；幂等返回；状态先进入取消处理中，不虚报已停止。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GET /v1/tasks/{id}/artifacts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返回有效结果、部分结果、manifest、保留期限和下载授权。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POST /v1/deliveries/{id}:ack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客户端校验指定 manifest 后确认回传；不改变远端计算的退出状态。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7"/>
              </w:rPr>
              <w:t>Worker：claim / heartbeat / events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7"/>
              </w:rPr>
              <w:t>任务租约、代次、幂等命令、进度/计量、结果提交和停止确认；独立鉴权。</w:t>
            </w:r>
          </w:p>
        </w:tc>
      </w:tr>
    </w:tbl>
    <w:p>
      <w:pPr>
        <w:spacing w:after="20"/>
      </w:pPr>
    </w:p>
    <w:p>
      <w:pPr>
        <w:pStyle w:val="Heading2"/>
      </w:pPr>
      <w:r>
        <w:t>数据与队列实现建议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初始计划绑定文件清单和预算策略，授权后上传快照再创建任务；构建/试跑在任务准备阶段展开精确计划，越界时暂停重审。任务、预算和 Reservation 使用事务与唯一约束；事件记录可配合事务 outbox 可靠派发，避免数据库成功而队列丢任务。大文件进入对象存储；数据库只保存引用、摘要与状态。具体队列/存储技术沿用团队已有可维护选型，不为两个插件引入整套重平台。</w:t>
      </w:r>
    </w:p>
    <w:p>
      <w:pPr>
        <w:pStyle w:val="Heading2"/>
      </w:pPr>
      <w:r>
        <w:t>复用哪些现有能力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账号、节点注册、资源上报、直接租赁和结算组件先做现状核查。托管任务可以复用执行适配器与计量，但任务状态不能直接等同 rental_session。建议使用统一 Reservation 防止双卖，并以消费类型区分直接租赁与托管执行。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新增对象通过关联旧系统扩展，不重写已有真实账单。Worker 逐步增加 Runner、租约、输出回收和任务事件；缺少这组能力的节点保持仅支持原租赁业务，不因安装新版插件就被视为可执行托管任务。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12  /  专项实现设计</w:t>
      </w:r>
    </w:p>
    <w:p>
      <w:pPr>
        <w:pStyle w:val="Heading1"/>
      </w:pPr>
      <w:r>
        <w:t>附录 A：Python 任务契约示例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示例描述已完成确认与环境解析的任务意图；字段为拟议，不是可直接调用的生产 API。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schema_version: computeastra.task/v1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kind: python.batch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snapshot_ref: snapshot-confirmed-by-platform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runtime_profile_ref: validated-pytorch-linux-profile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entrypoint: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argv: [python, evaluate.py, --config, configs/test.yaml,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     --data, /input/data, --output, /output]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cwd: /workspace/project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inputs: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- name: evaluation_data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artifact_ref: dataset-version-confirmed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mount_path: /input/data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read_only: true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outputs: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- name: metrics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path: /output/metrics.json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required: true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validator_ref: metrics-json-schema-v1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- name: logs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collector: stdout_stderr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required: true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resources: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gpu_count: 1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vram_requirement_ref: approved-resource-requirement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trust_policy_ref: approved-resource-pool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recovery: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mode: restart_if_authorized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max_attempts: 2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network_policy_ref: restricted-execution-network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budget: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currency: CNY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total_limit_minor: 3000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includes: [build, probe, execution, transfer, service, storage]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delivery: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target_ref: source-workspace-output-directory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conflict_policy: preserve_both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retention_policy_ref: approved-result-retention</w:t>
      </w:r>
    </w:p>
    <w:p>
      <w:pPr>
        <w:spacing w:after="20"/>
      </w:pPr>
    </w:p>
    <w:p>
      <w:pPr>
        <w:pStyle w:val="Heading2"/>
      </w:pPr>
      <w:r>
        <w:t>如何理解这份契约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3000 分仅表示 30 元示例预算，不是任务报价；max_attempts 包含首次尝试，最多两个尝试。允许重跑仍受总预算和失败分类约束。正式资源要求、精确镜像摘要、价格与时限由经过审批的计划展开，不能直接把占位引用交给 Worker。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脚本需支持示例参数；平台不会凭这份 YAML 自动改造任意脚本。指标 schema 由适配器/用户事先定义。固定输出路径的旧项目可登记收集路径或经确认做最小适配。试跑额度单独受授权策略限制，不默认消费完整任务预算。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正式 ExecutionPlan 还应包含 image_digest、资源预定约束、快照摘要、数据路由、费用项版本、租约和签名；由平台生成，不要求普通用户手写。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13  /  专项实现设计</w:t>
      </w:r>
    </w:p>
    <w:p>
      <w:pPr>
        <w:pStyle w:val="Heading1"/>
      </w:pPr>
      <w:r>
        <w:t>附录 B：Blender 任务契约示例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渲染插件自动生成场景字段；用户主要确认预算、资产上传范围、预览与结果去向。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schema_version: computeastra.task/v1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kind: blender.render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snapshot_ref: approved-scene-and-assets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runtime_profile_ref: validated-blender-cycles-profile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render: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scene: Scene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camera: Camera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view_layer: ViewLayer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engine: CYCLES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frames: {start: 1, end: 240, step: 1}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settings_ref: frozen-render-settings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color_config_ref: frozen-color-configuration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frame_independence: validated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outputs: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- name: frames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pattern: /output/frames/frame_####.png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expected_count: 240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required: true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validator_ref: image-sequence-contract-v1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- name: render_log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collector: stdout_stderr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  required: true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partition: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logical_unit: frame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dispatch_grouping: adjacent_frames_when_suitable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completion_commit: per_frame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recovery: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mode: missing_frames_only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max_attempts_per_frame: 2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resources: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trust_policy_ref: approved-resource-pool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max_parallel_nodes: 2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budget: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currency: CNY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total_limit_minor: 10000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delivery: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target_ref: user-approved-render-output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 xml:space="preserve">  conflict_policy: preserve_both</w:t>
      </w:r>
    </w:p>
    <w:p>
      <w:pPr>
        <w:spacing w:after="0" w:line="230" w:lineRule="exact"/>
      </w:pPr>
      <w:r>
        <w:rPr>
          <w:rFonts w:ascii="DejaVu Sans Mono" w:hAnsi="DejaVu Sans Mono" w:eastAsia="DejaVu Sans Mono"/>
          <w:b w:val="0"/>
          <w:color w:val="263746"/>
          <w:sz w:val="16"/>
        </w:rPr>
        <w:t>retention_policy_ref: approved-result-retention</w:t>
      </w:r>
    </w:p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100 元、240 帧和最多两个节点仅是交互与契约示例，不表示市场报价或性能承诺。正式计划需核对采样、分辨率、输出格式、精确 Blender 版本、资产与色彩配置；正式样帧与最终帧使用同一配置摘要。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frame_independence 不能由用户任意填 true 就跳过校验。依赖连续状态的场景不属于首版；平台按支持矩阵与试渲染检查。已完成但还未上传校验的帧不能记为已交付。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14  /  专项实现设计</w:t>
      </w:r>
    </w:p>
    <w:p>
      <w:pPr>
        <w:pStyle w:val="Heading1"/>
      </w:pPr>
      <w:r>
        <w:t>验收矩阵与观测指标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先验收最小链路和失败行为，再扩大支持软件、资源池与自动化范围。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236"/>
      </w:tblGrid>
      <w:tr>
        <w:trPr>
          <w:tblHeader/>
        </w:trPr>
        <w:tc>
          <w:tcPr>
            <w:tcW w:type="dxa" w:w="3515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6236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必须出现的结果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Python 正常评测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代码快照、环境、输入、日志、指标、Artifact 和账单可以关联；回传文件通过摘要校验。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退出 0 但缺少必需输出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结果为无效/未完成，不显示交付成功；展示缺少哪一项。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本地未保存或运行中修改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保存确认后才形成快照；提交后的编辑不影响本次运行。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密钥/越界路径/不可信工作区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不上传、不自动执行；给出阻塞及明确授权入口。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构建成功但 GPU 不可用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试跑失败定位到环境/设备，不静默回退 CPU。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重复提交、事件重放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不产生重复 Task、扣费或有效结果；相同幂等键返回原身份。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失联后旧节点回归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过期租约不能覆盖结果；所有尝试与费用可解释。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预算将耗尽与取消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停止新增工作；收尾有时限；最终扣费不超过授权，部分结果标记清楚。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关闭编辑器 / Blender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平台接管后继续执行；重新打开可查询和同步同一任务。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Blender 单帧与 10 帧序列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先通过固定样片基线，再验证数量、格式、帧号与设置；不要求不同硬件字节相同。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漏贴图、错误版本、未烘焙依赖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静态检查/试渲染拦截；不能靠删功能或降质量“修复”。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240 帧中途断节点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已登记帧保留，只重新调度未完成帧；交付清单最终齐备或明确部分失败。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上传失败、磁盘满、回传冲突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分项状态可见；上传与下载有续传策略；不覆盖用户文件。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视频合成失败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帧序列仍可取回，仅重试后处理；GPU 渲染不重跑。</w:t>
            </w:r>
          </w:p>
        </w:tc>
      </w:tr>
    </w:tbl>
    <w:p>
      <w:pPr>
        <w:spacing w:after="20"/>
      </w:pPr>
    </w:p>
    <w:p>
      <w:pPr>
        <w:pStyle w:val="Heading2"/>
      </w:pPr>
      <w:r>
        <w:t>上线前必须采集的指标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把用户主动操作时长与等待时长分开；把准备、上传、排队、执行、校验和回传分别计时。交付成功率按事前支持范围统计，不能事后移除难任务；同时统计拒绝、取消、失败、部分交付及重试浪费。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记录每个任务的人工介入次数/时长、环境缓存命中、每 GB 传输、有效计算与失败成本、结果完整性、未授权扣费和同步冲突。成本与成功率按场景/环境/资源池拆分，避免平均数掩盖不稳定组合。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15  /  专项实现设计</w:t>
      </w:r>
    </w:p>
    <w:p>
      <w:pPr>
        <w:pStyle w:val="Heading1"/>
      </w:pPr>
      <w:r>
        <w:t>研发拆分与里程碑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优先顺序：公共垂直链路 → VS Code 首发 → Blender 适配 → 有限场景自动化。工期需按实际投入评估。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139"/>
        <w:gridCol w:w="3458"/>
      </w:tblGrid>
      <w:tr>
        <w:trPr>
          <w:tblHeader/>
        </w:trPr>
        <w:tc>
          <w:tcPr>
            <w:tcW w:type="dxa" w:w="2154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39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458"/>
            <w:shd w:fill="1734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M0：核对与冻结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核查现有账号/资源/计费/Worker；冻结 TaskSpec、结果契约与支持环境。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能明确哪些能力已存在、哪些需新增；不存在双卖和两套费用口径。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M1：公共最小闭环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CLI、快照、稳定单节点 Python Runner、日志、Artifact、预算与取消。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一个真实项目提交后可关客户端；结果、资源和账单都收尾。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M2：VS Code 首发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轻量插件、环境模板、计划卡、异常提示、本地回传与模板复用。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用户无需写镜像或选机器完成支持任务；失败矩阵通过。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M3：Blender 单机正确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受支持版本插件、工程副本、资产清单、单帧和短序列。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样片、路径与版本符合约定；关闭 Blender 不影响任务。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M4：帧并行与恢复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相邻帧派发、逐帧校验、缺失帧补算、预览与合成。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0F5F7"/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断节点不重跑已完成帧；总预算可控；完整序列可交付。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/>
                <w:color w:val="263746"/>
                <w:sz w:val="18"/>
              </w:rPr>
              <w:t>M5：扩大入口与供给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验证后开放 WSL/SSH、后台同步、MCP 与可抢占资源。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18"/>
              </w:rPr>
              <w:t>扩展环境不破坏权限、结果与费用；不依赖人工长期代跑。</w:t>
            </w:r>
          </w:p>
        </w:tc>
      </w:tr>
    </w:tbl>
    <w:p>
      <w:pPr>
        <w:spacing w:after="20"/>
      </w:pPr>
    </w:p>
    <w:p>
      <w:pPr>
        <w:pStyle w:val="Heading2"/>
      </w:pPr>
      <w:r>
        <w:t>工程工作包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接入端负责 VS Code/Blender 交互与 Local Helper；控制面负责任务、计划、预算、事件与调度；执行侧负责构建环境、Runner、Worker 租约；数据侧负责快照、Artifact、传输与校验；测试负责故障注入与费用核对。这里是职责划分，不等于需要新增同等数量的团队或服务。</w:t>
      </w:r>
    </w:p>
    <w:p>
      <w:pPr>
        <w:pStyle w:val="Heading2"/>
      </w:pPr>
      <w:r>
        <w:t>建议首轮就定下的选择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采用 VS Code + Python/PyTorch 为首发；Blender 为第二适配器。第一版代码任务单机单卡，渲染先单机后帧并行；普通用户不用装 Docker。结果必须先持久化再删除运行盘，账单强制授权上限；Agent 不修改算法与画质。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2"/>
            <w:shd w:fill="F0F5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 w:line="320" w:lineRule="exact"/>
            </w:pPr>
            <w:r>
              <w:rPr>
                <w:rFonts w:ascii="Noto Sans CJK SC" w:hAnsi="Noto Sans CJK SC" w:eastAsia="Noto Sans CJK SC"/>
                <w:b/>
                <w:color w:val="147F85"/>
                <w:sz w:val="22"/>
              </w:rPr>
              <w:t>最小演示应证明什么</w:t>
            </w:r>
          </w:p>
          <w:p>
            <w:pPr>
              <w:spacing w:after="0" w:line="320" w:lineRule="exact"/>
            </w:pPr>
            <w:r>
              <w:rPr>
                <w:rFonts w:ascii="Noto Sans CJK SC" w:hAnsi="Noto Sans CJK SC" w:eastAsia="Noto Sans CJK SC"/>
                <w:b w:val="0"/>
                <w:color w:val="263746"/>
                <w:sz w:val="20"/>
              </w:rPr>
              <w:t>VS Code：已有项目一键提交，关闭编辑器，重开后拿回结果。Blender：提交短序列，中断一个执行节点，保留已完成帧并补齐缺失帧，最终收齐结果且账单可核对。演示过程中的人工操作也要完整记录。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147F85"/>
          <w:sz w:val="18"/>
        </w:rPr>
        <w:t>16  /  专项实现设计</w:t>
      </w:r>
    </w:p>
    <w:p>
      <w:pPr>
        <w:pStyle w:val="Heading1"/>
      </w:pPr>
      <w:r>
        <w:t>资料依据与评审说明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内部报告的观察、外部文档能力和本稿新增设计明确区分。外部资料查阅日期：2026-09-05。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R1  《CARDSTALL 分布式 GPU 算力行业与竞品调研报告》，2026-09-04，用户上传。引用第 1、5、7、9、10 章，特别是第 33—34 页 Task/Artifact、第 39—41 页构建边界、第 45 页生命周期与费用。报告保留原题名，产品统一称 ComputeAstra。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R2  《ComputeAstra 结果交付型算力平台方案·讨论稿 V0.1》，2026-09-05，本次对话已有文件。沿用首发批任务、独立结果、授权内自动化和稳定资源先行；三份主技术文档的维护约定来自前期工程讨论。</w:t>
      </w:r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E1  </w:t>
      </w:r>
      <w:hyperlink r:id="rId11">
        <w:r>
          <w:rPr>
            <w:color w:val="147F85"/>
            <w:sz w:val="18"/>
          </w:rPr>
          <w:t>VS Code — Extension Capabilities Overview：命令、菜单、视图与 Webview 的扩展入口。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E2  </w:t>
      </w:r>
      <w:hyperlink r:id="rId12">
        <w:r>
          <w:rPr>
            <w:color w:val="147F85"/>
            <w:sz w:val="18"/>
          </w:rPr>
          <w:t>VS Code — Workspace Trust Extension Guide：不可信工作区的执行风险与限制。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E3  </w:t>
      </w:r>
      <w:hyperlink r:id="rId13">
        <w:r>
          <w:rPr>
            <w:color w:val="147F85"/>
            <w:sz w:val="18"/>
          </w:rPr>
          <w:t>VS Code — Supporting Remote Development：UI 与工作区宿主的边界。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E4  </w:t>
      </w:r>
      <w:hyperlink r:id="rId14">
        <w:r>
          <w:rPr>
            <w:color w:val="147F85"/>
            <w:sz w:val="18"/>
          </w:rPr>
          <w:t>NVIDIA — CUDA Compatibility：GPU 应用与驱动兼容性的条件与限制。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E5  </w:t>
      </w:r>
      <w:hyperlink r:id="rId15">
        <w:r>
          <w:rPr>
            <w:color w:val="147F85"/>
            <w:sz w:val="18"/>
          </w:rPr>
          <w:t>PyTorch — Saving and Loading Models：通用 checkpoint 与训练恢复状态。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E6  </w:t>
      </w:r>
      <w:hyperlink r:id="rId16">
        <w:r>
          <w:rPr>
            <w:color w:val="147F85"/>
            <w:sz w:val="18"/>
          </w:rPr>
          <w:t>Blender Manual — Packed Data：外部资产并非都可打包进 .blend。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E7  </w:t>
      </w:r>
      <w:hyperlink r:id="rId17">
        <w:r>
          <w:rPr>
            <w:color w:val="147F85"/>
            <w:sz w:val="18"/>
          </w:rPr>
          <w:t>Blender Manual — Rendering From The Command Line：后台/帧渲染与参数顺序。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E8a  </w:t>
      </w:r>
      <w:hyperlink r:id="rId18">
        <w:r>
          <w:rPr>
            <w:color w:val="147F85"/>
            <w:sz w:val="18"/>
          </w:rPr>
          <w:t>Blender Python API — Python Threads are Not Supported：线程稳定性边界。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E8b  </w:t>
      </w:r>
      <w:hyperlink r:id="rId19">
        <w:r>
          <w:rPr>
            <w:color w:val="147F85"/>
            <w:sz w:val="18"/>
          </w:rPr>
          <w:t>Blender Python API — Application Timers：插件轻量状态更新接口。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E9  </w:t>
      </w:r>
      <w:hyperlink r:id="rId20">
        <w:r>
          <w:rPr>
            <w:color w:val="147F85"/>
            <w:sz w:val="18"/>
          </w:rPr>
          <w:t>Blender Manual — Scripting &amp; Security：工程内脚本自动运行的安全边界。</w:t>
        </w:r>
      </w:hyperlink>
    </w:p>
    <w:p>
      <w:pPr>
        <w:spacing w:after="120" w:line="260" w:lineRule="exact"/>
      </w:pPr>
      <w:r>
        <w:rPr>
          <w:rFonts w:ascii="Noto Sans CJK SC" w:hAnsi="Noto Sans CJK SC" w:eastAsia="Noto Sans CJK SC"/>
          <w:b/>
          <w:color w:val="17344B"/>
          <w:sz w:val="17"/>
        </w:rPr>
        <w:t xml:space="preserve">E10  </w:t>
      </w:r>
      <w:hyperlink r:id="rId21">
        <w:r>
          <w:rPr>
            <w:color w:val="147F85"/>
            <w:sz w:val="18"/>
          </w:rPr>
          <w:t>Flamenco — Quickstart：软件内插件、管理端与 Worker 的职责分离参考。</w:t>
        </w:r>
      </w:hyperlink>
    </w:p>
    <w:p>
      <w:pPr>
        <w:pStyle w:val="Heading2"/>
      </w:pPr>
      <w:r>
        <w:t>本轮尚未由实机证明的部分</w:t>
      </w:r>
    </w:p>
    <w:p>
      <w:r>
        <w:rPr>
          <w:rFonts w:ascii="Noto Sans CJK SC" w:hAnsi="Noto Sans CJK SC" w:eastAsia="Noto Sans CJK SC"/>
          <w:b w:val="0"/>
          <w:color w:val="263746"/>
          <w:sz w:val="21"/>
        </w:rPr>
        <w:t>尚未验证目标用户的项目兼容率、支持环境清单、Blender 样片一致性、真实报价与节点可用性，也未通过当前代码库确认可复用模块。工程评审应先用真实项目做集成测试，再冻结支持矩阵和对外服务承诺。</w:t>
      </w:r>
    </w:p>
    <w:p>
      <w:pPr>
        <w:spacing w:line="260" w:lineRule="exact" w:after="100"/>
      </w:pPr>
      <w:r>
        <w:rPr>
          <w:rFonts w:ascii="Noto Sans CJK SC" w:hAnsi="Noto Sans CJK SC" w:eastAsia="Noto Sans CJK SC"/>
          <w:b w:val="0"/>
          <w:color w:val="647580"/>
          <w:sz w:val="17"/>
        </w:rPr>
        <w:t>本稿不包含价格或竞品功能的全面更新，不把文档公开能力当作本轮实测结果。所有接口、参数、预算与里程碑示例均用于方案讨论；并非已上线功能、生产承诺或经测算的项目报价。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64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580"/>
        <w:sz w:val="16"/>
      </w:rPr>
      <w:t>工程讨论稿 V0.1  ·  2026.09.05</w:t>
    </w:r>
    <w:r>
      <w:rPr>
        <w:rFonts w:ascii="Noto Sans CJK SC" w:hAnsi="Noto Sans CJK SC" w:eastAsia="Noto Sans CJK SC"/>
        <w:b w:val="0"/>
        <w:color w:val="647580"/>
        <w:sz w:val="16"/>
      </w:rPr>
      <w:t xml:space="preserve">                                            </w:t>
    </w:r>
    <w:r>
      <w:rPr>
        <w:rFonts w:ascii="Noto Sans CJK SC" w:hAnsi="Noto Sans CJK SC" w:eastAsia="Noto Sans CJK SC"/>
        <w:b w:val="0"/>
        <w:color w:val="647580"/>
        <w:sz w:val="16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6475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7" w:color="147F85"/>
      </w:pBdr>
    </w:pPr>
    <w:r>
      <w:rPr>
        <w:rFonts w:ascii="Noto Sans CJK SC" w:hAnsi="Noto Sans CJK SC" w:eastAsia="Noto Sans CJK SC"/>
        <w:b/>
        <w:color w:val="17344B"/>
        <w:sz w:val="20"/>
      </w:rPr>
      <w:t>ComputeAstra</w:t>
    </w:r>
    <w:r>
      <w:rPr>
        <w:rFonts w:ascii="Noto Sans CJK SC" w:hAnsi="Noto Sans CJK SC" w:eastAsia="Noto Sans CJK SC"/>
        <w:b w:val="0"/>
        <w:color w:val="647580"/>
        <w:sz w:val="17"/>
      </w:rPr>
      <w:t xml:space="preserve">   /   本地工作流接入与结果交付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4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4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64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4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4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40" w:lineRule="exact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de.visualstudio.com/api/extension-capabilities/overview" TargetMode="External"/><Relationship Id="rId12" Type="http://schemas.openxmlformats.org/officeDocument/2006/relationships/hyperlink" Target="https://code.visualstudio.com/api/extension-guides/workspace-trust" TargetMode="External"/><Relationship Id="rId13" Type="http://schemas.openxmlformats.org/officeDocument/2006/relationships/hyperlink" Target="https://code.visualstudio.com/api/advanced-topics/remote-extensions" TargetMode="External"/><Relationship Id="rId14" Type="http://schemas.openxmlformats.org/officeDocument/2006/relationships/hyperlink" Target="https://docs.nvidia.com/deploy/cuda-compatibility/index.html" TargetMode="External"/><Relationship Id="rId15" Type="http://schemas.openxmlformats.org/officeDocument/2006/relationships/hyperlink" Target="https://docs.pytorch.org/tutorials/beginner/saving_loading_models.html" TargetMode="External"/><Relationship Id="rId16" Type="http://schemas.openxmlformats.org/officeDocument/2006/relationships/hyperlink" Target="https://docs.blender.org/manual/en/latest/files/blend/packed_data.html" TargetMode="External"/><Relationship Id="rId17" Type="http://schemas.openxmlformats.org/officeDocument/2006/relationships/hyperlink" Target="https://docs.blender.org/manual/en/latest/advanced/command_line/render.html" TargetMode="External"/><Relationship Id="rId18" Type="http://schemas.openxmlformats.org/officeDocument/2006/relationships/hyperlink" Target="https://docs.blender.org/api/current/info_gotchas_threading.html" TargetMode="External"/><Relationship Id="rId19" Type="http://schemas.openxmlformats.org/officeDocument/2006/relationships/hyperlink" Target="https://docs.blender.org/api/current/bpy.app.timers.html" TargetMode="External"/><Relationship Id="rId20" Type="http://schemas.openxmlformats.org/officeDocument/2006/relationships/hyperlink" Target="https://docs.blender.org/manual/en/latest/advanced/scripting/security.html" TargetMode="External"/><Relationship Id="rId21" Type="http://schemas.openxmlformats.org/officeDocument/2006/relationships/hyperlink" Target="https://flamenco.blender.org/usage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ComputeAstra VS Code 与 Blender 双场景实现设计 V0.1</dc:title>
  <dc:subject>本地工作流接入、任务执行、结果交付与预算治理</dc:subject>
  <dc:creator>ComputeAstra</dc:creator>
  <cp:keywords>ComputeAstra, VS Code, Blender, TaskSpec, Artifact, Reservation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