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Projektinformation: Der mBot2 im Fachunterricht – vom Bausatz zum Unterrichtsprojekt</w:t>
      </w:r>
    </w:p>
    <w:p>
      <w:pPr>
        <w:spacing w:after="120"/>
      </w:pPr>
      <w:r>
        <w:rPr>
          <w:b/>
          <w:bCs/>
        </w:rPr>
        <w:t xml:space="preserve">An:</w:t>
      </w:r>
      <w:r>
        <w:t xml:space="preserve"> Johannes Traeger, Landesinstitut für Schulqualität und Lehrerbildung Sachsen-Anhalt (LISA) </w:t>
      </w:r>
      <w:r>
        <w:rPr>
          <w:b/>
          <w:bCs/>
        </w:rPr>
        <w:t xml:space="preserve">Von:</w:t>
      </w:r>
      <w:r>
        <w:t xml:space="preserve"> Dr. Hannes Tegelbeckers, Otto-von-Guericke-Universität Magdeburg, ITVET </w:t>
      </w:r>
      <w:r>
        <w:rPr>
          <w:b/>
          <w:bCs/>
        </w:rPr>
        <w:t xml:space="preserve">Datum:</w:t>
      </w:r>
      <w:r>
        <w:t xml:space="preserve"> [Datum]</w:t>
      </w:r>
    </w:p>
    <w:p>
      <w:pPr>
        <w:spacing w:after="120"/>
      </w:pPr>
      <w:r>
        <w:t xml:space="preserve">Guten Tag Johannes Traeger,</w:t>
      </w:r>
    </w:p>
    <w:p>
      <w:pPr>
        <w:spacing w:after="120"/>
      </w:pPr>
      <w:r>
        <w:t xml:space="preserve">vielen Dank für Ihr Interesse an unserer Fortbildungsreihe. Im Folgenden finden Sie die erbetenen Informationen zum Projekt. Alle Präsentationen und Materialien können Sie direkt im Browser ansehen, ohne Anmeldung und ohne Installation:</w:t>
      </w:r>
    </w:p>
    <w:p>
      <w:pPr>
        <w:spacing w:after="120"/>
      </w:pPr>
      <w:r>
        <w:rPr>
          <w:b/>
          <w:bCs/>
        </w:rPr>
        <w:t xml:space="preserve">https://ovgu-vet-teched.github.io/MBOT2_Weiterbildung/</w:t>
      </w:r>
    </w:p>
    <w:p>
      <w:pPr>
        <w:pStyle w:val="Heading2"/>
      </w:pPr>
      <w:r>
        <w:t xml:space="preserve">1 Name der Institution</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718"/>
        <w:gridCol w:w="6891"/>
      </w:tblGrid>
      <w:tr>
        <w:tc>
          <w:tcPr>
            <w:tcW w:type="dxa" w:w="2718"/>
            <w:tcMar>
              <w:top w:type="dxa" w:w="60"/>
              <w:left w:type="dxa" w:w="100"/>
              <w:bottom w:type="dxa" w:w="60"/>
              <w:right w:type="dxa" w:w="100"/>
            </w:tcMar>
          </w:tcPr>
          <w:p>
            <w:r>
              <w:t xml:space="preserve">Institution</w:t>
            </w:r>
          </w:p>
        </w:tc>
        <w:tc>
          <w:tcPr>
            <w:tcW w:type="dxa" w:w="6891"/>
            <w:tcMar>
              <w:top w:type="dxa" w:w="60"/>
              <w:left w:type="dxa" w:w="100"/>
              <w:bottom w:type="dxa" w:w="60"/>
              <w:right w:type="dxa" w:w="100"/>
            </w:tcMar>
          </w:tcPr>
          <w:p>
            <w:r>
              <w:t xml:space="preserve">Otto-von-Guericke-Universität Magdeburg</w:t>
            </w:r>
          </w:p>
        </w:tc>
      </w:tr>
      <w:tr>
        <w:tc>
          <w:tcPr>
            <w:tcW w:type="dxa" w:w="2718"/>
            <w:tcMar>
              <w:top w:type="dxa" w:w="60"/>
              <w:left w:type="dxa" w:w="100"/>
              <w:bottom w:type="dxa" w:w="60"/>
              <w:right w:type="dxa" w:w="100"/>
            </w:tcMar>
          </w:tcPr>
          <w:p>
            <w:r>
              <w:t xml:space="preserve">Fakultät</w:t>
            </w:r>
          </w:p>
        </w:tc>
        <w:tc>
          <w:tcPr>
            <w:tcW w:type="dxa" w:w="6891"/>
            <w:tcMar>
              <w:top w:type="dxa" w:w="60"/>
              <w:left w:type="dxa" w:w="100"/>
              <w:bottom w:type="dxa" w:w="60"/>
              <w:right w:type="dxa" w:w="100"/>
            </w:tcMar>
          </w:tcPr>
          <w:p>
            <w:r>
              <w:t xml:space="preserve">Fakultät für Humanwissenschaften</w:t>
            </w:r>
          </w:p>
        </w:tc>
      </w:tr>
      <w:tr>
        <w:tc>
          <w:tcPr>
            <w:tcW w:type="dxa" w:w="2718"/>
            <w:tcMar>
              <w:top w:type="dxa" w:w="60"/>
              <w:left w:type="dxa" w:w="100"/>
              <w:bottom w:type="dxa" w:w="60"/>
              <w:right w:type="dxa" w:w="100"/>
            </w:tcMar>
          </w:tcPr>
          <w:p>
            <w:r>
              <w:t xml:space="preserve">Lehrstuhl</w:t>
            </w:r>
          </w:p>
        </w:tc>
        <w:tc>
          <w:tcPr>
            <w:tcW w:type="dxa" w:w="6891"/>
            <w:tcMar>
              <w:top w:type="dxa" w:w="60"/>
              <w:left w:type="dxa" w:w="100"/>
              <w:bottom w:type="dxa" w:w="60"/>
              <w:right w:type="dxa" w:w="100"/>
            </w:tcMar>
          </w:tcPr>
          <w:p>
            <w:r>
              <w:t xml:space="preserve">Lehrstuhl für Ingenieurpädagogik und Technische Berufsbildung (ITVET)</w:t>
            </w:r>
          </w:p>
        </w:tc>
      </w:tr>
      <w:tr>
        <w:tc>
          <w:tcPr>
            <w:tcW w:type="dxa" w:w="2718"/>
            <w:tcMar>
              <w:top w:type="dxa" w:w="60"/>
              <w:left w:type="dxa" w:w="100"/>
              <w:bottom w:type="dxa" w:w="60"/>
              <w:right w:type="dxa" w:w="100"/>
            </w:tcMar>
          </w:tcPr>
          <w:p>
            <w:r>
              <w:t xml:space="preserve">Anschrift</w:t>
            </w:r>
          </w:p>
        </w:tc>
        <w:tc>
          <w:tcPr>
            <w:tcW w:type="dxa" w:w="6891"/>
            <w:tcMar>
              <w:top w:type="dxa" w:w="60"/>
              <w:left w:type="dxa" w:w="100"/>
              <w:bottom w:type="dxa" w:w="60"/>
              <w:right w:type="dxa" w:w="100"/>
            </w:tcMar>
          </w:tcPr>
          <w:p>
            <w:r>
              <w:t xml:space="preserve">Universitätsplatz 2, 39106 Magdeburg</w:t>
            </w:r>
          </w:p>
        </w:tc>
      </w:tr>
    </w:tbl>
    <w:p/>
    <w:p>
      <w:pPr>
        <w:pStyle w:val="Heading2"/>
      </w:pPr>
      <w:r>
        <w:t xml:space="preserve">2 Schulformen</w:t>
      </w:r>
    </w:p>
    <w:p>
      <w:pPr>
        <w:spacing w:after="120"/>
      </w:pPr>
      <w:r>
        <w:t xml:space="preserve">Die Reihe richtet sich an Lehrkräfte der Sekundarstufe I und II an</w:t>
      </w:r>
    </w:p>
    <w:p>
      <w:pPr>
        <w:pStyle w:val="ListParagraph"/>
        <w:numPr>
          <w:ilvl w:val="0"/>
          <w:numId w:val="1"/>
        </w:numPr>
      </w:pPr>
      <w:r>
        <w:t xml:space="preserve">Sekundarschulen,</w:t>
      </w:r>
    </w:p>
    <w:p>
      <w:pPr>
        <w:pStyle w:val="ListParagraph"/>
        <w:numPr>
          <w:ilvl w:val="0"/>
          <w:numId w:val="1"/>
        </w:numPr>
      </w:pPr>
      <w:r>
        <w:t xml:space="preserve">Gemeinschaftsschulen,</w:t>
      </w:r>
    </w:p>
    <w:p>
      <w:pPr>
        <w:pStyle w:val="ListParagraph"/>
        <w:numPr>
          <w:ilvl w:val="0"/>
          <w:numId w:val="1"/>
        </w:numPr>
      </w:pPr>
      <w:r>
        <w:t xml:space="preserve">Gymnasien und</w:t>
      </w:r>
    </w:p>
    <w:p>
      <w:pPr>
        <w:pStyle w:val="ListParagraph"/>
        <w:numPr>
          <w:ilvl w:val="0"/>
          <w:numId w:val="1"/>
        </w:numPr>
      </w:pPr>
      <w:r>
        <w:t xml:space="preserve">berufsbildenden Schulen.</w:t>
      </w:r>
    </w:p>
    <w:p>
      <w:pPr>
        <w:spacing w:after="120"/>
      </w:pPr>
      <w:r>
        <w:t xml:space="preserve">Das Unterrichtsmaterial ist am Beispiel Klasse 7 ausgearbeitet und enthält Varianten für die Klassen 5/6, 9/10 und die Sekundarstufe II. Es lässt sich damit in allen Jahrgangsstufen von Klasse 5 bis 13 einsetzen.</w:t>
      </w:r>
    </w:p>
    <w:p>
      <w:pPr>
        <w:pStyle w:val="Heading2"/>
      </w:pPr>
      <w:r>
        <w:t xml:space="preserve">3 Angesprochene Lehrkräfte und Fächer</w:t>
      </w:r>
    </w:p>
    <w:p>
      <w:pPr>
        <w:pStyle w:val="ListParagraph"/>
        <w:numPr>
          <w:ilvl w:val="0"/>
          <w:numId w:val="1"/>
        </w:numPr>
      </w:pPr>
      <w:r>
        <w:rPr>
          <w:b/>
          <w:bCs/>
        </w:rPr>
        <w:t xml:space="preserve">Schwerpunkt:</w:t>
      </w:r>
      <w:r>
        <w:t xml:space="preserve"> Technik, Informatik, Mathematik, Physik</w:t>
      </w:r>
    </w:p>
    <w:p>
      <w:pPr>
        <w:pStyle w:val="ListParagraph"/>
        <w:numPr>
          <w:ilvl w:val="0"/>
          <w:numId w:val="1"/>
        </w:numPr>
      </w:pPr>
      <w:r>
        <w:rPr>
          <w:b/>
          <w:bCs/>
        </w:rPr>
        <w:t xml:space="preserve">Offen für weitere Fächer:</w:t>
      </w:r>
      <w:r>
        <w:t xml:space="preserve"> In Sitzung 3 erproben und planen die Teilnehmenden in Fachgruppen. Lehrkräfte anderer Fächer bringen ihr Fach in eine fächerverbindende Projektwoche ein.</w:t>
      </w:r>
    </w:p>
    <w:p>
      <w:pPr>
        <w:pStyle w:val="ListParagraph"/>
        <w:numPr>
          <w:ilvl w:val="0"/>
          <w:numId w:val="1"/>
        </w:numPr>
      </w:pPr>
      <w:r>
        <w:rPr>
          <w:b/>
          <w:bCs/>
        </w:rPr>
        <w:t xml:space="preserve">Vorkenntnisse:</w:t>
      </w:r>
      <w:r>
        <w:t xml:space="preserve"> keine. Lernpfade auf drei Niveaus berücksichtigen unterschiedliches Vorwissen.</w:t>
      </w:r>
    </w:p>
    <w:p>
      <w:pPr>
        <w:pStyle w:val="ListParagraph"/>
        <w:numPr>
          <w:ilvl w:val="0"/>
          <w:numId w:val="1"/>
        </w:numPr>
      </w:pPr>
      <w:r>
        <w:rPr>
          <w:b/>
          <w:bCs/>
        </w:rPr>
        <w:t xml:space="preserve">Gruppengröße:</w:t>
      </w:r>
      <w:r>
        <w:t xml:space="preserve"> 8 bis 16 Teilnehmende</w:t>
      </w:r>
    </w:p>
    <w:p>
      <w:pPr>
        <w:pStyle w:val="Heading2"/>
      </w:pPr>
      <w:r>
        <w:t xml:space="preserve">4 Anzahl der Termine</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300"/>
        <w:gridCol w:w="6309"/>
      </w:tblGrid>
      <w:tr>
        <w:trPr>
          <w:tblHeader/>
        </w:trPr>
        <w:tc>
          <w:tcPr>
            <w:tcW w:type="dxa" w:w="3300"/>
            <w:shd w:fill="FDF0E3" w:color="auto" w:val="clear"/>
            <w:tcMar>
              <w:top w:type="dxa" w:w="60"/>
              <w:left w:type="dxa" w:w="100"/>
              <w:bottom w:type="dxa" w:w="60"/>
              <w:right w:type="dxa" w:w="100"/>
            </w:tcMar>
          </w:tcPr>
          <w:p>
            <w:r>
              <w:rPr>
                <w:b/>
                <w:bCs/>
              </w:rPr>
              <w:t xml:space="preserve">Baustein</w:t>
            </w:r>
          </w:p>
        </w:tc>
        <w:tc>
          <w:tcPr>
            <w:tcW w:type="dxa" w:w="6309"/>
            <w:shd w:fill="FDF0E3" w:color="auto" w:val="clear"/>
            <w:tcMar>
              <w:top w:type="dxa" w:w="60"/>
              <w:left w:type="dxa" w:w="100"/>
              <w:bottom w:type="dxa" w:w="60"/>
              <w:right w:type="dxa" w:w="100"/>
            </w:tcMar>
          </w:tcPr>
          <w:p>
            <w:r>
              <w:rPr>
                <w:b/>
                <w:bCs/>
              </w:rPr>
              <w:t xml:space="preserve">Umfang</w:t>
            </w:r>
          </w:p>
        </w:tc>
      </w:tr>
      <w:tr>
        <w:tc>
          <w:tcPr>
            <w:tcW w:type="dxa" w:w="3300"/>
            <w:tcMar>
              <w:top w:type="dxa" w:w="60"/>
              <w:left w:type="dxa" w:w="100"/>
              <w:bottom w:type="dxa" w:w="60"/>
              <w:right w:type="dxa" w:w="100"/>
            </w:tcMar>
          </w:tcPr>
          <w:p>
            <w:r>
              <w:t xml:space="preserve">3 Live-Sitzungen (online)</w:t>
            </w:r>
          </w:p>
        </w:tc>
        <w:tc>
          <w:tcPr>
            <w:tcW w:type="dxa" w:w="6309"/>
            <w:tcMar>
              <w:top w:type="dxa" w:w="60"/>
              <w:left w:type="dxa" w:w="100"/>
              <w:bottom w:type="dxa" w:w="60"/>
              <w:right w:type="dxa" w:w="100"/>
            </w:tcMar>
          </w:tcPr>
          <w:p>
            <w:r>
              <w:t xml:space="preserve">je 90 Minuten (zusammen 6 Unterrichtsstunden à 45 Minuten), im Abstand von 2 bis 3 Wochen</w:t>
            </w:r>
          </w:p>
        </w:tc>
      </w:tr>
      <w:tr>
        <w:tc>
          <w:tcPr>
            <w:tcW w:type="dxa" w:w="3300"/>
            <w:tcMar>
              <w:top w:type="dxa" w:w="60"/>
              <w:left w:type="dxa" w:w="100"/>
              <w:bottom w:type="dxa" w:w="60"/>
              <w:right w:type="dxa" w:w="100"/>
            </w:tcMar>
          </w:tcPr>
          <w:p>
            <w:r>
              <w:t xml:space="preserve">3 Selbstlernmodule</w:t>
            </w:r>
          </w:p>
        </w:tc>
        <w:tc>
          <w:tcPr>
            <w:tcW w:type="dxa" w:w="6309"/>
            <w:tcMar>
              <w:top w:type="dxa" w:w="60"/>
              <w:left w:type="dxa" w:w="100"/>
              <w:bottom w:type="dxa" w:w="60"/>
              <w:right w:type="dxa" w:w="100"/>
            </w:tcMar>
          </w:tcPr>
          <w:p>
            <w:r>
              <w:t xml:space="preserve">vor bzw. zwischen den Sitzungen, zusammen ca. 1,5 Zeitstunden</w:t>
            </w:r>
          </w:p>
        </w:tc>
      </w:tr>
      <w:tr>
        <w:tc>
          <w:tcPr>
            <w:tcW w:type="dxa" w:w="3300"/>
            <w:tcMar>
              <w:top w:type="dxa" w:w="60"/>
              <w:left w:type="dxa" w:w="100"/>
              <w:bottom w:type="dxa" w:w="60"/>
              <w:right w:type="dxa" w:w="100"/>
            </w:tcMar>
          </w:tcPr>
          <w:p>
            <w:r>
              <w:t xml:space="preserve">Praxisauftrag</w:t>
            </w:r>
          </w:p>
        </w:tc>
        <w:tc>
          <w:tcPr>
            <w:tcW w:type="dxa" w:w="6309"/>
            <w:tcMar>
              <w:top w:type="dxa" w:w="60"/>
              <w:left w:type="dxa" w:w="100"/>
              <w:bottom w:type="dxa" w:w="60"/>
              <w:right w:type="dxa" w:w="100"/>
            </w:tcMar>
          </w:tcPr>
          <w:p>
            <w:r>
              <w:t xml:space="preserve">nach Sitzung 3, ca. 2 Zeitstunden zuzüglich Erprobung im eigenen Unterricht</w:t>
            </w:r>
          </w:p>
        </w:tc>
      </w:tr>
    </w:tbl>
    <w:p/>
    <w:p>
      <w:pPr>
        <w:spacing w:after="120"/>
      </w:pPr>
      <w:r>
        <w:t xml:space="preserve">Termine: Sitzung 1: [Datum, Uhrzeit] · Sitzung 2: [Datum, Uhrzeit] · Sitzung 3: [Datum, Uhrzeit]</w:t>
      </w:r>
    </w:p>
    <w:p>
      <w:pPr>
        <w:pStyle w:val="Heading2"/>
      </w:pPr>
      <w:r>
        <w:t xml:space="preserve">5 Organisationsform</w:t>
      </w:r>
    </w:p>
    <w:p>
      <w:pPr>
        <w:spacing w:after="120"/>
      </w:pPr>
      <w:r>
        <w:t xml:space="preserve">Die Reihe findet </w:t>
      </w:r>
      <w:r>
        <w:rPr>
          <w:b/>
          <w:bCs/>
        </w:rPr>
        <w:t xml:space="preserve">online</w:t>
      </w:r>
      <w:r>
        <w:t xml:space="preserve"> statt und verbindet Live-Sitzungen mit Selbstlernphasen und einer Praxisphase:</w:t>
      </w:r>
    </w:p>
    <w:p>
      <w:pPr>
        <w:pStyle w:val="ListParagraph"/>
        <w:numPr>
          <w:ilvl w:val="0"/>
          <w:numId w:val="1"/>
        </w:numPr>
      </w:pPr>
      <w:r>
        <w:rPr>
          <w:b/>
          <w:bCs/>
        </w:rPr>
        <w:t xml:space="preserve">Online (synchron):</w:t>
      </w:r>
      <w:r>
        <w:t xml:space="preserve"> Die drei Sitzungen finden live als Videokonferenz statt. Die Teilnehmenden arbeiten dabei praktisch am mBot2 und mit Open Roberta Lab im Browser.</w:t>
      </w:r>
    </w:p>
    <w:p>
      <w:pPr>
        <w:pStyle w:val="ListParagraph"/>
        <w:numPr>
          <w:ilvl w:val="0"/>
          <w:numId w:val="1"/>
        </w:numPr>
      </w:pPr>
      <w:r>
        <w:rPr>
          <w:b/>
          <w:bCs/>
        </w:rPr>
        <w:t xml:space="preserve">Digital (asynchron):</w:t>
      </w:r>
      <w:r>
        <w:t xml:space="preserve"> Die Selbstlernmodule mit Wissenscheck und Rückmeldung laufen im Moodle-Kurs des Bildungsportals Magdeburg oder direkt im Browser (LiaScript).</w:t>
      </w:r>
    </w:p>
    <w:p>
      <w:pPr>
        <w:pStyle w:val="ListParagraph"/>
        <w:numPr>
          <w:ilvl w:val="0"/>
          <w:numId w:val="1"/>
        </w:numPr>
      </w:pPr>
      <w:r>
        <w:rPr>
          <w:b/>
          <w:bCs/>
        </w:rPr>
        <w:t xml:space="preserve">In der eigenen Schule:</w:t>
      </w:r>
      <w:r>
        <w:t xml:space="preserve"> Im Praxisauftrag erproben die Teilnehmenden den in Sitzung 3 geplanten Projekttag mit einer eigenen Lerngruppe und reichen eine kurze Reflexion ein.</w:t>
      </w:r>
    </w:p>
    <w:p>
      <w:pPr>
        <w:spacing w:after="120"/>
      </w:pPr>
      <w:r>
        <w:rPr>
          <w:b/>
          <w:bCs/>
        </w:rPr>
        <w:t xml:space="preserve">Abschluss:</w:t>
      </w:r>
      <w:r>
        <w:t xml:space="preserve"> Teilnahmebescheinigung der OVGU bei Teilnahme an allen drei Sitzungen, Bearbeitung der Selbstlernmodule und Einreichen des Praxisauftrags. </w:t>
      </w:r>
      <w:r>
        <w:rPr>
          <w:b/>
          <w:bCs/>
        </w:rPr>
        <w:t xml:space="preserve">Kosten:</w:t>
      </w:r>
      <w:r>
        <w:t xml:space="preserve"> kostenfrei</w:t>
      </w:r>
    </w:p>
    <w:p>
      <w:pPr>
        <w:pStyle w:val="Heading2"/>
      </w:pPr>
      <w:r>
        <w:t xml:space="preserve">6 Inhalte</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68"/>
        <w:gridCol w:w="2329"/>
        <w:gridCol w:w="6115"/>
      </w:tblGrid>
      <w:tr>
        <w:trPr>
          <w:tblHeader/>
        </w:trPr>
        <w:tc>
          <w:tcPr>
            <w:tcW w:type="dxa" w:w="1068"/>
            <w:shd w:fill="FDF0E3" w:color="auto" w:val="clear"/>
            <w:tcMar>
              <w:top w:type="dxa" w:w="60"/>
              <w:left w:type="dxa" w:w="100"/>
              <w:bottom w:type="dxa" w:w="60"/>
              <w:right w:type="dxa" w:w="100"/>
            </w:tcMar>
          </w:tcPr>
          <w:p>
            <w:r>
              <w:rPr>
                <w:b/>
                <w:bCs/>
              </w:rPr>
              <w:t xml:space="preserve">Sitzung</w:t>
            </w:r>
          </w:p>
        </w:tc>
        <w:tc>
          <w:tcPr>
            <w:tcW w:type="dxa" w:w="2329"/>
            <w:shd w:fill="FDF0E3" w:color="auto" w:val="clear"/>
            <w:tcMar>
              <w:top w:type="dxa" w:w="60"/>
              <w:left w:type="dxa" w:w="100"/>
              <w:bottom w:type="dxa" w:w="60"/>
              <w:right w:type="dxa" w:w="100"/>
            </w:tcMar>
          </w:tcPr>
          <w:p>
            <w:r>
              <w:rPr>
                <w:b/>
                <w:bCs/>
              </w:rPr>
              <w:t xml:space="preserve">Thema</w:t>
            </w:r>
          </w:p>
        </w:tc>
        <w:tc>
          <w:tcPr>
            <w:tcW w:type="dxa" w:w="6115"/>
            <w:shd w:fill="FDF0E3" w:color="auto" w:val="clear"/>
            <w:tcMar>
              <w:top w:type="dxa" w:w="60"/>
              <w:left w:type="dxa" w:w="100"/>
              <w:bottom w:type="dxa" w:w="60"/>
              <w:right w:type="dxa" w:w="100"/>
            </w:tcMar>
          </w:tcPr>
          <w:p>
            <w:r>
              <w:rPr>
                <w:b/>
                <w:bCs/>
              </w:rPr>
              <w:t xml:space="preserve">Inhalte</w:t>
            </w:r>
          </w:p>
        </w:tc>
      </w:tr>
      <w:tr>
        <w:tc>
          <w:tcPr>
            <w:tcW w:type="dxa" w:w="1068"/>
            <w:tcMar>
              <w:top w:type="dxa" w:w="60"/>
              <w:left w:type="dxa" w:w="100"/>
              <w:bottom w:type="dxa" w:w="60"/>
              <w:right w:type="dxa" w:w="100"/>
            </w:tcMar>
          </w:tcPr>
          <w:p>
            <w:r>
              <w:t xml:space="preserve">1</w:t>
            </w:r>
          </w:p>
        </w:tc>
        <w:tc>
          <w:tcPr>
            <w:tcW w:type="dxa" w:w="2329"/>
            <w:tcMar>
              <w:top w:type="dxa" w:w="60"/>
              <w:left w:type="dxa" w:w="100"/>
              <w:bottom w:type="dxa" w:w="60"/>
              <w:right w:type="dxa" w:w="100"/>
            </w:tcMar>
          </w:tcPr>
          <w:p>
            <w:r>
              <w:t xml:space="preserve">Den mBot2 kennenlernen</w:t>
            </w:r>
          </w:p>
        </w:tc>
        <w:tc>
          <w:tcPr>
            <w:tcW w:type="dxa" w:w="6115"/>
            <w:tcMar>
              <w:top w:type="dxa" w:w="60"/>
              <w:left w:type="dxa" w:w="100"/>
              <w:bottom w:type="dxa" w:w="60"/>
              <w:right w:type="dxa" w:w="100"/>
            </w:tcMar>
          </w:tcPr>
          <w:p>
            <w:r>
              <w:t xml:space="preserve">Bauteile und EVA-Prinzip (Eingabe – Verarbeitung – Ausgabe), Montage im Tandem, Verbindung mit Open Roberta Lab, erstes Programm vorhersagen und testen</w:t>
            </w:r>
          </w:p>
        </w:tc>
      </w:tr>
      <w:tr>
        <w:tc>
          <w:tcPr>
            <w:tcW w:type="dxa" w:w="1068"/>
            <w:tcMar>
              <w:top w:type="dxa" w:w="60"/>
              <w:left w:type="dxa" w:w="100"/>
              <w:bottom w:type="dxa" w:w="60"/>
              <w:right w:type="dxa" w:w="100"/>
            </w:tcMar>
          </w:tcPr>
          <w:p>
            <w:r>
              <w:t xml:space="preserve">2</w:t>
            </w:r>
          </w:p>
        </w:tc>
        <w:tc>
          <w:tcPr>
            <w:tcW w:type="dxa" w:w="2329"/>
            <w:tcMar>
              <w:top w:type="dxa" w:w="60"/>
              <w:left w:type="dxa" w:w="100"/>
              <w:bottom w:type="dxa" w:w="60"/>
              <w:right w:type="dxa" w:w="100"/>
            </w:tcMar>
          </w:tcPr>
          <w:p>
            <w:r>
              <w:t xml:space="preserve">Programmieren mit Open Roberta</w:t>
            </w:r>
          </w:p>
        </w:tc>
        <w:tc>
          <w:tcPr>
            <w:tcW w:type="dxa" w:w="6115"/>
            <w:tcMar>
              <w:top w:type="dxa" w:w="60"/>
              <w:left w:type="dxa" w:w="100"/>
              <w:bottom w:type="dxa" w:w="60"/>
              <w:right w:type="dxa" w:w="100"/>
            </w:tcMar>
          </w:tcPr>
          <w:p>
            <w:r>
              <w:t xml:space="preserve">Sequenz, Schleife, Bedingung; Sensorwerte und Schwellenwerte; systematische Fehlersuche; Lernpfade auf drei Niveaus; Algorithmen erklären (Mini-Teach)</w:t>
            </w:r>
          </w:p>
        </w:tc>
      </w:tr>
      <w:tr>
        <w:tc>
          <w:tcPr>
            <w:tcW w:type="dxa" w:w="1068"/>
            <w:tcMar>
              <w:top w:type="dxa" w:w="60"/>
              <w:left w:type="dxa" w:w="100"/>
              <w:bottom w:type="dxa" w:w="60"/>
              <w:right w:type="dxa" w:w="100"/>
            </w:tcMar>
          </w:tcPr>
          <w:p>
            <w:r>
              <w:t xml:space="preserve">3</w:t>
            </w:r>
          </w:p>
        </w:tc>
        <w:tc>
          <w:tcPr>
            <w:tcW w:type="dxa" w:w="2329"/>
            <w:tcMar>
              <w:top w:type="dxa" w:w="60"/>
              <w:left w:type="dxa" w:w="100"/>
              <w:bottom w:type="dxa" w:w="60"/>
              <w:right w:type="dxa" w:w="100"/>
            </w:tcMar>
          </w:tcPr>
          <w:p>
            <w:r>
              <w:t xml:space="preserve">Vom Roboter zum Unterricht</w:t>
            </w:r>
          </w:p>
        </w:tc>
        <w:tc>
          <w:tcPr>
            <w:tcW w:type="dxa" w:w="6115"/>
            <w:tcMar>
              <w:top w:type="dxa" w:w="60"/>
              <w:left w:type="dxa" w:w="100"/>
              <w:bottom w:type="dxa" w:w="60"/>
              <w:right w:type="dxa" w:w="100"/>
            </w:tcMar>
          </w:tcPr>
          <w:p>
            <w:r>
              <w:t xml:space="preserve">Erprobung einer Unterrichtsaufgabe in Fachgruppen, Planung eines Projekttags (Lernziel, Ablauf, Differenzierung, Lernnachweis), kriteriengeleitetes Peer-Feedback, Organisation an der eigenen Schule</w:t>
            </w:r>
          </w:p>
        </w:tc>
      </w:tr>
    </w:tbl>
    <w:p/>
    <w:p>
      <w:pPr>
        <w:spacing w:after="120"/>
      </w:pPr>
      <w:r>
        <w:rPr>
          <w:b/>
          <w:bCs/>
        </w:rPr>
        <w:t xml:space="preserve">Ziele:</w:t>
      </w:r>
      <w:r>
        <w:t xml:space="preserve"> Die Teilnehmenden können</w:t>
      </w:r>
    </w:p>
    <w:p>
      <w:pPr>
        <w:pStyle w:val="ListParagraph"/>
        <w:numPr>
          <w:ilvl w:val="0"/>
          <w:numId w:val="2"/>
        </w:numPr>
      </w:pPr>
      <w:r>
        <w:t xml:space="preserve">den mBot2 als technisches System nach dem EVA-Prinzip erklären, montieren und mit Open Roberta Lab in Betrieb nehmen,</w:t>
      </w:r>
    </w:p>
    <w:p>
      <w:pPr>
        <w:pStyle w:val="ListParagraph"/>
        <w:numPr>
          <w:ilvl w:val="0"/>
          <w:numId w:val="2"/>
        </w:numPr>
      </w:pPr>
      <w:r>
        <w:t xml:space="preserve">Programme mit Sequenz, Schleife, Bedingung und Sensorwerten entwickeln und Fehler systematisch beheben,</w:t>
      </w:r>
    </w:p>
    <w:p>
      <w:pPr>
        <w:pStyle w:val="ListParagraph"/>
        <w:numPr>
          <w:ilvl w:val="0"/>
          <w:numId w:val="2"/>
        </w:numPr>
      </w:pPr>
      <w:r>
        <w:t xml:space="preserve">den mBot2 begründet für ein fachliches Lernziel ihrer Jahrgangsstufe einsetzen und eine differenzierte Unterrichtseinheit planen,</w:t>
      </w:r>
    </w:p>
    <w:p>
      <w:pPr>
        <w:pStyle w:val="ListParagraph"/>
        <w:numPr>
          <w:ilvl w:val="0"/>
          <w:numId w:val="2"/>
        </w:numPr>
      </w:pPr>
      <w:r>
        <w:t xml:space="preserve">den technischen und organisatorischen Aufwand für ihre Schule realistisch einschätzen.</w:t>
      </w:r>
    </w:p>
    <w:p>
      <w:pPr>
        <w:spacing w:after="120"/>
      </w:pPr>
      <w:r>
        <w:rPr>
          <w:b/>
          <w:bCs/>
        </w:rPr>
        <w:t xml:space="preserve">Kompetenzbezug:</w:t>
      </w:r>
      <w:r>
        <w:t xml:space="preserve"> UNESCO ICT Competency Framework for Teachers, Version 3 · DigCompEdu, Bereiche 3, 5 und 6 · KMK-Strategie „Bildung in der digitalen Welt“, Kompetenzbereiche 5 und 6.</w:t>
      </w:r>
    </w:p>
    <w:p>
      <w:pPr>
        <w:spacing w:after="120"/>
      </w:pPr>
      <w:r>
        <w:rPr>
          <w:b/>
          <w:bCs/>
        </w:rPr>
        <w:t xml:space="preserve">Methodische Grundsätze:</w:t>
      </w:r>
      <w:r>
        <w:t xml:space="preserve"> Pädagogischer Doppeldecker (die Lehrkräfte erleben die Methoden, die sie später selbst einsetzen), Erleben vor Erklären, Binnendifferenzierung, Erprobung vor Planung.</w:t>
      </w:r>
    </w:p>
    <w:p>
      <w:pPr>
        <w:spacing w:after="120"/>
      </w:pPr>
      <w:r>
        <w:rPr>
          <w:b/>
          <w:bCs/>
        </w:rPr>
        <w:t xml:space="preserve">Entstehung:</w:t>
      </w:r>
      <w:r>
        <w:t xml:space="preserve"> Die Reihe beruht auf Einheiten, die Studierende der Didaktikwerkstatt Technik an der OVGU im Sommersemester 2026 entwickelt und erprobt haben. Sie wurde auf Grundlage des Erprobungsfeedbacks fachlich überarbeitet.</w:t>
      </w:r>
    </w:p>
    <w:p>
      <w:pPr>
        <w:spacing w:after="120"/>
      </w:pPr>
      <w:r>
        <w:rPr>
          <w:b/>
          <w:bCs/>
        </w:rPr>
        <w:t xml:space="preserve">Materialien:</w:t>
      </w:r>
      <w:r>
        <w:t xml:space="preserve"> Präsentationen, Moderationsleitfäden, Arbeitshefte, Lösungshefte, Selbstlernmodule und Unterrichtsmaterial für die Klassen 5 bis 13, frei verfügbar unter der Lizenz CC BY 4.0.</w:t>
      </w:r>
    </w:p>
    <w:p>
      <w:pPr>
        <w:pStyle w:val="Heading2"/>
      </w:pPr>
      <w:r>
        <w:t xml:space="preserve">7 Ansprechpartner</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38"/>
        <w:gridCol w:w="7571"/>
      </w:tblGrid>
      <w:tr>
        <w:tc>
          <w:tcPr>
            <w:tcW w:type="dxa" w:w="2038"/>
            <w:tcMar>
              <w:top w:type="dxa" w:w="60"/>
              <w:left w:type="dxa" w:w="100"/>
              <w:bottom w:type="dxa" w:w="60"/>
              <w:right w:type="dxa" w:w="100"/>
            </w:tcMar>
          </w:tcPr>
          <w:p>
            <w:r>
              <w:t xml:space="preserve">Name</w:t>
            </w:r>
          </w:p>
        </w:tc>
        <w:tc>
          <w:tcPr>
            <w:tcW w:type="dxa" w:w="7571"/>
            <w:tcMar>
              <w:top w:type="dxa" w:w="60"/>
              <w:left w:type="dxa" w:w="100"/>
              <w:bottom w:type="dxa" w:w="60"/>
              <w:right w:type="dxa" w:w="100"/>
            </w:tcMar>
          </w:tcPr>
          <w:p>
            <w:r>
              <w:t xml:space="preserve">Dr. Hannes Tegelbeckers</w:t>
            </w:r>
          </w:p>
        </w:tc>
      </w:tr>
      <w:tr>
        <w:tc>
          <w:tcPr>
            <w:tcW w:type="dxa" w:w="2038"/>
            <w:tcMar>
              <w:top w:type="dxa" w:w="60"/>
              <w:left w:type="dxa" w:w="100"/>
              <w:bottom w:type="dxa" w:w="60"/>
              <w:right w:type="dxa" w:w="100"/>
            </w:tcMar>
          </w:tcPr>
          <w:p>
            <w:r>
              <w:t xml:space="preserve">Funktion</w:t>
            </w:r>
          </w:p>
        </w:tc>
        <w:tc>
          <w:tcPr>
            <w:tcW w:type="dxa" w:w="7571"/>
            <w:tcMar>
              <w:top w:type="dxa" w:w="60"/>
              <w:left w:type="dxa" w:w="100"/>
              <w:bottom w:type="dxa" w:w="60"/>
              <w:right w:type="dxa" w:w="100"/>
            </w:tcMar>
          </w:tcPr>
          <w:p>
            <w:r>
              <w:t xml:space="preserve">Kursverantwortung</w:t>
            </w:r>
          </w:p>
        </w:tc>
      </w:tr>
      <w:tr>
        <w:tc>
          <w:tcPr>
            <w:tcW w:type="dxa" w:w="2038"/>
            <w:tcMar>
              <w:top w:type="dxa" w:w="60"/>
              <w:left w:type="dxa" w:w="100"/>
              <w:bottom w:type="dxa" w:w="60"/>
              <w:right w:type="dxa" w:w="100"/>
            </w:tcMar>
          </w:tcPr>
          <w:p>
            <w:r>
              <w:t xml:space="preserve">E-Mail</w:t>
            </w:r>
          </w:p>
        </w:tc>
        <w:tc>
          <w:tcPr>
            <w:tcW w:type="dxa" w:w="7571"/>
            <w:tcMar>
              <w:top w:type="dxa" w:w="60"/>
              <w:left w:type="dxa" w:w="100"/>
              <w:bottom w:type="dxa" w:w="60"/>
              <w:right w:type="dxa" w:w="100"/>
            </w:tcMar>
          </w:tcPr>
          <w:p>
            <w:r>
              <w:t xml:space="preserve">hannes.tegelbeckers@ovgu.de · itvet@ovgu.de</w:t>
            </w:r>
          </w:p>
        </w:tc>
      </w:tr>
      <w:tr>
        <w:tc>
          <w:tcPr>
            <w:tcW w:type="dxa" w:w="2038"/>
            <w:tcMar>
              <w:top w:type="dxa" w:w="60"/>
              <w:left w:type="dxa" w:w="100"/>
              <w:bottom w:type="dxa" w:w="60"/>
              <w:right w:type="dxa" w:w="100"/>
            </w:tcMar>
          </w:tcPr>
          <w:p>
            <w:r>
              <w:t xml:space="preserve">Telefon</w:t>
            </w:r>
          </w:p>
        </w:tc>
        <w:tc>
          <w:tcPr>
            <w:tcW w:type="dxa" w:w="7571"/>
            <w:tcMar>
              <w:top w:type="dxa" w:w="60"/>
              <w:left w:type="dxa" w:w="100"/>
              <w:bottom w:type="dxa" w:w="60"/>
              <w:right w:type="dxa" w:w="100"/>
            </w:tcMar>
          </w:tcPr>
          <w:p>
            <w:r>
              <w:t xml:space="preserve">0391 67-56373</w:t>
            </w:r>
          </w:p>
        </w:tc>
      </w:tr>
      <w:tr>
        <w:tc>
          <w:tcPr>
            <w:tcW w:type="dxa" w:w="2038"/>
            <w:tcMar>
              <w:top w:type="dxa" w:w="60"/>
              <w:left w:type="dxa" w:w="100"/>
              <w:bottom w:type="dxa" w:w="60"/>
              <w:right w:type="dxa" w:w="100"/>
            </w:tcMar>
          </w:tcPr>
          <w:p>
            <w:r>
              <w:t xml:space="preserve">Anschrift</w:t>
            </w:r>
          </w:p>
        </w:tc>
        <w:tc>
          <w:tcPr>
            <w:tcW w:type="dxa" w:w="7571"/>
            <w:tcMar>
              <w:top w:type="dxa" w:w="60"/>
              <w:left w:type="dxa" w:w="100"/>
              <w:bottom w:type="dxa" w:w="60"/>
              <w:right w:type="dxa" w:w="100"/>
            </w:tcMar>
          </w:tcPr>
          <w:p>
            <w:r>
              <w:t xml:space="preserve">Otto-von-Guericke-Universität Magdeburg, Fakultät für Humanwissenschaften, ITVET, Universitätsplatz 2, 39106 Magdeburg</w:t>
            </w:r>
          </w:p>
        </w:tc>
      </w:tr>
    </w:tbl>
    <w:p/>
    <w:p>
      <w:pPr>
        <w:spacing w:after="120"/>
      </w:pPr>
      <w:r>
        <w:t xml:space="preserve">Ein ausführliches Kursprogramm mit Zeitplan und Methoden je Sitzung liegt bei. Für Rückfragen stehe ich gern zur Verfügung.</w:t>
      </w:r>
    </w:p>
    <w:p>
      <w:pPr>
        <w:spacing w:after="120"/>
      </w:pPr>
      <w:r>
        <w:t xml:space="preserve">Mit freundlichen Grüßen</w:t>
      </w:r>
    </w:p>
    <w:p>
      <w:pPr>
        <w:spacing w:after="120"/>
      </w:pPr>
      <w:r>
        <w:t xml:space="preserve">Dr. Hannes Tegelbeckers</w:t>
      </w:r>
    </w:p>
    <w:p>
      <w:pPr>
        <w:spacing w:after="120"/>
      </w:pPr>
      <w:r>
        <w:rPr>
          <w:b/>
          <w:bCs/>
        </w:rPr>
        <w:t xml:space="preserve">Anlage:</w:t>
      </w:r>
      <w:r>
        <w:t xml:space="preserve"> Kursprogramm mit Veranstalterangaben (01_Veranstalterangaben_und_Kursprogramm)</w:t>
      </w:r>
    </w:p>
    <w:sectPr>
      <w:headerReference w:type="default" r:id="rId6"/>
      <w:footerReference w:type="default" r:id="rId7"/>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Projektinformation: Der mBot2 im Fachunterricht – vom Bau…  ·  mBot2-Fortbildung Magdeburg  ·  CC BY 4.0  ·  Seite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20002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00250"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ucida Sans" w:cs="Lucida Sans" w:eastAsia="Lucida Sans" w:hAnsi="Lucida Sans"/>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40"/>
    </w:pPr>
    <w:rPr>
      <w:rFonts w:ascii="Lucida Sans" w:cs="Lucida Sans" w:eastAsia="Lucida Sans" w:hAnsi="Lucida Sans"/>
      <w:b/>
      <w:bCs/>
      <w:color w:val="7A003F"/>
      <w:sz w:val="34"/>
      <w:szCs w:val="34"/>
    </w:rPr>
  </w:style>
  <w:style w:type="paragraph" w:styleId="Heading2">
    <w:name w:val="Heading 2"/>
    <w:basedOn w:val="Normal"/>
    <w:next w:val="Normal"/>
    <w:pPr>
      <w:spacing w:after="120" w:before="240"/>
    </w:pPr>
    <w:rPr>
      <w:rFonts w:ascii="Lucida Sans" w:cs="Lucida Sans" w:eastAsia="Lucida Sans" w:hAnsi="Lucida Sans"/>
      <w:b/>
      <w:bCs/>
      <w:color w:val="7A003F"/>
      <w:sz w:val="28"/>
      <w:szCs w:val="28"/>
    </w:rPr>
  </w:style>
  <w:style w:type="paragraph" w:styleId="Heading3">
    <w:name w:val="Heading 3"/>
    <w:basedOn w:val="Normal"/>
    <w:next w:val="Normal"/>
    <w:pPr>
      <w:spacing w:after="80" w:before="180"/>
    </w:pPr>
    <w:rPr>
      <w:b/>
      <w:bCs/>
      <w:color w:val="333333"/>
      <w:sz w:val="24"/>
      <w:szCs w:val="24"/>
    </w:rPr>
  </w:style>
  <w:style w:type="paragraph" w:styleId="Heading4">
    <w:name w:val="Heading 4"/>
    <w:basedOn w:val="Normal"/>
    <w:next w:val="Normal"/>
    <w:pPr>
      <w:spacing w:after="60" w:before="120"/>
    </w:pPr>
    <w:rPr>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8a84975429fa1d78469acb3efd84469ea7f17c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Projektinformation: Der mBot2 im Fachunterricht – vom Bau…</dc:title>
  <dc:creator>ITVET – OVGU Magdeburg</dc:creator>
  <cp:lastModifiedBy>Un-named</cp:lastModifiedBy>
  <cp:revision>1</cp:revision>
  <dcterms:created xsi:type="dcterms:W3CDTF">2026-10-07T09:29:50.273Z</dcterms:created>
  <dcterms:modified xsi:type="dcterms:W3CDTF">2026-10-07T09:29:50.277Z</dcterms:modified>
</cp:coreProperties>
</file>

<file path=docProps/custom.xml><?xml version="1.0" encoding="utf-8"?>
<Properties xmlns="http://schemas.openxmlformats.org/officeDocument/2006/custom-properties" xmlns:vt="http://schemas.openxmlformats.org/officeDocument/2006/docPropsVTypes"/>
</file>