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Teacher Training Lesson Plan</w:t>
      </w:r>
    </w:p>
    <w:p>
      <w:pPr>
        <w:pStyle w:val="Normal"/>
        <w:bidi w:val="0"/>
        <w:jc w:val="start"/>
        <w:rPr/>
      </w:pPr>
      <w:r>
        <w:rPr>
          <w:b/>
          <w:bCs/>
        </w:rPr>
        <w:t>Title:</w:t>
      </w:r>
      <w:r>
        <w:rPr/>
        <w:br/>
      </w:r>
      <w:r>
        <w:rPr>
          <w:b/>
          <w:bCs/>
        </w:rPr>
        <w:t>AI-Enhanced Vocational English Teaching for TVET Internationalization</w:t>
      </w:r>
    </w:p>
    <w:p>
      <w:pPr>
        <w:pStyle w:val="Normal"/>
        <w:bidi w:val="0"/>
        <w:jc w:val="start"/>
        <w:rPr/>
      </w:pPr>
      <w:r>
        <w:rPr>
          <w:b/>
          <w:bCs/>
        </w:rPr>
        <w:t>Target Group:</w:t>
      </w:r>
      <w:r>
        <w:rPr/>
        <w:br/>
        <w:t>TVET English teachers (teaching mixed-proficiency vocational learners)</w:t>
      </w:r>
    </w:p>
    <w:p>
      <w:pPr>
        <w:pStyle w:val="Normal"/>
        <w:bidi w:val="0"/>
        <w:jc w:val="start"/>
        <w:rPr/>
      </w:pPr>
      <w:r>
        <w:rPr>
          <w:b/>
          <w:bCs/>
        </w:rPr>
        <w:t>Duration:</w:t>
      </w:r>
      <w:r>
        <w:rPr/>
        <w:br/>
        <w:t>6 hours total (can be delivered as 1 full day or 3 × 2-hour sessions)</w:t>
      </w:r>
    </w:p>
    <w:p>
      <w:pPr>
        <w:pStyle w:val="Normal"/>
        <w:bidi w:val="0"/>
        <w:jc w:val="start"/>
        <w:rPr/>
      </w:pPr>
      <w:r>
        <w:rPr>
          <w:b/>
          <w:bCs/>
        </w:rPr>
        <w:t>Training Mode:</w:t>
      </w:r>
      <w:r>
        <w:rPr/>
        <w:br/>
        <w:t>Blended (face-to-face + guided AI practice)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  <w:t>1. Training Purpose &amp; Alignment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Purpose</w:t>
      </w:r>
    </w:p>
    <w:p>
      <w:pPr>
        <w:pStyle w:val="Normal"/>
        <w:bidi w:val="0"/>
        <w:jc w:val="start"/>
        <w:rPr/>
      </w:pPr>
      <w:r>
        <w:rPr/>
        <w:t xml:space="preserve">To equip TVET English teachers with the </w:t>
      </w:r>
      <w:r>
        <w:rPr>
          <w:b/>
          <w:bCs/>
        </w:rPr>
        <w:t>competence, confidence, and ethical grounding</w:t>
      </w:r>
      <w:r>
        <w:rPr/>
        <w:t xml:space="preserve"> to integrate AI tools into </w:t>
      </w:r>
      <w:r>
        <w:rPr>
          <w:b/>
          <w:bCs/>
        </w:rPr>
        <w:t>Vocational English instruction</w:t>
      </w:r>
      <w:r>
        <w:rPr/>
        <w:t xml:space="preserve"> for </w:t>
      </w:r>
      <w:r>
        <w:rPr>
          <w:b/>
          <w:bCs/>
        </w:rPr>
        <w:t>international and workplace communication</w:t>
      </w:r>
      <w:r>
        <w:rPr/>
        <w:t xml:space="preserve">, while maintaining </w:t>
      </w:r>
      <w:r>
        <w:rPr>
          <w:b/>
          <w:bCs/>
        </w:rPr>
        <w:t>human agency, pedagogical control, and regulatory compliance</w:t>
      </w:r>
      <w:r>
        <w:rPr/>
        <w:t>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Framework Alignment (Summary)</w:t>
      </w:r>
    </w:p>
    <w:tbl>
      <w:tblPr>
        <w:tblW w:w="8780" w:type="dxa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125"/>
        <w:gridCol w:w="5655"/>
      </w:tblGrid>
      <w:tr>
        <w:trPr>
          <w:tblHeader w:val="true"/>
        </w:trPr>
        <w:tc>
          <w:tcPr>
            <w:tcW w:w="3125" w:type="dxa"/>
            <w:tcBorders/>
            <w:vAlign w:val="center"/>
          </w:tcPr>
          <w:p>
            <w:pPr>
              <w:pStyle w:val="Normal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5655" w:type="dxa"/>
            <w:tcBorders/>
            <w:vAlign w:val="center"/>
          </w:tcPr>
          <w:p>
            <w:pPr>
              <w:pStyle w:val="Normal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How Addressed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EU AI Act</w:t>
            </w:r>
          </w:p>
        </w:tc>
        <w:tc>
          <w:tcPr>
            <w:tcW w:w="56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Risk classification, non–high-risk classroom AI use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GDPR</w:t>
            </w:r>
          </w:p>
        </w:tc>
        <w:tc>
          <w:tcPr>
            <w:tcW w:w="56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Data minimization, anonymization, no sensitive inputs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UNESCO Teacher AI Framework</w:t>
            </w:r>
          </w:p>
        </w:tc>
        <w:tc>
          <w:tcPr>
            <w:tcW w:w="56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Teacher accountability, validation, pedagogical leadership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UNESCO Student AI Framework</w:t>
            </w:r>
          </w:p>
        </w:tc>
        <w:tc>
          <w:tcPr>
            <w:tcW w:w="56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Apply-level vocational tasks, critical evaluation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TVET Pedagogy</w:t>
            </w:r>
          </w:p>
        </w:tc>
        <w:tc>
          <w:tcPr>
            <w:tcW w:w="56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Authentic workplace language tasks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Internationalization</w:t>
            </w:r>
          </w:p>
        </w:tc>
        <w:tc>
          <w:tcPr>
            <w:tcW w:w="565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Industry communication, intercultural awareness</w:t>
            </w:r>
          </w:p>
        </w:tc>
      </w:tr>
    </w:tbl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Learning Outcomes (Mapped to Bloom’s Taxonomy)</w:t>
      </w:r>
    </w:p>
    <w:p>
      <w:pPr>
        <w:pStyle w:val="ncedenBiimlendirilmiMetinuser"/>
        <w:bidi w:val="0"/>
        <w:jc w:val="start"/>
        <w:rPr/>
      </w:pPr>
      <w:r>
        <w:rPr/>
        <w:t>By the end of this lesson, teachers will be able to:</w:t>
      </w:r>
    </w:p>
    <w:tbl>
      <w:tblPr>
        <w:tblW w:w="997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502"/>
        <w:gridCol w:w="8470"/>
      </w:tblGrid>
      <w:tr>
        <w:trPr>
          <w:tblHeader w:val="true"/>
        </w:trPr>
        <w:tc>
          <w:tcPr>
            <w:tcW w:w="1502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Bloom’s Level</w:t>
            </w:r>
          </w:p>
        </w:tc>
        <w:tc>
          <w:tcPr>
            <w:tcW w:w="8470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Learning Outcome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Remember</w:t>
            </w:r>
          </w:p>
        </w:tc>
        <w:tc>
          <w:tcPr>
            <w:tcW w:w="8470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/>
            </w:pPr>
            <w:r>
              <w:rPr/>
              <w:t>Identify key ethical principles and risks related to AI use in teacher professional development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Understand</w:t>
            </w:r>
          </w:p>
        </w:tc>
        <w:tc>
          <w:tcPr>
            <w:tcW w:w="8470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/>
            </w:pPr>
            <w:r>
              <w:rPr/>
              <w:t>Explain how AI can support (not replace) teacher reflection, coaching, and decision-making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Apply</w:t>
            </w:r>
          </w:p>
        </w:tc>
        <w:tc>
          <w:tcPr>
            <w:tcW w:w="8470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/>
            </w:pPr>
            <w:r>
              <w:rPr/>
              <w:t>Use generative AI tools for self-assessment, lesson reflection, and professional goal-setting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Analyze</w:t>
            </w:r>
          </w:p>
        </w:tc>
        <w:tc>
          <w:tcPr>
            <w:tcW w:w="8470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/>
            </w:pPr>
            <w:r>
              <w:rPr/>
              <w:t>Evaluate AI feedback critically, identifying bias, limitations, and contextual mismatches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Evaluate</w:t>
            </w:r>
          </w:p>
        </w:tc>
        <w:tc>
          <w:tcPr>
            <w:tcW w:w="8470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/>
            </w:pPr>
            <w:r>
              <w:rPr/>
              <w:t>Judge ethical dilemmas involving AI (privacy, autonomy, over-automation) in vocational English contexts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Create</w:t>
            </w:r>
          </w:p>
        </w:tc>
        <w:tc>
          <w:tcPr>
            <w:tcW w:w="8470" w:type="dxa"/>
            <w:tcBorders/>
            <w:vAlign w:val="center"/>
          </w:tcPr>
          <w:p>
            <w:pPr>
              <w:pStyle w:val="ncedenBiimlendirilmiMetinuser"/>
              <w:bidi w:val="0"/>
              <w:spacing w:before="0" w:after="160"/>
              <w:jc w:val="start"/>
              <w:rPr/>
            </w:pPr>
            <w:r>
              <w:rPr/>
              <w:t>Design a personalized AI-assisted professional development workflow for their own teaching practice</w:t>
            </w:r>
          </w:p>
        </w:tc>
      </w:tr>
    </w:tbl>
    <w:p>
      <w:pPr>
        <w:pStyle w:val="ncedenBiimlendirilmiMetinuser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SESSION STRUCTURE OVERVIEW</w:t>
      </w:r>
    </w:p>
    <w:tbl>
      <w:tblPr>
        <w:tblW w:w="4611" w:type="dxa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829"/>
        <w:gridCol w:w="3035"/>
        <w:gridCol w:w="747"/>
      </w:tblGrid>
      <w:tr>
        <w:trPr>
          <w:tblHeader w:val="true"/>
        </w:trPr>
        <w:tc>
          <w:tcPr>
            <w:tcW w:w="829" w:type="dxa"/>
            <w:tcBorders/>
            <w:vAlign w:val="center"/>
          </w:tcPr>
          <w:p>
            <w:pPr>
              <w:pStyle w:val="Normal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bidi w:val="0"/>
              <w:spacing w:before="0" w:after="16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Phase 1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Compliance &amp; Trustworthiness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60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Phase 2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Pedagogical AI Integration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90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Phase 3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Vocational Application Design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90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Phase 4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Ethics &amp; Human-Centricity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60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Phase 5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Assessment &amp; Feedback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start"/>
              <w:rPr/>
            </w:pPr>
            <w:r>
              <w:rPr/>
              <w:t>60 min</w:t>
            </w:r>
          </w:p>
        </w:tc>
      </w:tr>
    </w:tbl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  <w:br/>
        <w:br/>
        <w:br/>
        <w:t>PHASE 1: Pre-Planning &amp; Tool Selection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(Compliance, Trustworthiness, Risk Awareness)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Learning Outcomes (Teachers)</w:t>
      </w:r>
    </w:p>
    <w:p>
      <w:pPr>
        <w:pStyle w:val="Normal"/>
        <w:bidi w:val="0"/>
        <w:jc w:val="start"/>
        <w:rPr/>
      </w:pPr>
      <w:r>
        <w:rPr/>
        <w:t>Teachers will be able to: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Select </w:t>
      </w:r>
      <w:r>
        <w:rPr>
          <w:b/>
          <w:bCs/>
        </w:rPr>
        <w:t>non–high-risk AI tools</w:t>
      </w:r>
      <w:r>
        <w:rPr/>
        <w:t xml:space="preserve"> appropriate for Vocational English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Identify </w:t>
      </w:r>
      <w:r>
        <w:rPr>
          <w:b/>
          <w:bCs/>
        </w:rPr>
        <w:t>GDPR-safe classroom practices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Conduct a </w:t>
      </w:r>
      <w:r>
        <w:rPr>
          <w:b/>
          <w:bCs/>
        </w:rPr>
        <w:t>basic AI risk and bias check</w:t>
      </w:r>
      <w:r>
        <w:rPr/>
        <w:t xml:space="preserve"> before classroom use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Key AI Tools (Examples – adaptable by institution)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AI writing assistant (non-account-based / anonymized)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AI chatbot for role-play simulations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AI grammar / clarity checker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AI translation tool (for contrastive analysis, not replacement)</w:t>
      </w:r>
    </w:p>
    <w:p>
      <w:pPr>
        <w:pStyle w:val="Normal"/>
        <w:bidi w:val="0"/>
        <w:jc w:val="start"/>
        <w:rPr/>
      </w:pPr>
      <w:r>
        <w:rPr/>
        <w:t xml:space="preserve">Tools used for </w:t>
      </w:r>
      <w:r>
        <w:rPr>
          <w:b/>
          <w:bCs/>
        </w:rPr>
        <w:t>grading, profiling, or employability prediction are explicitly excluded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Activity 1: AI Tool Compliance Checklist (Trainer-led)</w:t>
      </w:r>
    </w:p>
    <w:p>
      <w:pPr>
        <w:pStyle w:val="Normal"/>
        <w:bidi w:val="0"/>
        <w:jc w:val="start"/>
        <w:rPr/>
      </w:pPr>
      <w:r>
        <w:rPr>
          <w:b/>
          <w:bCs/>
        </w:rPr>
        <w:t>Method:</w:t>
      </w:r>
      <w:r>
        <w:rPr/>
        <w:t xml:space="preserve"> Guided evaluation</w:t>
      </w:r>
    </w:p>
    <w:p>
      <w:pPr>
        <w:pStyle w:val="Normal"/>
        <w:bidi w:val="0"/>
        <w:jc w:val="start"/>
        <w:rPr/>
      </w:pPr>
      <w:r>
        <w:rPr/>
        <w:t xml:space="preserve">Teachers work in small groups using a </w:t>
      </w:r>
      <w:r>
        <w:rPr>
          <w:b/>
          <w:bCs/>
        </w:rPr>
        <w:t>Tool Vetting Checklist</w:t>
      </w:r>
      <w:r>
        <w:rPr/>
        <w:t>:</w:t>
      </w:r>
    </w:p>
    <w:p>
      <w:pPr>
        <w:pStyle w:val="Normal"/>
        <w:bidi w:val="0"/>
        <w:jc w:val="start"/>
        <w:rPr/>
      </w:pPr>
      <w:r>
        <w:rPr>
          <w:rFonts w:cs="Segoe UI Symbol" w:ascii="Segoe UI Symbol" w:hAnsi="Segoe UI Symbol"/>
        </w:rPr>
        <w:t>✔</w:t>
      </w:r>
      <w:r>
        <w:rPr/>
        <w:t xml:space="preserve"> </w:t>
      </w:r>
      <w:r>
        <w:rPr/>
        <w:t>Data anonymization possible</w:t>
        <w:br/>
      </w:r>
      <w:r>
        <w:rPr>
          <w:rFonts w:cs="Segoe UI Symbol" w:ascii="Segoe UI Symbol" w:hAnsi="Segoe UI Symbol"/>
        </w:rPr>
        <w:t>✔</w:t>
      </w:r>
      <w:r>
        <w:rPr/>
        <w:t xml:space="preserve"> No personal or company-sensitive data required</w:t>
        <w:br/>
      </w:r>
      <w:r>
        <w:rPr>
          <w:rFonts w:cs="Segoe UI Symbol" w:ascii="Segoe UI Symbol" w:hAnsi="Segoe UI Symbol"/>
        </w:rPr>
        <w:t>✔</w:t>
      </w:r>
      <w:r>
        <w:rPr/>
        <w:t xml:space="preserve"> Not used for summative grading</w:t>
        <w:br/>
      </w:r>
      <w:r>
        <w:rPr>
          <w:rFonts w:cs="Segoe UI Symbol" w:ascii="Segoe UI Symbol" w:hAnsi="Segoe UI Symbol"/>
        </w:rPr>
        <w:t>✔</w:t>
      </w:r>
      <w:r>
        <w:rPr/>
        <w:t xml:space="preserve"> Institutionally approved / pilot-tested</w:t>
        <w:br/>
      </w:r>
      <w:r>
        <w:rPr>
          <w:rFonts w:cs="Segoe UI Symbol" w:ascii="Segoe UI Symbol" w:hAnsi="Segoe UI Symbol"/>
        </w:rPr>
        <w:t>✔</w:t>
      </w:r>
      <w:r>
        <w:rPr/>
        <w:t xml:space="preserve"> Accessible language and age-appropriate ToS</w:t>
      </w:r>
    </w:p>
    <w:p>
      <w:pPr>
        <w:pStyle w:val="Normal"/>
        <w:bidi w:val="0"/>
        <w:jc w:val="start"/>
        <w:rPr/>
      </w:pPr>
      <w:r>
        <w:rPr>
          <w:b/>
          <w:bCs/>
        </w:rPr>
        <w:t>Teacher-in-the-loop emphasis:</w:t>
      </w:r>
      <w:r>
        <w:rPr/>
        <w:br/>
        <w:t xml:space="preserve">AI is introduced as </w:t>
      </w:r>
      <w:r>
        <w:rPr>
          <w:i/>
          <w:iCs/>
        </w:rPr>
        <w:t>assistive</w:t>
      </w:r>
      <w:r>
        <w:rPr/>
        <w:t>, never authoritative.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  <w:br/>
        <w:t>Activity 2: Bias &amp; Risk Simulation</w:t>
      </w:r>
    </w:p>
    <w:p>
      <w:pPr>
        <w:pStyle w:val="Normal"/>
        <w:bidi w:val="0"/>
        <w:jc w:val="start"/>
        <w:rPr/>
      </w:pPr>
      <w:r>
        <w:rPr/>
        <w:t>Teachers test: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Speech recognition with </w:t>
      </w:r>
      <w:r>
        <w:rPr>
          <w:b/>
          <w:bCs/>
        </w:rPr>
        <w:t>diverse accents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AI-generated vocational vocabulary for </w:t>
      </w:r>
      <w:r>
        <w:rPr>
          <w:b/>
          <w:bCs/>
        </w:rPr>
        <w:t>gender or cultural bias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Translation accuracy of </w:t>
      </w:r>
      <w:r>
        <w:rPr>
          <w:b/>
          <w:bCs/>
        </w:rPr>
        <w:t>technical terms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Reflection Prompt: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Where could this tool misrepresent my learners or their profession?”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a2" w:characterSet="windows-1254"/>
    <w:family w:val="swiss"/>
    <w:pitch w:val="variable"/>
  </w:font>
  <w:font w:name="Liberation Mono">
    <w:altName w:val="Courier New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roman"/>
    <w:pitch w:val="variable"/>
  </w:font>
  <w:font w:name="Segoe UI Symbol">
    <w:charset w:val="a2" w:characterSet="windows-1254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Arial"/>
        <w:kern w:val="2"/>
        <w:sz w:val="24"/>
        <w:szCs w:val="24"/>
        <w:lang w:val="en-US" w:eastAsia="zxx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egoe UI" w:cs="Arial"/>
      <w:color w:val="auto"/>
      <w:kern w:val="2"/>
      <w:sz w:val="24"/>
      <w:szCs w:val="24"/>
      <w:lang w:val="en-US" w:eastAsia="zxx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rial" w:hAnsi="Arial" w:eastAsia="DejaVu Sans" w:cs="DejaVu Sans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rial" w:hAnsi="Arial" w:eastAsia="DejaVu Sans" w:cs="DejaVu Sans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DejaVu Sans" w:cs="DejaVu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DejaVu Sans" w:cs="DejaVu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DejaVu Sans" w:cs="DejaVu Sans"/>
      <w:color w:themeColor="accent1" w:themeShade="bf"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DejaVu San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DejaVu Sans" w:cs="DejaVu Sans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DejaVu San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DejaVu Sans" w:cs="DejaVu Sans"/>
      <w:color w:themeColor="dark1" w:themeTint="d8" w:val="272727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IntenseQuoteChar">
    <w:name w:val="Intense Quote Char"/>
    <w:basedOn w:val="DefaultParagraphFont"/>
    <w:qFormat/>
    <w:rPr>
      <w:i/>
      <w:iCs/>
      <w:color w:themeColor="accent1" w:themeShade="bf" w:val="2F5496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QuoteChar">
    <w:name w:val="Quote Char"/>
    <w:basedOn w:val="DefaultParagraphFont"/>
    <w:qFormat/>
    <w:rPr>
      <w:i/>
      <w:iCs/>
      <w:color w:themeColor="dark1" w:themeTint="bf" w:val="404040"/>
    </w:rPr>
  </w:style>
  <w:style w:type="character" w:styleId="SubtitleChar">
    <w:name w:val="Subtitle Char"/>
    <w:basedOn w:val="DefaultParagraphFont"/>
    <w:qFormat/>
    <w:rPr>
      <w:rFonts w:eastAsia="DejaVu Sans" w:cs="DejaVu Sans"/>
      <w:color w:themeColor="dark1" w:themeTint="a6" w:val="595959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Arial" w:hAnsi="Arial" w:eastAsia="DejaVu Sans" w:cs="DejaVu Sans"/>
      <w:spacing w:val="-10"/>
      <w:kern w:val="2"/>
      <w:sz w:val="56"/>
      <w:szCs w:val="56"/>
    </w:rPr>
  </w:style>
  <w:style w:type="character" w:styleId="Heading9Char">
    <w:name w:val="Heading 9 Char"/>
    <w:basedOn w:val="DefaultParagraphFont"/>
    <w:qFormat/>
    <w:rPr>
      <w:rFonts w:eastAsia="DejaVu Sans" w:cs="DejaVu Sans"/>
      <w:color w:themeColor="dark1" w:themeTint="d8" w:val="272727"/>
    </w:rPr>
  </w:style>
  <w:style w:type="character" w:styleId="Heading8Char">
    <w:name w:val="Heading 8 Char"/>
    <w:basedOn w:val="DefaultParagraphFont"/>
    <w:qFormat/>
    <w:rPr>
      <w:rFonts w:eastAsia="DejaVu Sans" w:cs="DejaVu Sans"/>
      <w:i/>
      <w:iCs/>
      <w:color w:themeColor="dark1" w:themeTint="d8" w:val="272727"/>
    </w:rPr>
  </w:style>
  <w:style w:type="character" w:styleId="Heading7Char">
    <w:name w:val="Heading 7 Char"/>
    <w:basedOn w:val="DefaultParagraphFont"/>
    <w:qFormat/>
    <w:rPr>
      <w:rFonts w:eastAsia="DejaVu Sans" w:cs="DejaVu Sans"/>
      <w:color w:themeColor="dark1" w:themeTint="a6" w:val="595959"/>
    </w:rPr>
  </w:style>
  <w:style w:type="character" w:styleId="Heading6Char">
    <w:name w:val="Heading 6 Char"/>
    <w:basedOn w:val="DefaultParagraphFont"/>
    <w:qFormat/>
    <w:rPr>
      <w:rFonts w:eastAsia="DejaVu Sans" w:cs="DejaVu Sans"/>
      <w:i/>
      <w:iCs/>
      <w:color w:themeColor="dark1" w:themeTint="a6" w:val="595959"/>
    </w:rPr>
  </w:style>
  <w:style w:type="character" w:styleId="Heading5Char">
    <w:name w:val="Heading 5 Char"/>
    <w:basedOn w:val="DefaultParagraphFont"/>
    <w:qFormat/>
    <w:rPr>
      <w:rFonts w:eastAsia="DejaVu Sans" w:cs="DejaVu Sans"/>
      <w:color w:themeColor="accent1" w:themeShade="bf" w:val="2F5496"/>
    </w:rPr>
  </w:style>
  <w:style w:type="character" w:styleId="Heading4Char">
    <w:name w:val="Heading 4 Char"/>
    <w:basedOn w:val="DefaultParagraphFont"/>
    <w:qFormat/>
    <w:rPr>
      <w:rFonts w:eastAsia="DejaVu Sans" w:cs="DejaVu Sans"/>
      <w:i/>
      <w:iCs/>
      <w:color w:themeColor="accent1" w:themeShade="bf" w:val="2F5496"/>
    </w:rPr>
  </w:style>
  <w:style w:type="character" w:styleId="Heading3Char">
    <w:name w:val="Heading 3 Char"/>
    <w:basedOn w:val="DefaultParagraphFont"/>
    <w:qFormat/>
    <w:rPr>
      <w:rFonts w:eastAsia="DejaVu Sans" w:cs="DejaVu Sans"/>
      <w:color w:themeColor="accent1" w:themeShade="bf" w:val="2F5496"/>
      <w:sz w:val="28"/>
      <w:szCs w:val="28"/>
    </w:rPr>
  </w:style>
  <w:style w:type="character" w:styleId="Heading2Char">
    <w:name w:val="Heading 2 Char"/>
    <w:basedOn w:val="DefaultParagraphFont"/>
    <w:qFormat/>
    <w:rPr>
      <w:rFonts w:ascii="Arial" w:hAnsi="Arial" w:eastAsia="DejaVu Sans" w:cs="DejaVu Sans"/>
      <w:color w:themeColor="accent1" w:themeShade="bf" w:val="2F5496"/>
      <w:sz w:val="32"/>
      <w:szCs w:val="32"/>
    </w:rPr>
  </w:style>
  <w:style w:type="character" w:styleId="Heading1Char">
    <w:name w:val="Heading 1 Char"/>
    <w:basedOn w:val="DefaultParagraphFont"/>
    <w:qFormat/>
    <w:rPr>
      <w:rFonts w:ascii="Arial" w:hAnsi="Arial" w:eastAsia="DejaVu Sans" w:cs="DejaVu Sans"/>
      <w:color w:themeColor="accent1" w:themeShade="bf" w:val="2F5496"/>
      <w:sz w:val="40"/>
      <w:szCs w:val="40"/>
    </w:rPr>
  </w:style>
  <w:style w:type="character" w:styleId="DefaultParagraphFont">
    <w:name w:val="Default Paragraph Font"/>
    <w:qFormat/>
    <w:rPr/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S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Tabloeriiuser">
    <w:name w:val="Tablo İçeriği (user)"/>
    <w:basedOn w:val="Normal"/>
    <w:qFormat/>
    <w:pPr>
      <w:widowControl w:val="false"/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ncedenBiimlendirilmiMetinuser">
    <w:name w:val="Önceden Biçimlendirilmiş Metin (user)"/>
    <w:basedOn w:val="Normal"/>
    <w:qFormat/>
    <w:pPr/>
    <w:rPr>
      <w:rFonts w:ascii="Liberation Mono" w:hAnsi="Liberation Mono" w:cs="Liberation Mono"/>
      <w:sz w:val="20"/>
      <w:szCs w:val="20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/>
    <w:rPr>
      <w:rFonts w:eastAsia="DejaVu Sans" w:cs="DejaVu Sans"/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Arial" w:hAnsi="Arial" w:eastAsia="DejaVu Sans" w:cs="DejaVu Sans"/>
      <w:spacing w:val="-10"/>
      <w:kern w:val="2"/>
      <w:sz w:val="56"/>
      <w:szCs w:val="56"/>
    </w:rPr>
  </w:style>
  <w:style w:type="paragraph" w:styleId="Dizinuser">
    <w:name w:val="Dizin (user)"/>
    <w:basedOn w:val="Normal"/>
    <w:qFormat/>
    <w:pPr>
      <w:suppressLineNumbers/>
    </w:pPr>
    <w:rPr>
      <w:rFonts w:cs="Lucida Sans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numbering" w:styleId="ListeYokuser">
    <w:name w:val="Liste Yok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3</Pages>
  <Words>465</Words>
  <Characters>2997</Characters>
  <CharactersWithSpaces>3375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2026-01-24T04:49:26Z</dcterms:created>
  <dc:creator/>
  <dc:description/>
  <dc:language>en-US</dc:language>
  <cp:lastModifiedBy/>
  <dcterms:modified xsi:type="dcterms:W3CDTF">2026-01-24T04:50:07Z</dcterms:modified>
  <cp:revision>4</cp:revision>
  <dc:subject/>
  <dc:title/>
</cp:coreProperties>
</file>