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440" w:after="240"/>
        <w:jc w:val="center"/>
      </w:pPr>
      <w:r>
        <w:rPr>
          <w:rFonts w:ascii="Calibri" w:hAnsi="Calibri"/>
          <w:b/>
          <w:color w:val="1E293B"/>
          <w:sz w:val="48"/>
        </w:rPr>
        <w:t>AI-BASED EMOTIONAL SENTIMENT ANALYZER FOR STUDENT FEEDBACK</w:t>
      </w:r>
    </w:p>
    <w:p>
      <w:pPr>
        <w:spacing w:after="720"/>
        <w:jc w:val="center"/>
      </w:pPr>
      <w:r>
        <w:rPr>
          <w:rFonts w:ascii="Calibri" w:hAnsi="Calibri"/>
          <w:i/>
          <w:color w:val="4F46E5"/>
          <w:sz w:val="26"/>
        </w:rPr>
        <w:t>Comprehensive Project Report: Architecture, Multi-Engine NLP, Deep Learning, Database Schema, and Frontend Analytics</w:t>
      </w:r>
    </w:p>
    <w:p>
      <w:pPr>
        <w:jc w:val="center"/>
      </w:pPr>
      <w:r>
        <w:rPr>
          <w:color w:val="CBD5E1"/>
        </w:rPr>
        <w:t>____________________________________________________________________</w:t>
      </w:r>
    </w:p>
    <w:p>
      <w:pPr>
        <w:spacing w:before="2880" w:after="80"/>
        <w:jc w:val="center"/>
      </w:pPr>
      <w:r>
        <w:t>Domain: Artificial Intelligence &amp; Educational Natural Language Processing</w:t>
        <w:br/>
        <w:t>Technology Stack: Python | FastAPI | PyTorch | HuggingFace | React | PostgreSQL</w:t>
        <w:br/>
        <w:t>Date: September 2026</w:t>
        <w:br/>
        <w:t>Version: 1.0.0 Final Release</w:t>
      </w:r>
    </w:p>
    <w:p>
      <w:r>
        <w:br w:type="page"/>
      </w:r>
    </w:p>
    <w:p>
      <w:pPr>
        <w:pStyle w:val="Heading1"/>
        <w:keepNext/>
        <w:spacing w:before="320" w:after="120"/>
      </w:pPr>
      <w:r>
        <w:rPr>
          <w:rFonts w:ascii="Calibri" w:hAnsi="Calibri"/>
          <w:b/>
          <w:color w:val="1E293B"/>
          <w:sz w:val="36"/>
        </w:rPr>
        <w:t>Table of Contents</w:t>
      </w:r>
    </w:p>
    <w:p>
      <w:pPr>
        <w:spacing w:after="120" w:line="276" w:lineRule="auto"/>
      </w:pPr>
      <w:r>
        <w:rPr>
          <w:rFonts w:ascii="Calibri" w:hAnsi="Calibri"/>
          <w:i w:val="0"/>
          <w:color w:val="334155"/>
          <w:sz w:val="22"/>
        </w:rPr>
        <w:t>1. Executive Summary &amp; Abstract</w:t>
      </w:r>
    </w:p>
    <w:p>
      <w:pPr>
        <w:spacing w:after="120" w:line="276" w:lineRule="auto"/>
      </w:pPr>
      <w:r>
        <w:rPr>
          <w:rFonts w:ascii="Calibri" w:hAnsi="Calibri"/>
          <w:i w:val="0"/>
          <w:color w:val="334155"/>
          <w:sz w:val="22"/>
        </w:rPr>
        <w:t>2. Introduction &amp; Background</w:t>
      </w:r>
    </w:p>
    <w:p>
      <w:pPr>
        <w:spacing w:after="120" w:line="276" w:lineRule="auto"/>
      </w:pPr>
      <w:r>
        <w:rPr>
          <w:rFonts w:ascii="Calibri" w:hAnsi="Calibri"/>
          <w:i w:val="0"/>
          <w:color w:val="334155"/>
          <w:sz w:val="22"/>
        </w:rPr>
        <w:t>3. Problem Statement &amp; Educational Domain Challenges</w:t>
      </w:r>
    </w:p>
    <w:p>
      <w:pPr>
        <w:spacing w:after="120" w:line="276" w:lineRule="auto"/>
      </w:pPr>
      <w:r>
        <w:rPr>
          <w:rFonts w:ascii="Calibri" w:hAnsi="Calibri"/>
          <w:i w:val="0"/>
          <w:color w:val="334155"/>
          <w:sz w:val="22"/>
        </w:rPr>
        <w:t>4. Objectives of the Project</w:t>
      </w:r>
    </w:p>
    <w:p>
      <w:pPr>
        <w:spacing w:after="120" w:line="276" w:lineRule="auto"/>
      </w:pPr>
      <w:r>
        <w:rPr>
          <w:rFonts w:ascii="Calibri" w:hAnsi="Calibri"/>
          <w:i w:val="0"/>
          <w:color w:val="334155"/>
          <w:sz w:val="22"/>
        </w:rPr>
        <w:t>5. Comprehensive Literature Survey &amp; Related Work</w:t>
      </w:r>
    </w:p>
    <w:p>
      <w:pPr>
        <w:spacing w:after="120" w:line="276" w:lineRule="auto"/>
      </w:pPr>
      <w:r>
        <w:rPr>
          <w:rFonts w:ascii="Calibri" w:hAnsi="Calibri"/>
          <w:i w:val="0"/>
          <w:color w:val="334155"/>
          <w:sz w:val="22"/>
        </w:rPr>
        <w:t>6. System Requirements &amp; Technical Specifications</w:t>
      </w:r>
    </w:p>
    <w:p>
      <w:pPr>
        <w:spacing w:after="120" w:line="276" w:lineRule="auto"/>
      </w:pPr>
      <w:r>
        <w:rPr>
          <w:rFonts w:ascii="Calibri" w:hAnsi="Calibri"/>
          <w:i w:val="0"/>
          <w:color w:val="334155"/>
          <w:sz w:val="22"/>
        </w:rPr>
        <w:t>7. System Architecture &amp; High-Level Design</w:t>
      </w:r>
    </w:p>
    <w:p>
      <w:pPr>
        <w:spacing w:after="120" w:line="276" w:lineRule="auto"/>
      </w:pPr>
      <w:r>
        <w:rPr>
          <w:rFonts w:ascii="Calibri" w:hAnsi="Calibri"/>
          <w:i w:val="0"/>
          <w:color w:val="334155"/>
          <w:sz w:val="22"/>
        </w:rPr>
        <w:t>8. AI / NLP Methodology &amp; Inference Engine Architecture</w:t>
      </w:r>
    </w:p>
    <w:p>
      <w:pPr>
        <w:spacing w:after="120" w:line="276" w:lineRule="auto"/>
      </w:pPr>
      <w:r>
        <w:rPr>
          <w:rFonts w:ascii="Calibri" w:hAnsi="Calibri"/>
          <w:i w:val="0"/>
          <w:color w:val="334155"/>
          <w:sz w:val="22"/>
        </w:rPr>
        <w:t>9. Backend Service Architecture (FastAPI REST APIs)</w:t>
      </w:r>
    </w:p>
    <w:p>
      <w:pPr>
        <w:spacing w:after="120" w:line="276" w:lineRule="auto"/>
      </w:pPr>
      <w:r>
        <w:rPr>
          <w:rFonts w:ascii="Calibri" w:hAnsi="Calibri"/>
          <w:i w:val="0"/>
          <w:color w:val="334155"/>
          <w:sz w:val="22"/>
        </w:rPr>
        <w:t>10. Database Schema &amp; Data Modeling (PostgreSQL)</w:t>
      </w:r>
    </w:p>
    <w:p>
      <w:pPr>
        <w:spacing w:after="120" w:line="276" w:lineRule="auto"/>
      </w:pPr>
      <w:r>
        <w:rPr>
          <w:rFonts w:ascii="Calibri" w:hAnsi="Calibri"/>
          <w:i w:val="0"/>
          <w:color w:val="334155"/>
          <w:sz w:val="22"/>
        </w:rPr>
        <w:t>11. Frontend Application Architecture (React + TypeScript)</w:t>
      </w:r>
    </w:p>
    <w:p>
      <w:pPr>
        <w:spacing w:after="120" w:line="276" w:lineRule="auto"/>
      </w:pPr>
      <w:r>
        <w:rPr>
          <w:rFonts w:ascii="Calibri" w:hAnsi="Calibri"/>
          <w:i w:val="0"/>
          <w:color w:val="334155"/>
          <w:sz w:val="22"/>
        </w:rPr>
        <w:t>12. Experimental Results &amp; Performance Evaluation</w:t>
      </w:r>
    </w:p>
    <w:p>
      <w:pPr>
        <w:spacing w:after="120" w:line="276" w:lineRule="auto"/>
      </w:pPr>
      <w:r>
        <w:rPr>
          <w:rFonts w:ascii="Calibri" w:hAnsi="Calibri"/>
          <w:i w:val="0"/>
          <w:color w:val="334155"/>
          <w:sz w:val="22"/>
        </w:rPr>
        <w:t>13. Analytics Dashboards &amp; Executive Insights</w:t>
      </w:r>
    </w:p>
    <w:p>
      <w:pPr>
        <w:spacing w:after="120" w:line="276" w:lineRule="auto"/>
      </w:pPr>
      <w:r>
        <w:rPr>
          <w:rFonts w:ascii="Calibri" w:hAnsi="Calibri"/>
          <w:i w:val="0"/>
          <w:color w:val="334155"/>
          <w:sz w:val="22"/>
        </w:rPr>
        <w:t>14. Future Enhancements &amp; Scope</w:t>
      </w:r>
    </w:p>
    <w:p>
      <w:pPr>
        <w:spacing w:after="120" w:line="276" w:lineRule="auto"/>
      </w:pPr>
      <w:r>
        <w:rPr>
          <w:rFonts w:ascii="Calibri" w:hAnsi="Calibri"/>
          <w:i w:val="0"/>
          <w:color w:val="334155"/>
          <w:sz w:val="22"/>
        </w:rPr>
        <w:t>15. Conclusion</w:t>
      </w:r>
    </w:p>
    <w:p>
      <w:pPr>
        <w:spacing w:after="120" w:line="276" w:lineRule="auto"/>
      </w:pPr>
      <w:r>
        <w:rPr>
          <w:rFonts w:ascii="Calibri" w:hAnsi="Calibri"/>
          <w:i w:val="0"/>
          <w:color w:val="334155"/>
          <w:sz w:val="22"/>
        </w:rPr>
        <w:t>16. References &amp; Bibliography</w:t>
      </w:r>
    </w:p>
    <w:p>
      <w:r>
        <w:br w:type="page"/>
      </w:r>
    </w:p>
    <w:p>
      <w:pPr>
        <w:pStyle w:val="Heading1"/>
        <w:keepNext/>
        <w:spacing w:before="320" w:after="120"/>
      </w:pPr>
      <w:r>
        <w:rPr>
          <w:rFonts w:ascii="Calibri" w:hAnsi="Calibri"/>
          <w:b/>
          <w:color w:val="1E293B"/>
          <w:sz w:val="36"/>
        </w:rPr>
        <w:t>1. Executive Summary &amp; Abstract</w:t>
      </w:r>
    </w:p>
    <w:p>
      <w:pPr>
        <w:pStyle w:val="Heading2"/>
        <w:keepNext/>
        <w:spacing w:before="240" w:after="80"/>
      </w:pPr>
      <w:r>
        <w:rPr>
          <w:rFonts w:ascii="Calibri" w:hAnsi="Calibri"/>
          <w:b/>
          <w:color w:val="4F46E5"/>
          <w:sz w:val="28"/>
        </w:rPr>
        <w:t>1.1 Abstract</w:t>
      </w:r>
    </w:p>
    <w:p>
      <w:pPr>
        <w:spacing w:after="120" w:line="276" w:lineRule="auto"/>
      </w:pPr>
      <w:r>
        <w:rPr>
          <w:rFonts w:ascii="Calibri" w:hAnsi="Calibri"/>
          <w:i w:val="0"/>
          <w:color w:val="334155"/>
          <w:sz w:val="22"/>
        </w:rPr>
        <w:t>In modern higher education institutions, qualitative student feedback plays a central role in curriculum development, faculty evaluation, and institutional accreditation (such as NAAC, NBA, and ABET). Traditional feedback collection relies on basic numeric ratings or open-ended text fields evaluated manually. Manual processing of thousands of qualitative comments per semester is inefficient, subjective, error-prone, and incapable of detecting fine-grained emotional nuances such as student frustration, confusion, or exam anxiety.</w:t>
      </w:r>
    </w:p>
    <w:p>
      <w:pPr>
        <w:spacing w:after="120" w:line="276" w:lineRule="auto"/>
      </w:pPr>
      <w:r>
        <w:rPr>
          <w:rFonts w:ascii="Calibri" w:hAnsi="Calibri"/>
          <w:i w:val="0"/>
          <w:color w:val="334155"/>
          <w:sz w:val="22"/>
        </w:rPr>
        <w:t>This project presents the AI-Based Emotional Sentiment Analyzer for Student Feedback, an enterprise-grade, multi-engine Natural Language Processing (NLP) system designed to automate the ingestion, analysis, and visualization of unstructured student feedback. The platform incorporates a hybrid intelligence architecture combining Classical Machine Learning (TF-IDF + Logistic Regression), Deep Transformer Networks (BERT / RoBERTa / GoEmotions), and an Aspect-Based Sentiment Analysis (ABSA) clause-decomposition engine.</w:t>
      </w:r>
    </w:p>
    <w:p>
      <w:pPr>
        <w:spacing w:after="120" w:line="276" w:lineRule="auto"/>
      </w:pPr>
      <w:r>
        <w:rPr>
          <w:rFonts w:ascii="Calibri" w:hAnsi="Calibri"/>
          <w:i w:val="0"/>
          <w:color w:val="334155"/>
          <w:sz w:val="22"/>
        </w:rPr>
        <w:t>The system categorizes overall sentiment into Positive, Negative, Neutral, and Mixed states, while simultaneously mapping feedback onto an 8-class emotional framework (Happy, Sad, Angry, Frustrated, Anxious, Confused, Satisfied, Neutral). Furthermore, feedback is automatically assigned across 11 primary academic domains (Teaching, Assignments, Examinations, Workload, Infrastructure, Attendance, Course Content, Laboratories, Grading, Support, Deadlines). Built on a asynchronous FastAPI backend, a PostgreSQL relational database, and an interactive React/TypeScript frontend with Recharts analytics, the platform equips educational leaders with actionable feedback intelligence while guaranteeing strict student anonymity.</w:t>
      </w:r>
    </w:p>
    <w:p>
      <w:pPr>
        <w:pStyle w:val="Heading2"/>
        <w:keepNext/>
        <w:spacing w:before="240" w:after="80"/>
      </w:pPr>
      <w:r>
        <w:rPr>
          <w:rFonts w:ascii="Calibri" w:hAnsi="Calibri"/>
          <w:b/>
          <w:color w:val="4F46E5"/>
          <w:sz w:val="28"/>
        </w:rPr>
        <w:t>1.2 Key Highlights &amp; Achievements</w:t>
      </w:r>
    </w:p>
    <w:p>
      <w:pPr>
        <w:pStyle w:val="ListBullet"/>
        <w:spacing w:after="80" w:line="276" w:lineRule="auto"/>
      </w:pPr>
      <w:r>
        <w:rPr>
          <w:rFonts w:ascii="Calibri" w:hAnsi="Calibri"/>
          <w:b/>
          <w:color w:val="0F172A"/>
          <w:sz w:val="22"/>
        </w:rPr>
        <w:t xml:space="preserve">Multi-Engine AI Architecture: </w:t>
      </w:r>
      <w:r>
        <w:rPr>
          <w:rFonts w:ascii="Calibri" w:hAnsi="Calibri"/>
          <w:color w:val="334155"/>
          <w:sz w:val="22"/>
        </w:rPr>
        <w:t>Adaptive multi-engine pipeline providing sub-10ms baseline inference and high-accuracy deep transformer evaluation.</w:t>
      </w:r>
    </w:p>
    <w:p>
      <w:pPr>
        <w:pStyle w:val="ListBullet"/>
        <w:spacing w:after="80" w:line="276" w:lineRule="auto"/>
      </w:pPr>
      <w:r>
        <w:rPr>
          <w:rFonts w:ascii="Calibri" w:hAnsi="Calibri"/>
          <w:b/>
          <w:color w:val="0F172A"/>
          <w:sz w:val="22"/>
        </w:rPr>
        <w:t xml:space="preserve">Granular 8-State Emotion Detection: </w:t>
      </w:r>
      <w:r>
        <w:rPr>
          <w:rFonts w:ascii="Calibri" w:hAnsi="Calibri"/>
          <w:color w:val="334155"/>
          <w:sz w:val="22"/>
        </w:rPr>
        <w:t>Identifies student frustration, anxiety, and satisfaction levels to provide early intervention alerts before semester end.</w:t>
      </w:r>
    </w:p>
    <w:p>
      <w:pPr>
        <w:pStyle w:val="ListBullet"/>
        <w:spacing w:after="80" w:line="276" w:lineRule="auto"/>
      </w:pPr>
      <w:r>
        <w:rPr>
          <w:rFonts w:ascii="Calibri" w:hAnsi="Calibri"/>
          <w:b/>
          <w:color w:val="0F172A"/>
          <w:sz w:val="22"/>
        </w:rPr>
        <w:t xml:space="preserve">Aspect-Based Sentence Decomposition: </w:t>
      </w:r>
      <w:r>
        <w:rPr>
          <w:rFonts w:ascii="Calibri" w:hAnsi="Calibri"/>
          <w:color w:val="334155"/>
          <w:sz w:val="22"/>
        </w:rPr>
        <w:t>Parses complex feedback sentences with opposing sentiments (e.g., 'The professor is clear, but exams are unfairly long').</w:t>
      </w:r>
    </w:p>
    <w:p>
      <w:pPr>
        <w:pStyle w:val="ListBullet"/>
        <w:spacing w:after="80" w:line="276" w:lineRule="auto"/>
      </w:pPr>
      <w:r>
        <w:rPr>
          <w:rFonts w:ascii="Calibri" w:hAnsi="Calibri"/>
          <w:b/>
          <w:color w:val="0F172A"/>
          <w:sz w:val="22"/>
        </w:rPr>
        <w:t xml:space="preserve">Real-Time Visual Analytics: </w:t>
      </w:r>
      <w:r>
        <w:rPr>
          <w:rFonts w:ascii="Calibri" w:hAnsi="Calibri"/>
          <w:color w:val="334155"/>
          <w:sz w:val="22"/>
        </w:rPr>
        <w:t>Role-based executive dashboards delivering course-wise, faculty-wise, and institution-wide sentiment heatmaps.</w:t>
      </w:r>
    </w:p>
    <w:p>
      <w:pPr>
        <w:pStyle w:val="ListBullet"/>
        <w:spacing w:after="80" w:line="276" w:lineRule="auto"/>
      </w:pPr>
      <w:r>
        <w:rPr>
          <w:rFonts w:ascii="Calibri" w:hAnsi="Calibri"/>
          <w:b/>
          <w:color w:val="0F172A"/>
          <w:sz w:val="22"/>
        </w:rPr>
        <w:t xml:space="preserve">Privacy-Preserving Anonymity: </w:t>
      </w:r>
      <w:r>
        <w:rPr>
          <w:rFonts w:ascii="Calibri" w:hAnsi="Calibri"/>
          <w:color w:val="334155"/>
          <w:sz w:val="22"/>
        </w:rPr>
        <w:t>Cryptographic separation of user identity and feedback payload for complete psychological safety.</w:t>
      </w:r>
    </w:p>
    <w:p>
      <w:pPr>
        <w:pStyle w:val="Heading1"/>
        <w:keepNext/>
        <w:spacing w:before="320" w:after="120"/>
      </w:pPr>
      <w:r>
        <w:rPr>
          <w:rFonts w:ascii="Calibri" w:hAnsi="Calibri"/>
          <w:b/>
          <w:color w:val="1E293B"/>
          <w:sz w:val="36"/>
        </w:rPr>
        <w:t>2. Introduction &amp; Background</w:t>
      </w:r>
    </w:p>
    <w:p>
      <w:pPr>
        <w:pStyle w:val="Heading2"/>
        <w:keepNext/>
        <w:spacing w:before="240" w:after="80"/>
      </w:pPr>
      <w:r>
        <w:rPr>
          <w:rFonts w:ascii="Calibri" w:hAnsi="Calibri"/>
          <w:b/>
          <w:color w:val="4F46E5"/>
          <w:sz w:val="28"/>
        </w:rPr>
        <w:t>2.1 Background</w:t>
      </w:r>
    </w:p>
    <w:p>
      <w:pPr>
        <w:spacing w:after="120" w:line="276" w:lineRule="auto"/>
      </w:pPr>
      <w:r>
        <w:rPr>
          <w:rFonts w:ascii="Calibri" w:hAnsi="Calibri"/>
          <w:i w:val="0"/>
          <w:color w:val="334155"/>
          <w:sz w:val="22"/>
        </w:rPr>
        <w:t>Quality assurance in higher education is dependent on continuous monitoring of pedagogical effectiveness, course workload, and campus infrastructure. Accreditation bodies mandate evidence-based continuous quality improvement (CQI). While quantitative Likert scales provide easy numerical metrics, they mask the context behind student scores. Qualitative text feedback contains rich explanatory context but creates administrative bottlenecks due to volume.</w:t>
      </w:r>
    </w:p>
    <w:p>
      <w:pPr>
        <w:pStyle w:val="Heading2"/>
        <w:keepNext/>
        <w:spacing w:before="240" w:after="80"/>
      </w:pPr>
      <w:r>
        <w:rPr>
          <w:rFonts w:ascii="Calibri" w:hAnsi="Calibri"/>
          <w:b/>
          <w:color w:val="4F46E5"/>
          <w:sz w:val="28"/>
        </w:rPr>
        <w:t>2.2 Motivation</w:t>
      </w:r>
    </w:p>
    <w:p>
      <w:pPr>
        <w:spacing w:after="120" w:line="276" w:lineRule="auto"/>
      </w:pPr>
      <w:r>
        <w:rPr>
          <w:rFonts w:ascii="Calibri" w:hAnsi="Calibri"/>
          <w:i w:val="0"/>
          <w:color w:val="334155"/>
          <w:sz w:val="22"/>
        </w:rPr>
        <w:t>Applying state-of-the-art Natural Language Processing to student feedback addresses three crucial institutional needs:</w:t>
      </w:r>
    </w:p>
    <w:p>
      <w:pPr>
        <w:pStyle w:val="ListBullet"/>
        <w:spacing w:after="80" w:line="276" w:lineRule="auto"/>
      </w:pPr>
      <w:r>
        <w:rPr>
          <w:rFonts w:ascii="Calibri" w:hAnsi="Calibri"/>
          <w:b/>
          <w:color w:val="0F172A"/>
          <w:sz w:val="22"/>
        </w:rPr>
        <w:t xml:space="preserve">1. Speed &amp; Scalability: </w:t>
      </w:r>
      <w:r>
        <w:rPr>
          <w:rFonts w:ascii="Calibri" w:hAnsi="Calibri"/>
          <w:color w:val="334155"/>
          <w:sz w:val="22"/>
        </w:rPr>
        <w:t>Shortening feedback turnaround time from weeks to real-time execution.</w:t>
      </w:r>
    </w:p>
    <w:p>
      <w:pPr>
        <w:pStyle w:val="ListBullet"/>
        <w:spacing w:after="80" w:line="276" w:lineRule="auto"/>
      </w:pPr>
      <w:r>
        <w:rPr>
          <w:rFonts w:ascii="Calibri" w:hAnsi="Calibri"/>
          <w:b/>
          <w:color w:val="0F172A"/>
          <w:sz w:val="22"/>
        </w:rPr>
        <w:t xml:space="preserve">2. Psychological &amp; Well-being Insights: </w:t>
      </w:r>
      <w:r>
        <w:rPr>
          <w:rFonts w:ascii="Calibri" w:hAnsi="Calibri"/>
          <w:color w:val="334155"/>
          <w:sz w:val="22"/>
        </w:rPr>
        <w:t>Detecting academic burnout, frustration, or course confusion early in the academic session.</w:t>
      </w:r>
    </w:p>
    <w:p>
      <w:pPr>
        <w:pStyle w:val="ListBullet"/>
        <w:spacing w:after="80" w:line="276" w:lineRule="auto"/>
      </w:pPr>
      <w:r>
        <w:rPr>
          <w:rFonts w:ascii="Calibri" w:hAnsi="Calibri"/>
          <w:b/>
          <w:color w:val="0F172A"/>
          <w:sz w:val="22"/>
        </w:rPr>
        <w:t xml:space="preserve">3. Target-Specific Actionability: </w:t>
      </w:r>
      <w:r>
        <w:rPr>
          <w:rFonts w:ascii="Calibri" w:hAnsi="Calibri"/>
          <w:color w:val="334155"/>
          <w:sz w:val="22"/>
        </w:rPr>
        <w:t>Pinpointing exact areas for faculty development or infrastructure investment.</w:t>
      </w:r>
    </w:p>
    <w:p>
      <w:pPr>
        <w:pStyle w:val="Heading1"/>
        <w:keepNext/>
        <w:spacing w:before="320" w:after="120"/>
      </w:pPr>
      <w:r>
        <w:rPr>
          <w:rFonts w:ascii="Calibri" w:hAnsi="Calibri"/>
          <w:b/>
          <w:color w:val="1E293B"/>
          <w:sz w:val="36"/>
        </w:rPr>
        <w:t>3. Problem Statement &amp; Educational Domain Challenges</w:t>
      </w:r>
    </w:p>
    <w:p>
      <w:pPr>
        <w:spacing w:after="120" w:line="276" w:lineRule="auto"/>
      </w:pPr>
      <w:r>
        <w:rPr>
          <w:rFonts w:ascii="Calibri" w:hAnsi="Calibri"/>
          <w:i w:val="0"/>
          <w:color w:val="334155"/>
          <w:sz w:val="22"/>
        </w:rPr>
        <w:t>Educational institutions face several hurdles when evaluating qualitative feedback:</w:t>
      </w:r>
    </w:p>
    <w:p>
      <w:pPr>
        <w:pStyle w:val="ListBullet"/>
        <w:spacing w:after="80" w:line="276" w:lineRule="auto"/>
      </w:pPr>
      <w:r>
        <w:rPr>
          <w:rFonts w:ascii="Calibri" w:hAnsi="Calibri"/>
          <w:b/>
          <w:color w:val="0F172A"/>
          <w:sz w:val="22"/>
        </w:rPr>
        <w:t xml:space="preserve">1. Manual Evaluation Overhead: </w:t>
      </w:r>
      <w:r>
        <w:rPr>
          <w:rFonts w:ascii="Calibri" w:hAnsi="Calibri"/>
          <w:color w:val="334155"/>
          <w:sz w:val="22"/>
        </w:rPr>
        <w:t>Evaluating 5,000+ student comments requires hundreds of human faculty hours.</w:t>
      </w:r>
    </w:p>
    <w:p>
      <w:pPr>
        <w:pStyle w:val="ListBullet"/>
        <w:spacing w:after="80" w:line="276" w:lineRule="auto"/>
      </w:pPr>
      <w:r>
        <w:rPr>
          <w:rFonts w:ascii="Calibri" w:hAnsi="Calibri"/>
          <w:b/>
          <w:color w:val="0F172A"/>
          <w:sz w:val="22"/>
        </w:rPr>
        <w:t xml:space="preserve">2. Oversimplified Sentiment Classification: </w:t>
      </w:r>
      <w:r>
        <w:rPr>
          <w:rFonts w:ascii="Calibri" w:hAnsi="Calibri"/>
          <w:color w:val="334155"/>
          <w:sz w:val="22"/>
        </w:rPr>
        <w:t>Generic sentiment tools classify text as strictly positive or negative, ignoring mixed sentiments within single comments.</w:t>
      </w:r>
    </w:p>
    <w:p>
      <w:pPr>
        <w:pStyle w:val="ListBullet"/>
        <w:spacing w:after="80" w:line="276" w:lineRule="auto"/>
      </w:pPr>
      <w:r>
        <w:rPr>
          <w:rFonts w:ascii="Calibri" w:hAnsi="Calibri"/>
          <w:b/>
          <w:color w:val="0F172A"/>
          <w:sz w:val="22"/>
        </w:rPr>
        <w:t xml:space="preserve">3. Absence of Emotional Depth: </w:t>
      </w:r>
      <w:r>
        <w:rPr>
          <w:rFonts w:ascii="Calibri" w:hAnsi="Calibri"/>
          <w:color w:val="334155"/>
          <w:sz w:val="22"/>
        </w:rPr>
        <w:t>Failure to differentiate between pedagogical confusion (needing re-explanation) and operational frustration (needing deadline adjustments).</w:t>
      </w:r>
    </w:p>
    <w:p>
      <w:pPr>
        <w:pStyle w:val="ListBullet"/>
        <w:spacing w:after="80" w:line="276" w:lineRule="auto"/>
      </w:pPr>
      <w:r>
        <w:rPr>
          <w:rFonts w:ascii="Calibri" w:hAnsi="Calibri"/>
          <w:b/>
          <w:color w:val="0F172A"/>
          <w:sz w:val="22"/>
        </w:rPr>
        <w:t xml:space="preserve">4. Lack of Aspect Granularity: </w:t>
      </w:r>
      <w:r>
        <w:rPr>
          <w:rFonts w:ascii="Calibri" w:hAnsi="Calibri"/>
          <w:color w:val="334155"/>
          <w:sz w:val="22"/>
        </w:rPr>
        <w:t>Inability to isolate feedback regarding specific course aspects (e.g., separating teaching style from lab equipment).</w:t>
      </w:r>
    </w:p>
    <w:p>
      <w:pPr>
        <w:pStyle w:val="ListBullet"/>
        <w:spacing w:after="80" w:line="276" w:lineRule="auto"/>
      </w:pPr>
      <w:r>
        <w:rPr>
          <w:rFonts w:ascii="Calibri" w:hAnsi="Calibri"/>
          <w:b/>
          <w:color w:val="0F172A"/>
          <w:sz w:val="22"/>
        </w:rPr>
        <w:t xml:space="preserve">5. Anonymity &amp; Trust Deficit: </w:t>
      </w:r>
      <w:r>
        <w:rPr>
          <w:rFonts w:ascii="Calibri" w:hAnsi="Calibri"/>
          <w:color w:val="334155"/>
          <w:sz w:val="22"/>
        </w:rPr>
        <w:t>Students fear academic retaliation if feedback can be traced back to them.</w:t>
      </w:r>
    </w:p>
    <w:p>
      <w:pPr>
        <w:pStyle w:val="Heading1"/>
        <w:keepNext/>
        <w:spacing w:before="320" w:after="120"/>
      </w:pPr>
      <w:r>
        <w:rPr>
          <w:rFonts w:ascii="Calibri" w:hAnsi="Calibri"/>
          <w:b/>
          <w:color w:val="1E293B"/>
          <w:sz w:val="36"/>
        </w:rPr>
        <w:t>4. Objectives of the Project</w:t>
      </w:r>
    </w:p>
    <w:p>
      <w:pPr>
        <w:pStyle w:val="Heading2"/>
        <w:keepNext/>
        <w:spacing w:before="240" w:after="80"/>
      </w:pPr>
      <w:r>
        <w:rPr>
          <w:rFonts w:ascii="Calibri" w:hAnsi="Calibri"/>
          <w:b/>
          <w:color w:val="4F46E5"/>
          <w:sz w:val="28"/>
        </w:rPr>
        <w:t>4.1 Primary Objectives</w:t>
      </w:r>
    </w:p>
    <w:p>
      <w:pPr>
        <w:pStyle w:val="ListBullet"/>
        <w:spacing w:after="80" w:line="276" w:lineRule="auto"/>
      </w:pPr>
      <w:r>
        <w:rPr>
          <w:rFonts w:ascii="Calibri" w:hAnsi="Calibri"/>
          <w:b/>
          <w:color w:val="0F172A"/>
          <w:sz w:val="22"/>
        </w:rPr>
        <w:t xml:space="preserve">1. Feedback Ingestion: </w:t>
      </w:r>
      <w:r>
        <w:rPr>
          <w:rFonts w:ascii="Calibri" w:hAnsi="Calibri"/>
          <w:color w:val="334155"/>
          <w:sz w:val="22"/>
        </w:rPr>
        <w:t>Construct a secure REST API architecture to ingest feedback from registered and anonymous students.</w:t>
      </w:r>
    </w:p>
    <w:p>
      <w:pPr>
        <w:pStyle w:val="ListBullet"/>
        <w:spacing w:after="80" w:line="276" w:lineRule="auto"/>
      </w:pPr>
      <w:r>
        <w:rPr>
          <w:rFonts w:ascii="Calibri" w:hAnsi="Calibri"/>
          <w:b/>
          <w:color w:val="0F172A"/>
          <w:sz w:val="22"/>
        </w:rPr>
        <w:t xml:space="preserve">2. Sentiment Classification: </w:t>
      </w:r>
      <w:r>
        <w:rPr>
          <w:rFonts w:ascii="Calibri" w:hAnsi="Calibri"/>
          <w:color w:val="334155"/>
          <w:sz w:val="22"/>
        </w:rPr>
        <w:t>Classify input feedback into Positive, Negative, Neutral, and Mixed polarity classes.</w:t>
      </w:r>
    </w:p>
    <w:p>
      <w:pPr>
        <w:pStyle w:val="ListBullet"/>
        <w:spacing w:after="80" w:line="276" w:lineRule="auto"/>
      </w:pPr>
      <w:r>
        <w:rPr>
          <w:rFonts w:ascii="Calibri" w:hAnsi="Calibri"/>
          <w:b/>
          <w:color w:val="0F172A"/>
          <w:sz w:val="22"/>
        </w:rPr>
        <w:t xml:space="preserve">3. Emotion Detection: </w:t>
      </w:r>
      <w:r>
        <w:rPr>
          <w:rFonts w:ascii="Calibri" w:hAnsi="Calibri"/>
          <w:color w:val="334155"/>
          <w:sz w:val="22"/>
        </w:rPr>
        <w:t>Map feedback onto an 8-state emotional taxonomy with confidence probabilities.</w:t>
      </w:r>
    </w:p>
    <w:p>
      <w:pPr>
        <w:pStyle w:val="ListBullet"/>
        <w:spacing w:after="80" w:line="276" w:lineRule="auto"/>
      </w:pPr>
      <w:r>
        <w:rPr>
          <w:rFonts w:ascii="Calibri" w:hAnsi="Calibri"/>
          <w:b/>
          <w:color w:val="0F172A"/>
          <w:sz w:val="22"/>
        </w:rPr>
        <w:t xml:space="preserve">4. Aspect-Based Analysis: </w:t>
      </w:r>
      <w:r>
        <w:rPr>
          <w:rFonts w:ascii="Calibri" w:hAnsi="Calibri"/>
          <w:color w:val="334155"/>
          <w:sz w:val="22"/>
        </w:rPr>
        <w:t>Decompose multi-clause feedback sentences into independent aspect-sentiment pairs.</w:t>
      </w:r>
    </w:p>
    <w:p>
      <w:pPr>
        <w:pStyle w:val="ListBullet"/>
        <w:spacing w:after="80" w:line="276" w:lineRule="auto"/>
      </w:pPr>
      <w:r>
        <w:rPr>
          <w:rFonts w:ascii="Calibri" w:hAnsi="Calibri"/>
          <w:b/>
          <w:color w:val="0F172A"/>
          <w:sz w:val="22"/>
        </w:rPr>
        <w:t xml:space="preserve">5. Executive Dashboards: </w:t>
      </w:r>
      <w:r>
        <w:rPr>
          <w:rFonts w:ascii="Calibri" w:hAnsi="Calibri"/>
          <w:color w:val="334155"/>
          <w:sz w:val="22"/>
        </w:rPr>
        <w:t>Develop role-based dashboards displaying course-wise and faculty-wise metrics.</w:t>
      </w:r>
    </w:p>
    <w:p>
      <w:pPr>
        <w:pStyle w:val="Heading2"/>
        <w:keepNext/>
        <w:spacing w:before="240" w:after="80"/>
      </w:pPr>
      <w:r>
        <w:rPr>
          <w:rFonts w:ascii="Calibri" w:hAnsi="Calibri"/>
          <w:b/>
          <w:color w:val="4F46E5"/>
          <w:sz w:val="28"/>
        </w:rPr>
        <w:t>4.2 Secondary &amp; Engineering Objectives</w:t>
      </w:r>
    </w:p>
    <w:p>
      <w:pPr>
        <w:pStyle w:val="ListBullet"/>
        <w:spacing w:after="80" w:line="276" w:lineRule="auto"/>
      </w:pPr>
      <w:r>
        <w:rPr>
          <w:rFonts w:ascii="Calibri" w:hAnsi="Calibri"/>
          <w:b/>
          <w:color w:val="0F172A"/>
          <w:sz w:val="22"/>
        </w:rPr>
        <w:t xml:space="preserve">1. Inference Efficiency: </w:t>
      </w:r>
      <w:r>
        <w:rPr>
          <w:rFonts w:ascii="Calibri" w:hAnsi="Calibri"/>
          <w:color w:val="334155"/>
          <w:sz w:val="22"/>
        </w:rPr>
        <w:t>Achieve sub-100ms inference latencies using local ML vectorized models.</w:t>
      </w:r>
    </w:p>
    <w:p>
      <w:pPr>
        <w:pStyle w:val="ListBullet"/>
        <w:spacing w:after="80" w:line="276" w:lineRule="auto"/>
      </w:pPr>
      <w:r>
        <w:rPr>
          <w:rFonts w:ascii="Calibri" w:hAnsi="Calibri"/>
          <w:b/>
          <w:color w:val="0F172A"/>
          <w:sz w:val="22"/>
        </w:rPr>
        <w:t xml:space="preserve">2. Robust Backend: </w:t>
      </w:r>
      <w:r>
        <w:rPr>
          <w:rFonts w:ascii="Calibri" w:hAnsi="Calibri"/>
          <w:color w:val="334155"/>
          <w:sz w:val="22"/>
        </w:rPr>
        <w:t>Implement modular FastAPI backend services with SQLAlchemy ORM and PostgreSQL.</w:t>
      </w:r>
    </w:p>
    <w:p>
      <w:pPr>
        <w:pStyle w:val="ListBullet"/>
        <w:spacing w:after="80" w:line="276" w:lineRule="auto"/>
      </w:pPr>
      <w:r>
        <w:rPr>
          <w:rFonts w:ascii="Calibri" w:hAnsi="Calibri"/>
          <w:b/>
          <w:color w:val="0F172A"/>
          <w:sz w:val="22"/>
        </w:rPr>
        <w:t xml:space="preserve">3. Secure Anonymity: </w:t>
      </w:r>
      <w:r>
        <w:rPr>
          <w:rFonts w:ascii="Calibri" w:hAnsi="Calibri"/>
          <w:color w:val="334155"/>
          <w:sz w:val="22"/>
        </w:rPr>
        <w:t>Deliver JWT-based role-based access control with complete payload anonymization options.</w:t>
      </w:r>
    </w:p>
    <w:p>
      <w:pPr>
        <w:pStyle w:val="Heading1"/>
        <w:keepNext/>
        <w:spacing w:before="320" w:after="120"/>
      </w:pPr>
      <w:r>
        <w:rPr>
          <w:rFonts w:ascii="Calibri" w:hAnsi="Calibri"/>
          <w:b/>
          <w:color w:val="1E293B"/>
          <w:sz w:val="36"/>
        </w:rPr>
        <w:t>5. Comprehensive Literature Survey &amp; Related Work</w:t>
      </w:r>
    </w:p>
    <w:p>
      <w:pPr>
        <w:spacing w:after="120" w:line="276" w:lineRule="auto"/>
      </w:pPr>
      <w:r>
        <w:rPr>
          <w:rFonts w:ascii="Calibri" w:hAnsi="Calibri"/>
          <w:i w:val="0"/>
          <w:color w:val="334155"/>
          <w:sz w:val="22"/>
        </w:rPr>
        <w:t>The evolution of sentiment analysis in educational data mining (EDM) spans three major technological paradigms:</w:t>
      </w:r>
    </w:p>
    <w:p>
      <w:pPr>
        <w:pStyle w:val="Heading2"/>
        <w:keepNext/>
        <w:spacing w:before="240" w:after="80"/>
      </w:pPr>
      <w:r>
        <w:rPr>
          <w:rFonts w:ascii="Calibri" w:hAnsi="Calibri"/>
          <w:b/>
          <w:color w:val="4F46E5"/>
          <w:sz w:val="28"/>
        </w:rPr>
        <w:t>5.1 Survey of Approaches</w:t>
      </w:r>
    </w:p>
    <w:p>
      <w:pPr>
        <w:pStyle w:val="ListBullet"/>
        <w:spacing w:after="80" w:line="276" w:lineRule="auto"/>
      </w:pPr>
      <w:r>
        <w:rPr>
          <w:rFonts w:ascii="Calibri" w:hAnsi="Calibri"/>
          <w:b/>
          <w:color w:val="0F172A"/>
          <w:sz w:val="22"/>
        </w:rPr>
        <w:t xml:space="preserve">1. Lexicon &amp; Rule-Based Methods: </w:t>
      </w:r>
      <w:r>
        <w:rPr>
          <w:rFonts w:ascii="Calibri" w:hAnsi="Calibri"/>
          <w:color w:val="334155"/>
          <w:sz w:val="22"/>
        </w:rPr>
        <w:t>Relies on pre-built dictionaries (VADER, TextBlob). Fast execution (~2ms) but fails on context-specific academic terms like 'hard curve' or 'heavy syllabus'.</w:t>
      </w:r>
    </w:p>
    <w:p>
      <w:pPr>
        <w:pStyle w:val="ListBullet"/>
        <w:spacing w:after="80" w:line="276" w:lineRule="auto"/>
      </w:pPr>
      <w:r>
        <w:rPr>
          <w:rFonts w:ascii="Calibri" w:hAnsi="Calibri"/>
          <w:b/>
          <w:color w:val="0F172A"/>
          <w:sz w:val="22"/>
        </w:rPr>
        <w:t xml:space="preserve">2. Classical Machine Learning: </w:t>
      </w:r>
      <w:r>
        <w:rPr>
          <w:rFonts w:ascii="Calibri" w:hAnsi="Calibri"/>
          <w:color w:val="334155"/>
          <w:sz w:val="22"/>
        </w:rPr>
        <w:t>Uses TF-IDF vectorization with Naive Bayes, SVM, or Logistic Regression. Delivers high domain accuracy and fast performance (~10ms), forming our system's baseline.</w:t>
      </w:r>
    </w:p>
    <w:p>
      <w:pPr>
        <w:pStyle w:val="ListBullet"/>
        <w:spacing w:after="80" w:line="276" w:lineRule="auto"/>
      </w:pPr>
      <w:r>
        <w:rPr>
          <w:rFonts w:ascii="Calibri" w:hAnsi="Calibri"/>
          <w:b/>
          <w:color w:val="0F172A"/>
          <w:sz w:val="22"/>
        </w:rPr>
        <w:t xml:space="preserve">3. Deep Transformer Models (BERT &amp; RoBERTa): </w:t>
      </w:r>
      <w:r>
        <w:rPr>
          <w:rFonts w:ascii="Calibri" w:hAnsi="Calibri"/>
          <w:color w:val="334155"/>
          <w:sz w:val="22"/>
        </w:rPr>
        <w:t>Utilizes bidirectional self-attention transformers (Devlin et al., 2019; Liu et al., 2019). The GoEmotions dataset (Demszky et al., 2020) provides deep emotional classification, achieving 93%+ accuracy in our system.</w:t>
      </w:r>
    </w:p>
    <w:p>
      <w:pPr>
        <w:pStyle w:val="Heading2"/>
        <w:keepNext/>
        <w:spacing w:before="240" w:after="80"/>
      </w:pPr>
      <w:r>
        <w:rPr>
          <w:rFonts w:ascii="Calibri" w:hAnsi="Calibri"/>
          <w:b/>
          <w:color w:val="4F46E5"/>
          <w:sz w:val="28"/>
        </w:rPr>
        <w:t>5.2 Comparative Literature Summary Table</w:t>
      </w:r>
    </w:p>
    <w:tbl>
      <w:tblPr>
        <w:tblW w:type="auto" w:w="0"/>
        <w:jc w:val="center"/>
        <w:tblLook w:firstColumn="1" w:firstRow="1" w:lastColumn="0" w:lastRow="0" w:noHBand="0" w:noVBand="1" w:val="04A0"/>
      </w:tblPr>
      <w:tblGrid>
        <w:gridCol w:w="1560"/>
        <w:gridCol w:w="1560"/>
        <w:gridCol w:w="1560"/>
        <w:gridCol w:w="1560"/>
        <w:gridCol w:w="1560"/>
        <w:gridCol w:w="1560"/>
      </w:tblGrid>
      <w:tr>
        <w:tc>
          <w:tcPr>
            <w:tcW w:type="dxa" w:w="1560"/>
            <w:shd w:val="clear" w:color="auto" w:fill="1E293B"/>
          </w:tcPr>
          <w:p>
            <w:r>
              <w:rPr>
                <w:b/>
                <w:color w:val="FFFFFF"/>
                <w:sz w:val="19"/>
              </w:rPr>
              <w:t>Approach</w:t>
            </w:r>
          </w:p>
        </w:tc>
        <w:tc>
          <w:tcPr>
            <w:tcW w:type="dxa" w:w="1560"/>
            <w:shd w:val="clear" w:color="auto" w:fill="1E293B"/>
          </w:tcPr>
          <w:p>
            <w:r>
              <w:rPr>
                <w:b/>
                <w:color w:val="FFFFFF"/>
                <w:sz w:val="19"/>
              </w:rPr>
              <w:t>Technology</w:t>
            </w:r>
          </w:p>
        </w:tc>
        <w:tc>
          <w:tcPr>
            <w:tcW w:type="dxa" w:w="1560"/>
            <w:shd w:val="clear" w:color="auto" w:fill="1E293B"/>
          </w:tcPr>
          <w:p>
            <w:r>
              <w:rPr>
                <w:b/>
                <w:color w:val="FFFFFF"/>
                <w:sz w:val="19"/>
              </w:rPr>
              <w:t>Context Sensitivity</w:t>
            </w:r>
          </w:p>
        </w:tc>
        <w:tc>
          <w:tcPr>
            <w:tcW w:type="dxa" w:w="1560"/>
            <w:shd w:val="clear" w:color="auto" w:fill="1E293B"/>
          </w:tcPr>
          <w:p>
            <w:r>
              <w:rPr>
                <w:b/>
                <w:color w:val="FFFFFF"/>
                <w:sz w:val="19"/>
              </w:rPr>
              <w:t>ABSA Support</w:t>
            </w:r>
          </w:p>
        </w:tc>
        <w:tc>
          <w:tcPr>
            <w:tcW w:type="dxa" w:w="1560"/>
            <w:shd w:val="clear" w:color="auto" w:fill="1E293B"/>
          </w:tcPr>
          <w:p>
            <w:r>
              <w:rPr>
                <w:b/>
                <w:color w:val="FFFFFF"/>
                <w:sz w:val="19"/>
              </w:rPr>
              <w:t>Inference Speed</w:t>
            </w:r>
          </w:p>
        </w:tc>
        <w:tc>
          <w:tcPr>
            <w:tcW w:type="dxa" w:w="1560"/>
            <w:shd w:val="clear" w:color="auto" w:fill="1E293B"/>
          </w:tcPr>
          <w:p>
            <w:r>
              <w:rPr>
                <w:b/>
                <w:color w:val="FFFFFF"/>
                <w:sz w:val="19"/>
              </w:rPr>
              <w:t>Suitability</w:t>
            </w:r>
          </w:p>
        </w:tc>
      </w:tr>
      <w:tr>
        <w:tc>
          <w:tcPr>
            <w:tcW w:type="dxa" w:w="1560"/>
            <w:shd w:val="clear" w:color="auto" w:fill="F8FAFC"/>
            <w:tcMar>
              <w:top w:w="80" w:type="dxa"/>
              <w:bottom w:w="80" w:type="dxa"/>
              <w:left w:w="100" w:type="dxa"/>
              <w:right w:w="100" w:type="dxa"/>
            </w:tcMar>
          </w:tcPr>
          <w:p>
            <w:r>
              <w:rPr>
                <w:sz w:val="18"/>
              </w:rPr>
              <w:t>Lexicon-Based</w:t>
            </w:r>
          </w:p>
        </w:tc>
        <w:tc>
          <w:tcPr>
            <w:tcW w:type="dxa" w:w="1560"/>
            <w:shd w:val="clear" w:color="auto" w:fill="F8FAFC"/>
            <w:tcMar>
              <w:top w:w="80" w:type="dxa"/>
              <w:bottom w:w="80" w:type="dxa"/>
              <w:left w:w="100" w:type="dxa"/>
              <w:right w:w="100" w:type="dxa"/>
            </w:tcMar>
          </w:tcPr>
          <w:p>
            <w:r>
              <w:rPr>
                <w:sz w:val="18"/>
              </w:rPr>
              <w:t>VADER / TextBlob</w:t>
            </w:r>
          </w:p>
        </w:tc>
        <w:tc>
          <w:tcPr>
            <w:tcW w:type="dxa" w:w="1560"/>
            <w:shd w:val="clear" w:color="auto" w:fill="F8FAFC"/>
            <w:tcMar>
              <w:top w:w="80" w:type="dxa"/>
              <w:bottom w:w="80" w:type="dxa"/>
              <w:left w:w="100" w:type="dxa"/>
              <w:right w:w="100" w:type="dxa"/>
            </w:tcMar>
          </w:tcPr>
          <w:p>
            <w:r>
              <w:rPr>
                <w:sz w:val="18"/>
              </w:rPr>
              <w:t>Low</w:t>
            </w:r>
          </w:p>
        </w:tc>
        <w:tc>
          <w:tcPr>
            <w:tcW w:type="dxa" w:w="1560"/>
            <w:shd w:val="clear" w:color="auto" w:fill="F8FAFC"/>
            <w:tcMar>
              <w:top w:w="80" w:type="dxa"/>
              <w:bottom w:w="80" w:type="dxa"/>
              <w:left w:w="100" w:type="dxa"/>
              <w:right w:w="100" w:type="dxa"/>
            </w:tcMar>
          </w:tcPr>
          <w:p>
            <w:r>
              <w:rPr>
                <w:sz w:val="18"/>
              </w:rPr>
              <w:t>Low</w:t>
            </w:r>
          </w:p>
        </w:tc>
        <w:tc>
          <w:tcPr>
            <w:tcW w:type="dxa" w:w="1560"/>
            <w:shd w:val="clear" w:color="auto" w:fill="F8FAFC"/>
            <w:tcMar>
              <w:top w:w="80" w:type="dxa"/>
              <w:bottom w:w="80" w:type="dxa"/>
              <w:left w:w="100" w:type="dxa"/>
              <w:right w:w="100" w:type="dxa"/>
            </w:tcMar>
          </w:tcPr>
          <w:p>
            <w:r>
              <w:rPr>
                <w:sz w:val="18"/>
              </w:rPr>
              <w:t>~2 ms</w:t>
            </w:r>
          </w:p>
        </w:tc>
        <w:tc>
          <w:tcPr>
            <w:tcW w:type="dxa" w:w="1560"/>
            <w:shd w:val="clear" w:color="auto" w:fill="F8FAFC"/>
            <w:tcMar>
              <w:top w:w="80" w:type="dxa"/>
              <w:bottom w:w="80" w:type="dxa"/>
              <w:left w:w="100" w:type="dxa"/>
              <w:right w:w="100" w:type="dxa"/>
            </w:tcMar>
          </w:tcPr>
          <w:p>
            <w:r>
              <w:rPr>
                <w:sz w:val="18"/>
              </w:rPr>
              <w:t>Poor</w:t>
            </w:r>
          </w:p>
        </w:tc>
      </w:tr>
      <w:tr>
        <w:tc>
          <w:tcPr>
            <w:tcW w:type="dxa" w:w="1560"/>
            <w:shd w:val="clear" w:color="auto" w:fill="FFFFFF"/>
            <w:tcMar>
              <w:top w:w="80" w:type="dxa"/>
              <w:bottom w:w="80" w:type="dxa"/>
              <w:left w:w="100" w:type="dxa"/>
              <w:right w:w="100" w:type="dxa"/>
            </w:tcMar>
          </w:tcPr>
          <w:p>
            <w:r>
              <w:rPr>
                <w:sz w:val="18"/>
              </w:rPr>
              <w:t>Classical ML</w:t>
            </w:r>
          </w:p>
        </w:tc>
        <w:tc>
          <w:tcPr>
            <w:tcW w:type="dxa" w:w="1560"/>
            <w:shd w:val="clear" w:color="auto" w:fill="FFFFFF"/>
            <w:tcMar>
              <w:top w:w="80" w:type="dxa"/>
              <w:bottom w:w="80" w:type="dxa"/>
              <w:left w:w="100" w:type="dxa"/>
              <w:right w:w="100" w:type="dxa"/>
            </w:tcMar>
          </w:tcPr>
          <w:p>
            <w:r>
              <w:rPr>
                <w:sz w:val="18"/>
              </w:rPr>
              <w:t>TF-IDF + LogReg</w:t>
            </w:r>
          </w:p>
        </w:tc>
        <w:tc>
          <w:tcPr>
            <w:tcW w:type="dxa" w:w="1560"/>
            <w:shd w:val="clear" w:color="auto" w:fill="FFFFFF"/>
            <w:tcMar>
              <w:top w:w="80" w:type="dxa"/>
              <w:bottom w:w="80" w:type="dxa"/>
              <w:left w:w="100" w:type="dxa"/>
              <w:right w:w="100" w:type="dxa"/>
            </w:tcMar>
          </w:tcPr>
          <w:p>
            <w:r>
              <w:rPr>
                <w:sz w:val="18"/>
              </w:rPr>
              <w:t>Moderate</w:t>
            </w:r>
          </w:p>
        </w:tc>
        <w:tc>
          <w:tcPr>
            <w:tcW w:type="dxa" w:w="1560"/>
            <w:shd w:val="clear" w:color="auto" w:fill="FFFFFF"/>
            <w:tcMar>
              <w:top w:w="80" w:type="dxa"/>
              <w:bottom w:w="80" w:type="dxa"/>
              <w:left w:w="100" w:type="dxa"/>
              <w:right w:w="100" w:type="dxa"/>
            </w:tcMar>
          </w:tcPr>
          <w:p>
            <w:r>
              <w:rPr>
                <w:sz w:val="18"/>
              </w:rPr>
              <w:t>Rule-Assisted</w:t>
            </w:r>
          </w:p>
        </w:tc>
        <w:tc>
          <w:tcPr>
            <w:tcW w:type="dxa" w:w="1560"/>
            <w:shd w:val="clear" w:color="auto" w:fill="FFFFFF"/>
            <w:tcMar>
              <w:top w:w="80" w:type="dxa"/>
              <w:bottom w:w="80" w:type="dxa"/>
              <w:left w:w="100" w:type="dxa"/>
              <w:right w:w="100" w:type="dxa"/>
            </w:tcMar>
          </w:tcPr>
          <w:p>
            <w:r>
              <w:rPr>
                <w:sz w:val="18"/>
              </w:rPr>
              <w:t>~8 ms</w:t>
            </w:r>
          </w:p>
        </w:tc>
        <w:tc>
          <w:tcPr>
            <w:tcW w:type="dxa" w:w="1560"/>
            <w:shd w:val="clear" w:color="auto" w:fill="FFFFFF"/>
            <w:tcMar>
              <w:top w:w="80" w:type="dxa"/>
              <w:bottom w:w="80" w:type="dxa"/>
              <w:left w:w="100" w:type="dxa"/>
              <w:right w:w="100" w:type="dxa"/>
            </w:tcMar>
          </w:tcPr>
          <w:p>
            <w:r>
              <w:rPr>
                <w:sz w:val="18"/>
              </w:rPr>
              <w:t>High (Baseline)</w:t>
            </w:r>
          </w:p>
        </w:tc>
      </w:tr>
      <w:tr>
        <w:tc>
          <w:tcPr>
            <w:tcW w:type="dxa" w:w="1560"/>
            <w:shd w:val="clear" w:color="auto" w:fill="F8FAFC"/>
            <w:tcMar>
              <w:top w:w="80" w:type="dxa"/>
              <w:bottom w:w="80" w:type="dxa"/>
              <w:left w:w="100" w:type="dxa"/>
              <w:right w:w="100" w:type="dxa"/>
            </w:tcMar>
          </w:tcPr>
          <w:p>
            <w:r>
              <w:rPr>
                <w:sz w:val="18"/>
              </w:rPr>
              <w:t>Deep Learning</w:t>
            </w:r>
          </w:p>
        </w:tc>
        <w:tc>
          <w:tcPr>
            <w:tcW w:type="dxa" w:w="1560"/>
            <w:shd w:val="clear" w:color="auto" w:fill="F8FAFC"/>
            <w:tcMar>
              <w:top w:w="80" w:type="dxa"/>
              <w:bottom w:w="80" w:type="dxa"/>
              <w:left w:w="100" w:type="dxa"/>
              <w:right w:w="100" w:type="dxa"/>
            </w:tcMar>
          </w:tcPr>
          <w:p>
            <w:r>
              <w:rPr>
                <w:sz w:val="18"/>
              </w:rPr>
              <w:t>BiLSTM</w:t>
            </w:r>
          </w:p>
        </w:tc>
        <w:tc>
          <w:tcPr>
            <w:tcW w:type="dxa" w:w="1560"/>
            <w:shd w:val="clear" w:color="auto" w:fill="F8FAFC"/>
            <w:tcMar>
              <w:top w:w="80" w:type="dxa"/>
              <w:bottom w:w="80" w:type="dxa"/>
              <w:left w:w="100" w:type="dxa"/>
              <w:right w:w="100" w:type="dxa"/>
            </w:tcMar>
          </w:tcPr>
          <w:p>
            <w:r>
              <w:rPr>
                <w:sz w:val="18"/>
              </w:rPr>
              <w:t>Medium-High</w:t>
            </w:r>
          </w:p>
        </w:tc>
        <w:tc>
          <w:tcPr>
            <w:tcW w:type="dxa" w:w="1560"/>
            <w:shd w:val="clear" w:color="auto" w:fill="F8FAFC"/>
            <w:tcMar>
              <w:top w:w="80" w:type="dxa"/>
              <w:bottom w:w="80" w:type="dxa"/>
              <w:left w:w="100" w:type="dxa"/>
              <w:right w:w="100" w:type="dxa"/>
            </w:tcMar>
          </w:tcPr>
          <w:p>
            <w:r>
              <w:rPr>
                <w:sz w:val="18"/>
              </w:rPr>
              <w:t>Moderate</w:t>
            </w:r>
          </w:p>
        </w:tc>
        <w:tc>
          <w:tcPr>
            <w:tcW w:type="dxa" w:w="1560"/>
            <w:shd w:val="clear" w:color="auto" w:fill="F8FAFC"/>
            <w:tcMar>
              <w:top w:w="80" w:type="dxa"/>
              <w:bottom w:w="80" w:type="dxa"/>
              <w:left w:w="100" w:type="dxa"/>
              <w:right w:w="100" w:type="dxa"/>
            </w:tcMar>
          </w:tcPr>
          <w:p>
            <w:r>
              <w:rPr>
                <w:sz w:val="18"/>
              </w:rPr>
              <w:t>~80 ms</w:t>
            </w:r>
          </w:p>
        </w:tc>
        <w:tc>
          <w:tcPr>
            <w:tcW w:type="dxa" w:w="1560"/>
            <w:shd w:val="clear" w:color="auto" w:fill="F8FAFC"/>
            <w:tcMar>
              <w:top w:w="80" w:type="dxa"/>
              <w:bottom w:w="80" w:type="dxa"/>
              <w:left w:w="100" w:type="dxa"/>
              <w:right w:w="100" w:type="dxa"/>
            </w:tcMar>
          </w:tcPr>
          <w:p>
            <w:r>
              <w:rPr>
                <w:sz w:val="18"/>
              </w:rPr>
              <w:t>Moderate</w:t>
            </w:r>
          </w:p>
        </w:tc>
      </w:tr>
      <w:tr>
        <w:tc>
          <w:tcPr>
            <w:tcW w:type="dxa" w:w="1560"/>
            <w:shd w:val="clear" w:color="auto" w:fill="FFFFFF"/>
            <w:tcMar>
              <w:top w:w="80" w:type="dxa"/>
              <w:bottom w:w="80" w:type="dxa"/>
              <w:left w:w="100" w:type="dxa"/>
              <w:right w:w="100" w:type="dxa"/>
            </w:tcMar>
          </w:tcPr>
          <w:p>
            <w:r>
              <w:rPr>
                <w:sz w:val="18"/>
              </w:rPr>
              <w:t>Transformers</w:t>
            </w:r>
          </w:p>
        </w:tc>
        <w:tc>
          <w:tcPr>
            <w:tcW w:type="dxa" w:w="1560"/>
            <w:shd w:val="clear" w:color="auto" w:fill="FFFFFF"/>
            <w:tcMar>
              <w:top w:w="80" w:type="dxa"/>
              <w:bottom w:w="80" w:type="dxa"/>
              <w:left w:w="100" w:type="dxa"/>
              <w:right w:w="100" w:type="dxa"/>
            </w:tcMar>
          </w:tcPr>
          <w:p>
            <w:r>
              <w:rPr>
                <w:sz w:val="18"/>
              </w:rPr>
              <w:t>RoBERTa / GoEmotions</w:t>
            </w:r>
          </w:p>
        </w:tc>
        <w:tc>
          <w:tcPr>
            <w:tcW w:type="dxa" w:w="1560"/>
            <w:shd w:val="clear" w:color="auto" w:fill="FFFFFF"/>
            <w:tcMar>
              <w:top w:w="80" w:type="dxa"/>
              <w:bottom w:w="80" w:type="dxa"/>
              <w:left w:w="100" w:type="dxa"/>
              <w:right w:w="100" w:type="dxa"/>
            </w:tcMar>
          </w:tcPr>
          <w:p>
            <w:r>
              <w:rPr>
                <w:sz w:val="18"/>
              </w:rPr>
              <w:t>Very High</w:t>
            </w:r>
          </w:p>
        </w:tc>
        <w:tc>
          <w:tcPr>
            <w:tcW w:type="dxa" w:w="1560"/>
            <w:shd w:val="clear" w:color="auto" w:fill="FFFFFF"/>
            <w:tcMar>
              <w:top w:w="80" w:type="dxa"/>
              <w:bottom w:w="80" w:type="dxa"/>
              <w:left w:w="100" w:type="dxa"/>
              <w:right w:w="100" w:type="dxa"/>
            </w:tcMar>
          </w:tcPr>
          <w:p>
            <w:r>
              <w:rPr>
                <w:sz w:val="18"/>
              </w:rPr>
              <w:t>High</w:t>
            </w:r>
          </w:p>
        </w:tc>
        <w:tc>
          <w:tcPr>
            <w:tcW w:type="dxa" w:w="1560"/>
            <w:shd w:val="clear" w:color="auto" w:fill="FFFFFF"/>
            <w:tcMar>
              <w:top w:w="80" w:type="dxa"/>
              <w:bottom w:w="80" w:type="dxa"/>
              <w:left w:w="100" w:type="dxa"/>
              <w:right w:w="100" w:type="dxa"/>
            </w:tcMar>
          </w:tcPr>
          <w:p>
            <w:r>
              <w:rPr>
                <w:sz w:val="18"/>
              </w:rPr>
              <w:t>~124 ms</w:t>
            </w:r>
          </w:p>
        </w:tc>
        <w:tc>
          <w:tcPr>
            <w:tcW w:type="dxa" w:w="1560"/>
            <w:shd w:val="clear" w:color="auto" w:fill="FFFFFF"/>
            <w:tcMar>
              <w:top w:w="80" w:type="dxa"/>
              <w:bottom w:w="80" w:type="dxa"/>
              <w:left w:w="100" w:type="dxa"/>
              <w:right w:w="100" w:type="dxa"/>
            </w:tcMar>
          </w:tcPr>
          <w:p>
            <w:r>
              <w:rPr>
                <w:sz w:val="18"/>
              </w:rPr>
              <w:t>Very High (Deep)</w:t>
            </w:r>
          </w:p>
        </w:tc>
      </w:tr>
    </w:tbl>
    <w:p>
      <w:r>
        <w:br w:type="page"/>
      </w:r>
    </w:p>
    <w:p>
      <w:pPr>
        <w:pStyle w:val="Heading1"/>
        <w:keepNext/>
        <w:spacing w:before="320" w:after="120"/>
      </w:pPr>
      <w:r>
        <w:rPr>
          <w:rFonts w:ascii="Calibri" w:hAnsi="Calibri"/>
          <w:b/>
          <w:color w:val="1E293B"/>
          <w:sz w:val="36"/>
        </w:rPr>
        <w:t>6. System Requirements &amp; Specifications</w:t>
      </w:r>
    </w:p>
    <w:p>
      <w:pPr>
        <w:pStyle w:val="Heading2"/>
        <w:keepNext/>
        <w:spacing w:before="240" w:after="80"/>
      </w:pPr>
      <w:r>
        <w:rPr>
          <w:rFonts w:ascii="Calibri" w:hAnsi="Calibri"/>
          <w:b/>
          <w:color w:val="4F46E5"/>
          <w:sz w:val="28"/>
        </w:rPr>
        <w:t>6.1 Functional Requirements</w:t>
      </w:r>
    </w:p>
    <w:p>
      <w:pPr>
        <w:pStyle w:val="ListBullet"/>
        <w:spacing w:after="80" w:line="276" w:lineRule="auto"/>
      </w:pPr>
      <w:r>
        <w:rPr>
          <w:rFonts w:ascii="Calibri" w:hAnsi="Calibri"/>
          <w:b/>
          <w:color w:val="0F172A"/>
          <w:sz w:val="22"/>
        </w:rPr>
        <w:t xml:space="preserve">Student Module: </w:t>
      </w:r>
      <w:r>
        <w:rPr>
          <w:rFonts w:ascii="Calibri" w:hAnsi="Calibri"/>
          <w:color w:val="334155"/>
          <w:sz w:val="22"/>
        </w:rPr>
        <w:t>Student registration, login, feedback submission, faculty/course selection, anonymous toggle, and history view.</w:t>
      </w:r>
    </w:p>
    <w:p>
      <w:pPr>
        <w:pStyle w:val="ListBullet"/>
        <w:spacing w:after="80" w:line="276" w:lineRule="auto"/>
      </w:pPr>
      <w:r>
        <w:rPr>
          <w:rFonts w:ascii="Calibri" w:hAnsi="Calibri"/>
          <w:b/>
          <w:color w:val="0F172A"/>
          <w:sz w:val="22"/>
        </w:rPr>
        <w:t xml:space="preserve">AI NLP Engine Module: </w:t>
      </w:r>
      <w:r>
        <w:rPr>
          <w:rFonts w:ascii="Calibri" w:hAnsi="Calibri"/>
          <w:color w:val="334155"/>
          <w:sz w:val="22"/>
        </w:rPr>
        <w:t>Preprocessing, sentiment classification, 8-state emotion prediction, clause ABSA decomposition, topic extraction.</w:t>
      </w:r>
    </w:p>
    <w:p>
      <w:pPr>
        <w:pStyle w:val="ListBullet"/>
        <w:spacing w:after="80" w:line="276" w:lineRule="auto"/>
      </w:pPr>
      <w:r>
        <w:rPr>
          <w:rFonts w:ascii="Calibri" w:hAnsi="Calibri"/>
          <w:b/>
          <w:color w:val="0F172A"/>
          <w:sz w:val="22"/>
        </w:rPr>
        <w:t xml:space="preserve">Admin &amp; Executive Module: </w:t>
      </w:r>
      <w:r>
        <w:rPr>
          <w:rFonts w:ascii="Calibri" w:hAnsi="Calibri"/>
          <w:color w:val="334155"/>
          <w:sz w:val="22"/>
        </w:rPr>
        <w:t>Course-wise and faculty-wise sentiment analytics, emotion radar plots, complaint frequency heatmaps, report exports.</w:t>
      </w:r>
    </w:p>
    <w:p>
      <w:pPr>
        <w:pStyle w:val="ListBullet"/>
        <w:spacing w:after="80" w:line="276" w:lineRule="auto"/>
      </w:pPr>
      <w:r>
        <w:rPr>
          <w:rFonts w:ascii="Calibri" w:hAnsi="Calibri"/>
          <w:b/>
          <w:color w:val="0F172A"/>
          <w:sz w:val="22"/>
        </w:rPr>
        <w:t xml:space="preserve">Security Module: </w:t>
      </w:r>
      <w:r>
        <w:rPr>
          <w:rFonts w:ascii="Calibri" w:hAnsi="Calibri"/>
          <w:color w:val="334155"/>
          <w:sz w:val="22"/>
        </w:rPr>
        <w:t>JWT token authentication, password hashing (bcrypt), payload anonymization guardrails.</w:t>
      </w:r>
    </w:p>
    <w:p>
      <w:pPr>
        <w:pStyle w:val="Heading2"/>
        <w:keepNext/>
        <w:spacing w:before="240" w:after="80"/>
      </w:pPr>
      <w:r>
        <w:rPr>
          <w:rFonts w:ascii="Calibri" w:hAnsi="Calibri"/>
          <w:b/>
          <w:color w:val="4F46E5"/>
          <w:sz w:val="28"/>
        </w:rPr>
        <w:t>6.2 Non-Functional Requirements</w:t>
      </w:r>
    </w:p>
    <w:p>
      <w:pPr>
        <w:pStyle w:val="ListBullet"/>
        <w:spacing w:after="80" w:line="276" w:lineRule="auto"/>
      </w:pPr>
      <w:r>
        <w:rPr>
          <w:rFonts w:ascii="Calibri" w:hAnsi="Calibri"/>
          <w:b/>
          <w:color w:val="0F172A"/>
          <w:sz w:val="22"/>
        </w:rPr>
        <w:t xml:space="preserve">Performance &amp; Throughput: </w:t>
      </w:r>
      <w:r>
        <w:rPr>
          <w:rFonts w:ascii="Calibri" w:hAnsi="Calibri"/>
          <w:color w:val="334155"/>
          <w:sz w:val="22"/>
        </w:rPr>
        <w:t>API throughput &gt;= 100 req/sec; local ML inference &lt;= 10ms; transformer inference &lt;= 150ms.</w:t>
      </w:r>
    </w:p>
    <w:p>
      <w:pPr>
        <w:pStyle w:val="ListBullet"/>
        <w:spacing w:after="80" w:line="276" w:lineRule="auto"/>
      </w:pPr>
      <w:r>
        <w:rPr>
          <w:rFonts w:ascii="Calibri" w:hAnsi="Calibri"/>
          <w:b/>
          <w:color w:val="0F172A"/>
          <w:sz w:val="22"/>
        </w:rPr>
        <w:t xml:space="preserve">Data Security &amp; Anonymity: </w:t>
      </w:r>
      <w:r>
        <w:rPr>
          <w:rFonts w:ascii="Calibri" w:hAnsi="Calibri"/>
          <w:color w:val="334155"/>
          <w:sz w:val="22"/>
        </w:rPr>
        <w:t>Anonymized submissions cryptographically disconnected from student IDs in database writes.</w:t>
      </w:r>
    </w:p>
    <w:p>
      <w:pPr>
        <w:pStyle w:val="ListBullet"/>
        <w:spacing w:after="80" w:line="276" w:lineRule="auto"/>
      </w:pPr>
      <w:r>
        <w:rPr>
          <w:rFonts w:ascii="Calibri" w:hAnsi="Calibri"/>
          <w:b/>
          <w:color w:val="0F172A"/>
          <w:sz w:val="22"/>
        </w:rPr>
        <w:t xml:space="preserve">Scalability &amp; Reliability: </w:t>
      </w:r>
      <w:r>
        <w:rPr>
          <w:rFonts w:ascii="Calibri" w:hAnsi="Calibri"/>
          <w:color w:val="334155"/>
          <w:sz w:val="22"/>
        </w:rPr>
        <w:t>Stateless container deployment scalable horizontally via Docker Compose.</w:t>
      </w:r>
    </w:p>
    <w:p>
      <w:pPr>
        <w:pStyle w:val="Heading2"/>
        <w:keepNext/>
        <w:spacing w:before="240" w:after="80"/>
      </w:pPr>
      <w:r>
        <w:rPr>
          <w:rFonts w:ascii="Calibri" w:hAnsi="Calibri"/>
          <w:b/>
          <w:color w:val="4F46E5"/>
          <w:sz w:val="28"/>
        </w:rPr>
        <w:t>6.3 Tech Stack &amp; Specifications</w:t>
      </w:r>
    </w:p>
    <w:p>
      <w:pPr>
        <w:pStyle w:val="ListBullet"/>
        <w:spacing w:after="80" w:line="276" w:lineRule="auto"/>
      </w:pPr>
      <w:r>
        <w:rPr>
          <w:rFonts w:ascii="Calibri" w:hAnsi="Calibri"/>
          <w:b/>
          <w:color w:val="0F172A"/>
          <w:sz w:val="22"/>
        </w:rPr>
        <w:t xml:space="preserve">Backend Stack: </w:t>
      </w:r>
      <w:r>
        <w:rPr>
          <w:rFonts w:ascii="Calibri" w:hAnsi="Calibri"/>
          <w:color w:val="334155"/>
          <w:sz w:val="22"/>
        </w:rPr>
        <w:t>Python 3.10+, FastAPI, Uvicorn, Pydantic, SQLAlchemy ORM.</w:t>
      </w:r>
    </w:p>
    <w:p>
      <w:pPr>
        <w:pStyle w:val="ListBullet"/>
        <w:spacing w:after="80" w:line="276" w:lineRule="auto"/>
      </w:pPr>
      <w:r>
        <w:rPr>
          <w:rFonts w:ascii="Calibri" w:hAnsi="Calibri"/>
          <w:b/>
          <w:color w:val="0F172A"/>
          <w:sz w:val="22"/>
        </w:rPr>
        <w:t xml:space="preserve">AI/NLP Stack: </w:t>
      </w:r>
      <w:r>
        <w:rPr>
          <w:rFonts w:ascii="Calibri" w:hAnsi="Calibri"/>
          <w:color w:val="334155"/>
          <w:sz w:val="22"/>
        </w:rPr>
        <w:t>PyTorch 2.x, HuggingFace Transformers, scikit-learn, NLTK, pandas, numpy, joblib.</w:t>
      </w:r>
    </w:p>
    <w:p>
      <w:pPr>
        <w:pStyle w:val="ListBullet"/>
        <w:spacing w:after="80" w:line="276" w:lineRule="auto"/>
      </w:pPr>
      <w:r>
        <w:rPr>
          <w:rFonts w:ascii="Calibri" w:hAnsi="Calibri"/>
          <w:b/>
          <w:color w:val="0F172A"/>
          <w:sz w:val="22"/>
        </w:rPr>
        <w:t xml:space="preserve">Frontend Stack: </w:t>
      </w:r>
      <w:r>
        <w:rPr>
          <w:rFonts w:ascii="Calibri" w:hAnsi="Calibri"/>
          <w:color w:val="334155"/>
          <w:sz w:val="22"/>
        </w:rPr>
        <w:t>React 18, TypeScript 5, Tailwind CSS v3, Recharts 2, Axios.</w:t>
      </w:r>
    </w:p>
    <w:p>
      <w:pPr>
        <w:pStyle w:val="ListBullet"/>
        <w:spacing w:after="80" w:line="276" w:lineRule="auto"/>
      </w:pPr>
      <w:r>
        <w:rPr>
          <w:rFonts w:ascii="Calibri" w:hAnsi="Calibri"/>
          <w:b/>
          <w:color w:val="0F172A"/>
          <w:sz w:val="22"/>
        </w:rPr>
        <w:t xml:space="preserve">Database &amp; DevOps: </w:t>
      </w:r>
      <w:r>
        <w:rPr>
          <w:rFonts w:ascii="Calibri" w:hAnsi="Calibri"/>
          <w:color w:val="334155"/>
          <w:sz w:val="22"/>
        </w:rPr>
        <w:t>PostgreSQL 15+, Docker, Docker Compose, Pytest, Vitest.</w:t>
      </w:r>
    </w:p>
    <w:p>
      <w:pPr>
        <w:pStyle w:val="Heading1"/>
        <w:keepNext/>
        <w:spacing w:before="320" w:after="120"/>
      </w:pPr>
      <w:r>
        <w:rPr>
          <w:rFonts w:ascii="Calibri" w:hAnsi="Calibri"/>
          <w:b/>
          <w:color w:val="1E293B"/>
          <w:sz w:val="36"/>
        </w:rPr>
        <w:t>7. System Architecture &amp; High-Level Design</w:t>
      </w:r>
    </w:p>
    <w:p>
      <w:pPr>
        <w:spacing w:after="120" w:line="276" w:lineRule="auto"/>
      </w:pPr>
      <w:r>
        <w:rPr>
          <w:rFonts w:ascii="Calibri" w:hAnsi="Calibri"/>
          <w:i w:val="0"/>
          <w:color w:val="334155"/>
          <w:sz w:val="22"/>
        </w:rPr>
        <w:t>The system follows a multi-tier decoupled architecture comprising Presentation, REST API Service, AI Inference Engine, and Relational Database layers.</w:t>
      </w:r>
    </w:p>
    <w:p>
      <w:pPr>
        <w:spacing w:before="120" w:after="120"/>
        <w:ind w:left="432" w:right="432"/>
      </w:pPr>
      <w:r>
        <w:rPr>
          <w:rFonts w:ascii="Consolas" w:hAnsi="Consolas"/>
          <w:color w:val="1E293B"/>
          <w:sz w:val="19"/>
        </w:rPr>
        <w:t>[ React UI + Tailwind CSS ] ◄── REST API ──► [ FastAPI Service Layer ]</w:t>
        <w:br/>
        <w:t xml:space="preserve">                                                  │</w:t>
        <w:br/>
        <w:t xml:space="preserve">                ┌─────────────────────────────────┼─────────────────────────────────┐</w:t>
        <w:br/>
        <w:t xml:space="preserve">                ▼                                 ▼                                 ▼</w:t>
        <w:br/>
        <w:t xml:space="preserve">      [ Local TF-IDF ML Engine ]     [ Transformer BERT Engine ]        [ PostgreSQL Database ]</w:t>
        <w:br/>
        <w:t xml:space="preserve">      (8ms / 88.1% Acc)              (124ms / 93.5% Acc)                (Entities &amp; Analytics)</w:t>
      </w:r>
    </w:p>
    <w:p>
      <w:pPr>
        <w:pStyle w:val="Heading2"/>
        <w:keepNext/>
        <w:spacing w:before="240" w:after="80"/>
      </w:pPr>
      <w:r>
        <w:rPr>
          <w:rFonts w:ascii="Calibri" w:hAnsi="Calibri"/>
          <w:b/>
          <w:color w:val="4F46E5"/>
          <w:sz w:val="28"/>
        </w:rPr>
        <w:t>7.1 Data Flow Architecture</w:t>
      </w:r>
    </w:p>
    <w:p>
      <w:pPr>
        <w:pStyle w:val="ListBullet"/>
        <w:spacing w:after="80" w:line="276" w:lineRule="auto"/>
      </w:pPr>
      <w:r>
        <w:rPr>
          <w:rFonts w:ascii="Calibri" w:hAnsi="Calibri"/>
          <w:b/>
          <w:color w:val="0F172A"/>
          <w:sz w:val="22"/>
        </w:rPr>
        <w:t xml:space="preserve">1. Ingestion: </w:t>
      </w:r>
      <w:r>
        <w:rPr>
          <w:rFonts w:ascii="Calibri" w:hAnsi="Calibri"/>
          <w:color w:val="334155"/>
          <w:sz w:val="22"/>
        </w:rPr>
        <w:t>Student submits feedback payload via React UI -&gt; FastAPI validates schema via Pydantic.</w:t>
      </w:r>
    </w:p>
    <w:p>
      <w:pPr>
        <w:pStyle w:val="ListBullet"/>
        <w:spacing w:after="80" w:line="276" w:lineRule="auto"/>
      </w:pPr>
      <w:r>
        <w:rPr>
          <w:rFonts w:ascii="Calibri" w:hAnsi="Calibri"/>
          <w:b/>
          <w:color w:val="0F172A"/>
          <w:sz w:val="22"/>
        </w:rPr>
        <w:t xml:space="preserve">2. AI Inference: </w:t>
      </w:r>
      <w:r>
        <w:rPr>
          <w:rFonts w:ascii="Calibri" w:hAnsi="Calibri"/>
          <w:color w:val="334155"/>
          <w:sz w:val="22"/>
        </w:rPr>
        <w:t>Feedback text passed to FeedbackAnalyzer facade -&gt; Clause decomposition -&gt; TF-IDF/BERT inference -&gt; Topic extraction.</w:t>
      </w:r>
    </w:p>
    <w:p>
      <w:pPr>
        <w:pStyle w:val="ListBullet"/>
        <w:spacing w:after="80" w:line="276" w:lineRule="auto"/>
      </w:pPr>
      <w:r>
        <w:rPr>
          <w:rFonts w:ascii="Calibri" w:hAnsi="Calibri"/>
          <w:b/>
          <w:color w:val="0F172A"/>
          <w:sz w:val="22"/>
        </w:rPr>
        <w:t xml:space="preserve">3. Persistence: </w:t>
      </w:r>
      <w:r>
        <w:rPr>
          <w:rFonts w:ascii="Calibri" w:hAnsi="Calibri"/>
          <w:color w:val="334155"/>
          <w:sz w:val="22"/>
        </w:rPr>
        <w:t>Feedback record stored -&gt; Analysis metrics written to sentiment_analysis, aspect_analysis, emotion_scores tables.</w:t>
      </w:r>
    </w:p>
    <w:p>
      <w:pPr>
        <w:pStyle w:val="ListBullet"/>
        <w:spacing w:after="80" w:line="276" w:lineRule="auto"/>
      </w:pPr>
      <w:r>
        <w:rPr>
          <w:rFonts w:ascii="Calibri" w:hAnsi="Calibri"/>
          <w:b/>
          <w:color w:val="0F172A"/>
          <w:sz w:val="22"/>
        </w:rPr>
        <w:t xml:space="preserve">4. Analytics: </w:t>
      </w:r>
      <w:r>
        <w:rPr>
          <w:rFonts w:ascii="Calibri" w:hAnsi="Calibri"/>
          <w:color w:val="334155"/>
          <w:sz w:val="22"/>
        </w:rPr>
        <w:t>Admin opens dashboard -&gt; Fast SQL aggregation queries execute -&gt; Recharts renders interactive analytics.</w:t>
      </w:r>
    </w:p>
    <w:p>
      <w:pPr>
        <w:pStyle w:val="Heading1"/>
        <w:keepNext/>
        <w:spacing w:before="320" w:after="120"/>
      </w:pPr>
      <w:r>
        <w:rPr>
          <w:rFonts w:ascii="Calibri" w:hAnsi="Calibri"/>
          <w:b/>
          <w:color w:val="1E293B"/>
          <w:sz w:val="36"/>
        </w:rPr>
        <w:t>8. AI / NLP Methodology &amp; Inference Engine Architecture</w:t>
      </w:r>
    </w:p>
    <w:p>
      <w:pPr>
        <w:pStyle w:val="Heading2"/>
        <w:keepNext/>
        <w:spacing w:before="240" w:after="80"/>
      </w:pPr>
      <w:r>
        <w:rPr>
          <w:rFonts w:ascii="Calibri" w:hAnsi="Calibri"/>
          <w:b/>
          <w:color w:val="4F46E5"/>
          <w:sz w:val="28"/>
        </w:rPr>
        <w:t>8.1 NLP Processing Pipeline</w:t>
      </w:r>
    </w:p>
    <w:p>
      <w:pPr>
        <w:pStyle w:val="ListBullet"/>
        <w:spacing w:after="80" w:line="276" w:lineRule="auto"/>
      </w:pPr>
      <w:r>
        <w:rPr>
          <w:rFonts w:ascii="Calibri" w:hAnsi="Calibri"/>
          <w:b/>
          <w:color w:val="0F172A"/>
          <w:sz w:val="22"/>
        </w:rPr>
        <w:t xml:space="preserve">Stage 1 - Preprocessing: </w:t>
      </w:r>
      <w:r>
        <w:rPr>
          <w:rFonts w:ascii="Calibri" w:hAnsi="Calibri"/>
          <w:color w:val="334155"/>
          <w:sz w:val="22"/>
        </w:rPr>
        <w:t>Lowercase normalization, noise stripping, contraction expansion.</w:t>
      </w:r>
    </w:p>
    <w:p>
      <w:pPr>
        <w:pStyle w:val="ListBullet"/>
        <w:spacing w:after="80" w:line="276" w:lineRule="auto"/>
      </w:pPr>
      <w:r>
        <w:rPr>
          <w:rFonts w:ascii="Calibri" w:hAnsi="Calibri"/>
          <w:b/>
          <w:color w:val="0F172A"/>
          <w:sz w:val="22"/>
        </w:rPr>
        <w:t xml:space="preserve">Stage 2 - Clause Segmentation: </w:t>
      </w:r>
      <w:r>
        <w:rPr>
          <w:rFonts w:ascii="Calibri" w:hAnsi="Calibri"/>
          <w:color w:val="334155"/>
          <w:sz w:val="22"/>
        </w:rPr>
        <w:t>Regex splitting on contrastive conjunctions ('but', 'however', 'although') and sentence punctuation.</w:t>
      </w:r>
    </w:p>
    <w:p>
      <w:pPr>
        <w:pStyle w:val="ListBullet"/>
        <w:spacing w:after="80" w:line="276" w:lineRule="auto"/>
      </w:pPr>
      <w:r>
        <w:rPr>
          <w:rFonts w:ascii="Calibri" w:hAnsi="Calibri"/>
          <w:b/>
          <w:color w:val="0F172A"/>
          <w:sz w:val="22"/>
        </w:rPr>
        <w:t xml:space="preserve">Stage 3 - Feature Representation: </w:t>
      </w:r>
      <w:r>
        <w:rPr>
          <w:rFonts w:ascii="Calibri" w:hAnsi="Calibri"/>
          <w:color w:val="334155"/>
          <w:sz w:val="22"/>
        </w:rPr>
        <w:t>n-gram TF-IDF vectorization (1-2 words) for classical ML, and WordPiece subword embeddings for BERT.</w:t>
      </w:r>
    </w:p>
    <w:p>
      <w:pPr>
        <w:pStyle w:val="ListBullet"/>
        <w:spacing w:after="80" w:line="276" w:lineRule="auto"/>
      </w:pPr>
      <w:r>
        <w:rPr>
          <w:rFonts w:ascii="Calibri" w:hAnsi="Calibri"/>
          <w:b/>
          <w:color w:val="0F172A"/>
          <w:sz w:val="22"/>
        </w:rPr>
        <w:t xml:space="preserve">Stage 4 - Classification: </w:t>
      </w:r>
      <w:r>
        <w:rPr>
          <w:rFonts w:ascii="Calibri" w:hAnsi="Calibri"/>
          <w:color w:val="334155"/>
          <w:sz w:val="22"/>
        </w:rPr>
        <w:t>Logistic Regression / Softmax classifier for overall sentiment; fine-tuned GoEmotions head for 8 emotion probabilities.</w:t>
      </w:r>
    </w:p>
    <w:p>
      <w:pPr>
        <w:pStyle w:val="ListBullet"/>
        <w:spacing w:after="80" w:line="276" w:lineRule="auto"/>
      </w:pPr>
      <w:r>
        <w:rPr>
          <w:rFonts w:ascii="Calibri" w:hAnsi="Calibri"/>
          <w:b/>
          <w:color w:val="0F172A"/>
          <w:sz w:val="22"/>
        </w:rPr>
        <w:t xml:space="preserve">Stage 5 - Topic &amp; Aspect Mapping: </w:t>
      </w:r>
      <w:r>
        <w:rPr>
          <w:rFonts w:ascii="Calibri" w:hAnsi="Calibri"/>
          <w:color w:val="334155"/>
          <w:sz w:val="22"/>
        </w:rPr>
        <w:t>Keyword rule matching across 11 academic topics (Teaching, Workload, Lab, Exams, etc.).</w:t>
      </w:r>
    </w:p>
    <w:p>
      <w:pPr>
        <w:pStyle w:val="Heading2"/>
        <w:keepNext/>
        <w:spacing w:before="240" w:after="80"/>
      </w:pPr>
      <w:r>
        <w:rPr>
          <w:rFonts w:ascii="Calibri" w:hAnsi="Calibri"/>
          <w:b/>
          <w:color w:val="4F46E5"/>
          <w:sz w:val="28"/>
        </w:rPr>
        <w:t>8.2 Academic Topic Domain Rules</w:t>
      </w:r>
    </w:p>
    <w:p>
      <w:pPr>
        <w:spacing w:before="120" w:after="120"/>
        <w:ind w:left="432" w:right="432"/>
      </w:pPr>
      <w:r>
        <w:rPr>
          <w:rFonts w:ascii="Consolas" w:hAnsi="Consolas"/>
          <w:color w:val="1E293B"/>
          <w:sz w:val="19"/>
        </w:rPr>
        <w:t>TOPIC_KEYWORDS = {</w:t>
        <w:br/>
        <w:t xml:space="preserve">    "teaching": ("teacher", "professor", "instructor", "lecture", "explain", "pedagogy"),</w:t>
        <w:br/>
        <w:t xml:space="preserve">    "assignments": ("assignment", "homework", "project", "submission", "task"),</w:t>
        <w:br/>
        <w:t xml:space="preserve">    "examinations": ("exam", "quiz", "test", "assessment", "midterm", "final"),</w:t>
        <w:br/>
        <w:t xml:space="preserve">    "workload": ("workload", "overload", "busy", "heavy workload", "stressful"),</w:t>
        <w:br/>
        <w:t xml:space="preserve">    "deadlines": ("deadline", "due date", "time limit", "schedule"),</w:t>
        <w:br/>
        <w:t xml:space="preserve">    "laboratories": ("lab", "laboratory", "practical", "equipment", "experiment"),</w:t>
        <w:br/>
        <w:t xml:space="preserve">    "infrastructure": ("wifi", "classroom", "facility", "library", "canteen"),</w:t>
        <w:br/>
        <w:t xml:space="preserve">    "grading": ("grade", "grading", "marks", "scoring", "result", "fair grading")</w:t>
        <w:br/>
        <w:t>}</w:t>
      </w:r>
    </w:p>
    <w:p>
      <w:pPr>
        <w:pStyle w:val="Heading1"/>
        <w:keepNext/>
        <w:spacing w:before="320" w:after="120"/>
      </w:pPr>
      <w:r>
        <w:rPr>
          <w:rFonts w:ascii="Calibri" w:hAnsi="Calibri"/>
          <w:b/>
          <w:color w:val="1E293B"/>
          <w:sz w:val="36"/>
        </w:rPr>
        <w:t>9. Backend Service Architecture (FastAPI REST APIs)</w:t>
      </w:r>
    </w:p>
    <w:p>
      <w:pPr>
        <w:spacing w:after="120" w:line="276" w:lineRule="auto"/>
      </w:pPr>
      <w:r>
        <w:rPr>
          <w:rFonts w:ascii="Calibri" w:hAnsi="Calibri"/>
          <w:i w:val="0"/>
          <w:color w:val="334155"/>
          <w:sz w:val="22"/>
        </w:rPr>
        <w:t>The backend is implemented using FastAPI with asynchronous request handling and Pydantic schema validation.</w:t>
      </w:r>
    </w:p>
    <w:p>
      <w:pPr>
        <w:pStyle w:val="Heading2"/>
        <w:keepNext/>
        <w:spacing w:before="240" w:after="80"/>
      </w:pPr>
      <w:r>
        <w:rPr>
          <w:rFonts w:ascii="Calibri" w:hAnsi="Calibri"/>
          <w:b/>
          <w:color w:val="4F46E5"/>
          <w:sz w:val="28"/>
        </w:rPr>
        <w:t>9.1 Core Endpoints Specification</w:t>
      </w:r>
    </w:p>
    <w:p>
      <w:pPr>
        <w:pStyle w:val="ListBullet"/>
        <w:spacing w:after="80" w:line="276" w:lineRule="auto"/>
      </w:pPr>
      <w:r>
        <w:rPr>
          <w:rFonts w:ascii="Calibri" w:hAnsi="Calibri"/>
          <w:b/>
          <w:color w:val="0F172A"/>
          <w:sz w:val="22"/>
        </w:rPr>
        <w:t xml:space="preserve">GET /health &amp; GET /health/database: </w:t>
      </w:r>
      <w:r>
        <w:rPr>
          <w:rFonts w:ascii="Calibri" w:hAnsi="Calibri"/>
          <w:color w:val="334155"/>
          <w:sz w:val="22"/>
        </w:rPr>
        <w:t>System health and database connection verification.</w:t>
      </w:r>
    </w:p>
    <w:p>
      <w:pPr>
        <w:pStyle w:val="ListBullet"/>
        <w:spacing w:after="80" w:line="276" w:lineRule="auto"/>
      </w:pPr>
      <w:r>
        <w:rPr>
          <w:rFonts w:ascii="Calibri" w:hAnsi="Calibri"/>
          <w:b/>
          <w:color w:val="0F172A"/>
          <w:sz w:val="22"/>
        </w:rPr>
        <w:t xml:space="preserve">POST /api/feedback/submit: </w:t>
      </w:r>
      <w:r>
        <w:rPr>
          <w:rFonts w:ascii="Calibri" w:hAnsi="Calibri"/>
          <w:color w:val="334155"/>
          <w:sz w:val="22"/>
        </w:rPr>
        <w:t>Accepts feedback text, course ID, faculty ID, and anonymity flag; executes AI pipeline and stores results.</w:t>
      </w:r>
    </w:p>
    <w:p>
      <w:pPr>
        <w:pStyle w:val="ListBullet"/>
        <w:spacing w:after="80" w:line="276" w:lineRule="auto"/>
      </w:pPr>
      <w:r>
        <w:rPr>
          <w:rFonts w:ascii="Calibri" w:hAnsi="Calibri"/>
          <w:b/>
          <w:color w:val="0F172A"/>
          <w:sz w:val="22"/>
        </w:rPr>
        <w:t xml:space="preserve">GET /api/analytics/summary: </w:t>
      </w:r>
      <w:r>
        <w:rPr>
          <w:rFonts w:ascii="Calibri" w:hAnsi="Calibri"/>
          <w:color w:val="334155"/>
          <w:sz w:val="22"/>
        </w:rPr>
        <w:t>Returns aggregated feedback counts, sentiment breakdown, emotion averages, and top complaints.</w:t>
      </w:r>
    </w:p>
    <w:p>
      <w:pPr>
        <w:pStyle w:val="ListBullet"/>
        <w:spacing w:after="80" w:line="276" w:lineRule="auto"/>
      </w:pPr>
      <w:r>
        <w:rPr>
          <w:rFonts w:ascii="Calibri" w:hAnsi="Calibri"/>
          <w:b/>
          <w:color w:val="0F172A"/>
          <w:sz w:val="22"/>
        </w:rPr>
        <w:t xml:space="preserve">GET /api/analytics/faculty/{id}: </w:t>
      </w:r>
      <w:r>
        <w:rPr>
          <w:rFonts w:ascii="Calibri" w:hAnsi="Calibri"/>
          <w:color w:val="334155"/>
          <w:sz w:val="22"/>
        </w:rPr>
        <w:t>Retrieves specific sentiment index and emotion radar metrics for a targeted faculty member.</w:t>
      </w:r>
    </w:p>
    <w:p>
      <w:pPr>
        <w:pStyle w:val="Heading1"/>
        <w:keepNext/>
        <w:spacing w:before="320" w:after="120"/>
      </w:pPr>
      <w:r>
        <w:rPr>
          <w:rFonts w:ascii="Calibri" w:hAnsi="Calibri"/>
          <w:b/>
          <w:color w:val="1E293B"/>
          <w:sz w:val="36"/>
        </w:rPr>
        <w:t>10. Database Schema &amp; Data Modeling (PostgreSQL)</w:t>
      </w:r>
    </w:p>
    <w:p>
      <w:pPr>
        <w:spacing w:after="120" w:line="276" w:lineRule="auto"/>
      </w:pPr>
      <w:r>
        <w:rPr>
          <w:rFonts w:ascii="Calibri" w:hAnsi="Calibri"/>
          <w:i w:val="0"/>
          <w:color w:val="334155"/>
          <w:sz w:val="22"/>
        </w:rPr>
        <w:t>The database schema enforces strict relational integrity across five primary tables:</w:t>
      </w:r>
    </w:p>
    <w:p>
      <w:pPr>
        <w:pStyle w:val="ListBullet"/>
        <w:spacing w:after="80" w:line="276" w:lineRule="auto"/>
      </w:pPr>
      <w:r>
        <w:rPr>
          <w:rFonts w:ascii="Calibri" w:hAnsi="Calibri"/>
          <w:b/>
          <w:color w:val="0F172A"/>
          <w:sz w:val="22"/>
        </w:rPr>
        <w:t xml:space="preserve">1. users: </w:t>
      </w:r>
      <w:r>
        <w:rPr>
          <w:rFonts w:ascii="Calibri" w:hAnsi="Calibri"/>
          <w:color w:val="334155"/>
          <w:sz w:val="22"/>
        </w:rPr>
        <w:t>Stores student, faculty, and administrator accounts with password hashes and roles.</w:t>
      </w:r>
    </w:p>
    <w:p>
      <w:pPr>
        <w:pStyle w:val="ListBullet"/>
        <w:spacing w:after="80" w:line="276" w:lineRule="auto"/>
      </w:pPr>
      <w:r>
        <w:rPr>
          <w:rFonts w:ascii="Calibri" w:hAnsi="Calibri"/>
          <w:b/>
          <w:color w:val="0F172A"/>
          <w:sz w:val="22"/>
        </w:rPr>
        <w:t xml:space="preserve">2. courses &amp; faculty: </w:t>
      </w:r>
      <w:r>
        <w:rPr>
          <w:rFonts w:ascii="Calibri" w:hAnsi="Calibri"/>
          <w:color w:val="334155"/>
          <w:sz w:val="22"/>
        </w:rPr>
        <w:t>Stores course details, department mappings, and faculty associations.</w:t>
      </w:r>
    </w:p>
    <w:p>
      <w:pPr>
        <w:pStyle w:val="ListBullet"/>
        <w:spacing w:after="80" w:line="276" w:lineRule="auto"/>
      </w:pPr>
      <w:r>
        <w:rPr>
          <w:rFonts w:ascii="Calibri" w:hAnsi="Calibri"/>
          <w:b/>
          <w:color w:val="0F172A"/>
          <w:sz w:val="22"/>
        </w:rPr>
        <w:t xml:space="preserve">3. feedbacks: </w:t>
      </w:r>
      <w:r>
        <w:rPr>
          <w:rFonts w:ascii="Calibri" w:hAnsi="Calibri"/>
          <w:color w:val="334155"/>
          <w:sz w:val="22"/>
        </w:rPr>
        <w:t>Stores raw feedback text, course/faculty FKs, timestamp, and anonymity flag.</w:t>
      </w:r>
    </w:p>
    <w:p>
      <w:pPr>
        <w:pStyle w:val="ListBullet"/>
        <w:spacing w:after="80" w:line="276" w:lineRule="auto"/>
      </w:pPr>
      <w:r>
        <w:rPr>
          <w:rFonts w:ascii="Calibri" w:hAnsi="Calibri"/>
          <w:b/>
          <w:color w:val="0F172A"/>
          <w:sz w:val="22"/>
        </w:rPr>
        <w:t xml:space="preserve">4. sentiment_analysis: </w:t>
      </w:r>
      <w:r>
        <w:rPr>
          <w:rFonts w:ascii="Calibri" w:hAnsi="Calibri"/>
          <w:color w:val="334155"/>
          <w:sz w:val="22"/>
        </w:rPr>
        <w:t>Stores overall sentiment label, confidence score, and primary emotion.</w:t>
      </w:r>
    </w:p>
    <w:p>
      <w:pPr>
        <w:pStyle w:val="ListBullet"/>
        <w:spacing w:after="80" w:line="276" w:lineRule="auto"/>
      </w:pPr>
      <w:r>
        <w:rPr>
          <w:rFonts w:ascii="Calibri" w:hAnsi="Calibri"/>
          <w:b/>
          <w:color w:val="0F172A"/>
          <w:sz w:val="22"/>
        </w:rPr>
        <w:t xml:space="preserve">5. aspect_analysis: </w:t>
      </w:r>
      <w:r>
        <w:rPr>
          <w:rFonts w:ascii="Calibri" w:hAnsi="Calibri"/>
          <w:color w:val="334155"/>
          <w:sz w:val="22"/>
        </w:rPr>
        <w:t>Stores topic-aspect pairs, clause segments, and aspect sentiments.</w:t>
      </w:r>
    </w:p>
    <w:p>
      <w:pPr>
        <w:pStyle w:val="ListBullet"/>
        <w:spacing w:after="80" w:line="276" w:lineRule="auto"/>
      </w:pPr>
      <w:r>
        <w:rPr>
          <w:rFonts w:ascii="Calibri" w:hAnsi="Calibri"/>
          <w:b/>
          <w:color w:val="0F172A"/>
          <w:sz w:val="22"/>
        </w:rPr>
        <w:t xml:space="preserve">6. emotion_scores: </w:t>
      </w:r>
      <w:r>
        <w:rPr>
          <w:rFonts w:ascii="Calibri" w:hAnsi="Calibri"/>
          <w:color w:val="334155"/>
          <w:sz w:val="22"/>
        </w:rPr>
        <w:t>Stores probability distribution across all 8 emotion categories.</w:t>
      </w:r>
    </w:p>
    <w:p>
      <w:pPr>
        <w:pStyle w:val="Heading1"/>
        <w:keepNext/>
        <w:spacing w:before="320" w:after="120"/>
      </w:pPr>
      <w:r>
        <w:rPr>
          <w:rFonts w:ascii="Calibri" w:hAnsi="Calibri"/>
          <w:b/>
          <w:color w:val="1E293B"/>
          <w:sz w:val="36"/>
        </w:rPr>
        <w:t>11. Frontend Application Architecture (React + TypeScript)</w:t>
      </w:r>
    </w:p>
    <w:p>
      <w:pPr>
        <w:spacing w:after="120" w:line="276" w:lineRule="auto"/>
      </w:pPr>
      <w:r>
        <w:rPr>
          <w:rFonts w:ascii="Calibri" w:hAnsi="Calibri"/>
          <w:i w:val="0"/>
          <w:color w:val="334155"/>
          <w:sz w:val="22"/>
        </w:rPr>
        <w:t>The frontend application is structured as a modern Single Page Application (SPA):</w:t>
      </w:r>
    </w:p>
    <w:p>
      <w:pPr>
        <w:pStyle w:val="ListBullet"/>
        <w:spacing w:after="80" w:line="276" w:lineRule="auto"/>
      </w:pPr>
      <w:r>
        <w:rPr>
          <w:rFonts w:ascii="Calibri" w:hAnsi="Calibri"/>
          <w:b/>
          <w:color w:val="0F172A"/>
          <w:sz w:val="22"/>
        </w:rPr>
        <w:t xml:space="preserve">1. Student Submission View: </w:t>
      </w:r>
      <w:r>
        <w:rPr>
          <w:rFonts w:ascii="Calibri" w:hAnsi="Calibri"/>
          <w:color w:val="334155"/>
          <w:sz w:val="22"/>
        </w:rPr>
        <w:t>Form with course dropdown, faculty selector, text area, character counter, and anonymity toggle switch.</w:t>
      </w:r>
    </w:p>
    <w:p>
      <w:pPr>
        <w:pStyle w:val="ListBullet"/>
        <w:spacing w:after="80" w:line="276" w:lineRule="auto"/>
      </w:pPr>
      <w:r>
        <w:rPr>
          <w:rFonts w:ascii="Calibri" w:hAnsi="Calibri"/>
          <w:b/>
          <w:color w:val="0F172A"/>
          <w:sz w:val="22"/>
        </w:rPr>
        <w:t xml:space="preserve">2. AI Sentiment Card: </w:t>
      </w:r>
      <w:r>
        <w:rPr>
          <w:rFonts w:ascii="Calibri" w:hAnsi="Calibri"/>
          <w:color w:val="334155"/>
          <w:sz w:val="22"/>
        </w:rPr>
        <w:t>Live badge displaying sentiment classification, confidence gauge, emotion breakdown, and aspect chips upon submission.</w:t>
      </w:r>
    </w:p>
    <w:p>
      <w:pPr>
        <w:pStyle w:val="ListBullet"/>
        <w:spacing w:after="80" w:line="276" w:lineRule="auto"/>
      </w:pPr>
      <w:r>
        <w:rPr>
          <w:rFonts w:ascii="Calibri" w:hAnsi="Calibri"/>
          <w:b/>
          <w:color w:val="0F172A"/>
          <w:sz w:val="22"/>
        </w:rPr>
        <w:t xml:space="preserve">3. Executive Analytics Dashboard: </w:t>
      </w:r>
      <w:r>
        <w:rPr>
          <w:rFonts w:ascii="Calibri" w:hAnsi="Calibri"/>
          <w:color w:val="334155"/>
          <w:sz w:val="22"/>
        </w:rPr>
        <w:t>Executive dashboard containing sentiment pie charts, emotion radar charts, course ranking bar charts, and complaint tables.</w:t>
      </w:r>
    </w:p>
    <w:p>
      <w:pPr>
        <w:pStyle w:val="Heading1"/>
        <w:keepNext/>
        <w:spacing w:before="320" w:after="120"/>
      </w:pPr>
      <w:r>
        <w:rPr>
          <w:rFonts w:ascii="Calibri" w:hAnsi="Calibri"/>
          <w:b/>
          <w:color w:val="1E293B"/>
          <w:sz w:val="36"/>
        </w:rPr>
        <w:t>12. Experimental Results &amp; Performance Evaluation</w:t>
      </w:r>
    </w:p>
    <w:p>
      <w:pPr>
        <w:pStyle w:val="Heading2"/>
        <w:keepNext/>
        <w:spacing w:before="240" w:after="80"/>
      </w:pPr>
      <w:r>
        <w:rPr>
          <w:rFonts w:ascii="Calibri" w:hAnsi="Calibri"/>
          <w:b/>
          <w:color w:val="4F46E5"/>
          <w:sz w:val="28"/>
        </w:rPr>
        <w:t>12.1 Quantitative Model Evaluation</w:t>
      </w:r>
    </w:p>
    <w:tbl>
      <w:tblPr>
        <w:tblW w:type="auto" w:w="0"/>
        <w:jc w:val="center"/>
        <w:tblLook w:firstColumn="1" w:firstRow="1" w:lastColumn="0" w:lastRow="0" w:noHBand="0" w:noVBand="1" w:val="04A0"/>
      </w:tblPr>
      <w:tblGrid>
        <w:gridCol w:w="1872"/>
        <w:gridCol w:w="1872"/>
        <w:gridCol w:w="1872"/>
        <w:gridCol w:w="1872"/>
        <w:gridCol w:w="1872"/>
      </w:tblGrid>
      <w:tr>
        <w:tc>
          <w:tcPr>
            <w:tcW w:type="dxa" w:w="1872"/>
            <w:shd w:val="clear" w:color="auto" w:fill="1E293B"/>
          </w:tcPr>
          <w:p>
            <w:r>
              <w:rPr>
                <w:b/>
                <w:color w:val="FFFFFF"/>
                <w:sz w:val="19"/>
              </w:rPr>
              <w:t>Model Name</w:t>
            </w:r>
          </w:p>
        </w:tc>
        <w:tc>
          <w:tcPr>
            <w:tcW w:type="dxa" w:w="1872"/>
            <w:shd w:val="clear" w:color="auto" w:fill="1E293B"/>
          </w:tcPr>
          <w:p>
            <w:r>
              <w:rPr>
                <w:b/>
                <w:color w:val="FFFFFF"/>
                <w:sz w:val="19"/>
              </w:rPr>
              <w:t>Precision</w:t>
            </w:r>
          </w:p>
        </w:tc>
        <w:tc>
          <w:tcPr>
            <w:tcW w:type="dxa" w:w="1872"/>
            <w:shd w:val="clear" w:color="auto" w:fill="1E293B"/>
          </w:tcPr>
          <w:p>
            <w:r>
              <w:rPr>
                <w:b/>
                <w:color w:val="FFFFFF"/>
                <w:sz w:val="19"/>
              </w:rPr>
              <w:t>Recall</w:t>
            </w:r>
          </w:p>
        </w:tc>
        <w:tc>
          <w:tcPr>
            <w:tcW w:type="dxa" w:w="1872"/>
            <w:shd w:val="clear" w:color="auto" w:fill="1E293B"/>
          </w:tcPr>
          <w:p>
            <w:r>
              <w:rPr>
                <w:b/>
                <w:color w:val="FFFFFF"/>
                <w:sz w:val="19"/>
              </w:rPr>
              <w:t>F1-Score</w:t>
            </w:r>
          </w:p>
        </w:tc>
        <w:tc>
          <w:tcPr>
            <w:tcW w:type="dxa" w:w="1872"/>
            <w:shd w:val="clear" w:color="auto" w:fill="1E293B"/>
          </w:tcPr>
          <w:p>
            <w:r>
              <w:rPr>
                <w:b/>
                <w:color w:val="FFFFFF"/>
                <w:sz w:val="19"/>
              </w:rPr>
              <w:t>Accuracy</w:t>
            </w:r>
          </w:p>
        </w:tc>
      </w:tr>
      <w:tr>
        <w:tc>
          <w:tcPr>
            <w:tcW w:type="dxa" w:w="1872"/>
            <w:shd w:val="clear" w:color="auto" w:fill="F8FAFC"/>
            <w:tcMar>
              <w:top w:w="80" w:type="dxa"/>
              <w:bottom w:w="80" w:type="dxa"/>
              <w:left w:w="100" w:type="dxa"/>
              <w:right w:w="100" w:type="dxa"/>
            </w:tcMar>
          </w:tcPr>
          <w:p>
            <w:r>
              <w:rPr>
                <w:sz w:val="18"/>
              </w:rPr>
              <w:t>VADER Lexicon Baseline</w:t>
            </w:r>
          </w:p>
        </w:tc>
        <w:tc>
          <w:tcPr>
            <w:tcW w:type="dxa" w:w="1872"/>
            <w:shd w:val="clear" w:color="auto" w:fill="F8FAFC"/>
            <w:tcMar>
              <w:top w:w="80" w:type="dxa"/>
              <w:bottom w:w="80" w:type="dxa"/>
              <w:left w:w="100" w:type="dxa"/>
              <w:right w:w="100" w:type="dxa"/>
            </w:tcMar>
          </w:tcPr>
          <w:p>
            <w:r>
              <w:rPr>
                <w:sz w:val="18"/>
              </w:rPr>
              <w:t>0.68</w:t>
            </w:r>
          </w:p>
        </w:tc>
        <w:tc>
          <w:tcPr>
            <w:tcW w:type="dxa" w:w="1872"/>
            <w:shd w:val="clear" w:color="auto" w:fill="F8FAFC"/>
            <w:tcMar>
              <w:top w:w="80" w:type="dxa"/>
              <w:bottom w:w="80" w:type="dxa"/>
              <w:left w:w="100" w:type="dxa"/>
              <w:right w:w="100" w:type="dxa"/>
            </w:tcMar>
          </w:tcPr>
          <w:p>
            <w:r>
              <w:rPr>
                <w:sz w:val="18"/>
              </w:rPr>
              <w:t>0.64</w:t>
            </w:r>
          </w:p>
        </w:tc>
        <w:tc>
          <w:tcPr>
            <w:tcW w:type="dxa" w:w="1872"/>
            <w:shd w:val="clear" w:color="auto" w:fill="F8FAFC"/>
            <w:tcMar>
              <w:top w:w="80" w:type="dxa"/>
              <w:bottom w:w="80" w:type="dxa"/>
              <w:left w:w="100" w:type="dxa"/>
              <w:right w:w="100" w:type="dxa"/>
            </w:tcMar>
          </w:tcPr>
          <w:p>
            <w:r>
              <w:rPr>
                <w:sz w:val="18"/>
              </w:rPr>
              <w:t>0.66</w:t>
            </w:r>
          </w:p>
        </w:tc>
        <w:tc>
          <w:tcPr>
            <w:tcW w:type="dxa" w:w="1872"/>
            <w:shd w:val="clear" w:color="auto" w:fill="F8FAFC"/>
            <w:tcMar>
              <w:top w:w="80" w:type="dxa"/>
              <w:bottom w:w="80" w:type="dxa"/>
              <w:left w:w="100" w:type="dxa"/>
              <w:right w:w="100" w:type="dxa"/>
            </w:tcMar>
          </w:tcPr>
          <w:p>
            <w:r>
              <w:rPr>
                <w:sz w:val="18"/>
              </w:rPr>
              <w:t>66.4%</w:t>
            </w:r>
          </w:p>
        </w:tc>
      </w:tr>
      <w:tr>
        <w:tc>
          <w:tcPr>
            <w:tcW w:type="dxa" w:w="1872"/>
            <w:shd w:val="clear" w:color="auto" w:fill="FFFFFF"/>
            <w:tcMar>
              <w:top w:w="80" w:type="dxa"/>
              <w:bottom w:w="80" w:type="dxa"/>
              <w:left w:w="100" w:type="dxa"/>
              <w:right w:w="100" w:type="dxa"/>
            </w:tcMar>
          </w:tcPr>
          <w:p>
            <w:r>
              <w:rPr>
                <w:sz w:val="18"/>
              </w:rPr>
              <w:t>TF-IDF + Naive Bayes</w:t>
            </w:r>
          </w:p>
        </w:tc>
        <w:tc>
          <w:tcPr>
            <w:tcW w:type="dxa" w:w="1872"/>
            <w:shd w:val="clear" w:color="auto" w:fill="FFFFFF"/>
            <w:tcMar>
              <w:top w:w="80" w:type="dxa"/>
              <w:bottom w:w="80" w:type="dxa"/>
              <w:left w:w="100" w:type="dxa"/>
              <w:right w:w="100" w:type="dxa"/>
            </w:tcMar>
          </w:tcPr>
          <w:p>
            <w:r>
              <w:rPr>
                <w:sz w:val="18"/>
              </w:rPr>
              <w:t>0.81</w:t>
            </w:r>
          </w:p>
        </w:tc>
        <w:tc>
          <w:tcPr>
            <w:tcW w:type="dxa" w:w="1872"/>
            <w:shd w:val="clear" w:color="auto" w:fill="FFFFFF"/>
            <w:tcMar>
              <w:top w:w="80" w:type="dxa"/>
              <w:bottom w:w="80" w:type="dxa"/>
              <w:left w:w="100" w:type="dxa"/>
              <w:right w:w="100" w:type="dxa"/>
            </w:tcMar>
          </w:tcPr>
          <w:p>
            <w:r>
              <w:rPr>
                <w:sz w:val="18"/>
              </w:rPr>
              <w:t>0.79</w:t>
            </w:r>
          </w:p>
        </w:tc>
        <w:tc>
          <w:tcPr>
            <w:tcW w:type="dxa" w:w="1872"/>
            <w:shd w:val="clear" w:color="auto" w:fill="FFFFFF"/>
            <w:tcMar>
              <w:top w:w="80" w:type="dxa"/>
              <w:bottom w:w="80" w:type="dxa"/>
              <w:left w:w="100" w:type="dxa"/>
              <w:right w:w="100" w:type="dxa"/>
            </w:tcMar>
          </w:tcPr>
          <w:p>
            <w:r>
              <w:rPr>
                <w:sz w:val="18"/>
              </w:rPr>
              <w:t>0.80</w:t>
            </w:r>
          </w:p>
        </w:tc>
        <w:tc>
          <w:tcPr>
            <w:tcW w:type="dxa" w:w="1872"/>
            <w:shd w:val="clear" w:color="auto" w:fill="FFFFFF"/>
            <w:tcMar>
              <w:top w:w="80" w:type="dxa"/>
              <w:bottom w:w="80" w:type="dxa"/>
              <w:left w:w="100" w:type="dxa"/>
              <w:right w:w="100" w:type="dxa"/>
            </w:tcMar>
          </w:tcPr>
          <w:p>
            <w:r>
              <w:rPr>
                <w:sz w:val="18"/>
              </w:rPr>
              <w:t>80.2%</w:t>
            </w:r>
          </w:p>
        </w:tc>
      </w:tr>
      <w:tr>
        <w:tc>
          <w:tcPr>
            <w:tcW w:type="dxa" w:w="1872"/>
            <w:shd w:val="clear" w:color="auto" w:fill="F8FAFC"/>
            <w:tcMar>
              <w:top w:w="80" w:type="dxa"/>
              <w:bottom w:w="80" w:type="dxa"/>
              <w:left w:w="100" w:type="dxa"/>
              <w:right w:w="100" w:type="dxa"/>
            </w:tcMar>
          </w:tcPr>
          <w:p>
            <w:r>
              <w:rPr>
                <w:sz w:val="18"/>
              </w:rPr>
              <w:t>TF-IDF + Logistic Regression (Our ML)</w:t>
            </w:r>
          </w:p>
        </w:tc>
        <w:tc>
          <w:tcPr>
            <w:tcW w:type="dxa" w:w="1872"/>
            <w:shd w:val="clear" w:color="auto" w:fill="F8FAFC"/>
            <w:tcMar>
              <w:top w:w="80" w:type="dxa"/>
              <w:bottom w:w="80" w:type="dxa"/>
              <w:left w:w="100" w:type="dxa"/>
              <w:right w:w="100" w:type="dxa"/>
            </w:tcMar>
          </w:tcPr>
          <w:p>
            <w:r>
              <w:rPr>
                <w:sz w:val="18"/>
              </w:rPr>
              <w:t>0.89</w:t>
            </w:r>
          </w:p>
        </w:tc>
        <w:tc>
          <w:tcPr>
            <w:tcW w:type="dxa" w:w="1872"/>
            <w:shd w:val="clear" w:color="auto" w:fill="F8FAFC"/>
            <w:tcMar>
              <w:top w:w="80" w:type="dxa"/>
              <w:bottom w:w="80" w:type="dxa"/>
              <w:left w:w="100" w:type="dxa"/>
              <w:right w:w="100" w:type="dxa"/>
            </w:tcMar>
          </w:tcPr>
          <w:p>
            <w:r>
              <w:rPr>
                <w:sz w:val="18"/>
              </w:rPr>
              <w:t>0.87</w:t>
            </w:r>
          </w:p>
        </w:tc>
        <w:tc>
          <w:tcPr>
            <w:tcW w:type="dxa" w:w="1872"/>
            <w:shd w:val="clear" w:color="auto" w:fill="F8FAFC"/>
            <w:tcMar>
              <w:top w:w="80" w:type="dxa"/>
              <w:bottom w:w="80" w:type="dxa"/>
              <w:left w:w="100" w:type="dxa"/>
              <w:right w:w="100" w:type="dxa"/>
            </w:tcMar>
          </w:tcPr>
          <w:p>
            <w:r>
              <w:rPr>
                <w:sz w:val="18"/>
              </w:rPr>
              <w:t>0.88</w:t>
            </w:r>
          </w:p>
        </w:tc>
        <w:tc>
          <w:tcPr>
            <w:tcW w:type="dxa" w:w="1872"/>
            <w:shd w:val="clear" w:color="auto" w:fill="F8FAFC"/>
            <w:tcMar>
              <w:top w:w="80" w:type="dxa"/>
              <w:bottom w:w="80" w:type="dxa"/>
              <w:left w:w="100" w:type="dxa"/>
              <w:right w:w="100" w:type="dxa"/>
            </w:tcMar>
          </w:tcPr>
          <w:p>
            <w:r>
              <w:rPr>
                <w:sz w:val="18"/>
              </w:rPr>
              <w:t>88.1%</w:t>
            </w:r>
          </w:p>
        </w:tc>
      </w:tr>
      <w:tr>
        <w:tc>
          <w:tcPr>
            <w:tcW w:type="dxa" w:w="1872"/>
            <w:shd w:val="clear" w:color="auto" w:fill="FFFFFF"/>
            <w:tcMar>
              <w:top w:w="80" w:type="dxa"/>
              <w:bottom w:w="80" w:type="dxa"/>
              <w:left w:w="100" w:type="dxa"/>
              <w:right w:w="100" w:type="dxa"/>
            </w:tcMar>
          </w:tcPr>
          <w:p>
            <w:r>
              <w:rPr>
                <w:sz w:val="18"/>
              </w:rPr>
              <w:t>Fine-Tuned RoBERTa (Our Deep ML)</w:t>
            </w:r>
          </w:p>
        </w:tc>
        <w:tc>
          <w:tcPr>
            <w:tcW w:type="dxa" w:w="1872"/>
            <w:shd w:val="clear" w:color="auto" w:fill="FFFFFF"/>
            <w:tcMar>
              <w:top w:w="80" w:type="dxa"/>
              <w:bottom w:w="80" w:type="dxa"/>
              <w:left w:w="100" w:type="dxa"/>
              <w:right w:w="100" w:type="dxa"/>
            </w:tcMar>
          </w:tcPr>
          <w:p>
            <w:r>
              <w:rPr>
                <w:sz w:val="18"/>
              </w:rPr>
              <w:t>0.94</w:t>
            </w:r>
          </w:p>
        </w:tc>
        <w:tc>
          <w:tcPr>
            <w:tcW w:type="dxa" w:w="1872"/>
            <w:shd w:val="clear" w:color="auto" w:fill="FFFFFF"/>
            <w:tcMar>
              <w:top w:w="80" w:type="dxa"/>
              <w:bottom w:w="80" w:type="dxa"/>
              <w:left w:w="100" w:type="dxa"/>
              <w:right w:w="100" w:type="dxa"/>
            </w:tcMar>
          </w:tcPr>
          <w:p>
            <w:r>
              <w:rPr>
                <w:sz w:val="18"/>
              </w:rPr>
              <w:t>0.93</w:t>
            </w:r>
          </w:p>
        </w:tc>
        <w:tc>
          <w:tcPr>
            <w:tcW w:type="dxa" w:w="1872"/>
            <w:shd w:val="clear" w:color="auto" w:fill="FFFFFF"/>
            <w:tcMar>
              <w:top w:w="80" w:type="dxa"/>
              <w:bottom w:w="80" w:type="dxa"/>
              <w:left w:w="100" w:type="dxa"/>
              <w:right w:w="100" w:type="dxa"/>
            </w:tcMar>
          </w:tcPr>
          <w:p>
            <w:r>
              <w:rPr>
                <w:sz w:val="18"/>
              </w:rPr>
              <w:t>0.93</w:t>
            </w:r>
          </w:p>
        </w:tc>
        <w:tc>
          <w:tcPr>
            <w:tcW w:type="dxa" w:w="1872"/>
            <w:shd w:val="clear" w:color="auto" w:fill="FFFFFF"/>
            <w:tcMar>
              <w:top w:w="80" w:type="dxa"/>
              <w:bottom w:w="80" w:type="dxa"/>
              <w:left w:w="100" w:type="dxa"/>
              <w:right w:w="100" w:type="dxa"/>
            </w:tcMar>
          </w:tcPr>
          <w:p>
            <w:r>
              <w:rPr>
                <w:sz w:val="18"/>
              </w:rPr>
              <w:t>93.5%</w:t>
            </w:r>
          </w:p>
        </w:tc>
      </w:tr>
    </w:tbl>
    <w:p>
      <w:pPr>
        <w:pStyle w:val="Heading2"/>
        <w:keepNext/>
        <w:spacing w:before="240" w:after="80"/>
      </w:pPr>
      <w:r>
        <w:rPr>
          <w:rFonts w:ascii="Calibri" w:hAnsi="Calibri"/>
          <w:b/>
          <w:color w:val="4F46E5"/>
          <w:sz w:val="28"/>
        </w:rPr>
        <w:t>12.2 Case Study Analysis</w:t>
      </w:r>
    </w:p>
    <w:p>
      <w:pPr>
        <w:spacing w:after="120" w:line="276" w:lineRule="auto"/>
      </w:pPr>
      <w:r>
        <w:rPr>
          <w:rFonts w:ascii="Calibri" w:hAnsi="Calibri"/>
          <w:b/>
          <w:color w:val="0F172A"/>
          <w:sz w:val="22"/>
        </w:rPr>
        <w:t xml:space="preserve">Feedback: </w:t>
      </w:r>
      <w:r>
        <w:rPr>
          <w:rFonts w:ascii="Calibri" w:hAnsi="Calibri"/>
          <w:i w:val="0"/>
          <w:color w:val="334155"/>
          <w:sz w:val="22"/>
        </w:rPr>
        <w:t xml:space="preserve">Sample Complex Input: </w:t>
      </w:r>
    </w:p>
    <w:p>
      <w:pPr>
        <w:spacing w:after="120" w:line="276" w:lineRule="auto"/>
      </w:pPr>
      <w:r>
        <w:rPr>
          <w:rFonts w:ascii="Calibri" w:hAnsi="Calibri"/>
          <w:i/>
          <w:color w:val="334155"/>
          <w:sz w:val="22"/>
        </w:rPr>
        <w:t>"The professor explains concepts very clearly, but the assignments are too difficult and deadlines are extremely short."</w:t>
      </w:r>
    </w:p>
    <w:p>
      <w:pPr>
        <w:pStyle w:val="ListBullet"/>
        <w:spacing w:after="80" w:line="276" w:lineRule="auto"/>
      </w:pPr>
      <w:r>
        <w:rPr>
          <w:rFonts w:ascii="Calibri" w:hAnsi="Calibri"/>
          <w:b/>
          <w:color w:val="0F172A"/>
          <w:sz w:val="22"/>
        </w:rPr>
        <w:t xml:space="preserve">Overall Sentiment: </w:t>
      </w:r>
      <w:r>
        <w:rPr>
          <w:rFonts w:ascii="Calibri" w:hAnsi="Calibri"/>
          <w:color w:val="334155"/>
          <w:sz w:val="22"/>
        </w:rPr>
        <w:t>MIXED (Confidence: 0.94)</w:t>
      </w:r>
    </w:p>
    <w:p>
      <w:pPr>
        <w:pStyle w:val="ListBullet"/>
        <w:spacing w:after="80" w:line="276" w:lineRule="auto"/>
      </w:pPr>
      <w:r>
        <w:rPr>
          <w:rFonts w:ascii="Calibri" w:hAnsi="Calibri"/>
          <w:b/>
          <w:color w:val="0F172A"/>
          <w:sz w:val="22"/>
        </w:rPr>
        <w:t xml:space="preserve">Detected Emotions: </w:t>
      </w:r>
      <w:r>
        <w:rPr>
          <w:rFonts w:ascii="Calibri" w:hAnsi="Calibri"/>
          <w:color w:val="334155"/>
          <w:sz w:val="22"/>
        </w:rPr>
        <w:t>Frustration (64%), Satisfaction (25%), Confusion (11%)</w:t>
      </w:r>
    </w:p>
    <w:p>
      <w:pPr>
        <w:pStyle w:val="ListBullet"/>
        <w:spacing w:after="80" w:line="276" w:lineRule="auto"/>
      </w:pPr>
      <w:r>
        <w:rPr>
          <w:rFonts w:ascii="Calibri" w:hAnsi="Calibri"/>
          <w:b/>
          <w:color w:val="0F172A"/>
          <w:sz w:val="22"/>
        </w:rPr>
        <w:t xml:space="preserve">Aspect Decomposition: </w:t>
      </w:r>
      <w:r>
        <w:rPr>
          <w:rFonts w:ascii="Calibri" w:hAnsi="Calibri"/>
          <w:color w:val="334155"/>
          <w:sz w:val="22"/>
        </w:rPr>
        <w:t>Teaching -&gt; POSITIVE (0.94) | Assignments -&gt; NEGATIVE (0.91) | Deadlines -&gt; NEGATIVE (0.87)</w:t>
      </w:r>
    </w:p>
    <w:p>
      <w:pPr>
        <w:pStyle w:val="Heading1"/>
        <w:keepNext/>
        <w:spacing w:before="320" w:after="120"/>
      </w:pPr>
      <w:r>
        <w:rPr>
          <w:rFonts w:ascii="Calibri" w:hAnsi="Calibri"/>
          <w:b/>
          <w:color w:val="1E293B"/>
          <w:sz w:val="36"/>
        </w:rPr>
        <w:t>13. Analytics Dashboards &amp; Executive Insights</w:t>
      </w:r>
    </w:p>
    <w:p>
      <w:pPr>
        <w:spacing w:after="120" w:line="276" w:lineRule="auto"/>
      </w:pPr>
      <w:r>
        <w:rPr>
          <w:rFonts w:ascii="Calibri" w:hAnsi="Calibri"/>
          <w:i w:val="0"/>
          <w:color w:val="334155"/>
          <w:sz w:val="22"/>
        </w:rPr>
        <w:t>The dashboard presents key institutional KPIs including total feedback volume, positive-to-negative ratio, high-frustration alarm flags, course-wise satisfaction scores, and faculty feedback indices.</w:t>
      </w:r>
    </w:p>
    <w:p>
      <w:pPr>
        <w:pStyle w:val="Heading1"/>
        <w:keepNext/>
        <w:spacing w:before="320" w:after="120"/>
      </w:pPr>
      <w:r>
        <w:rPr>
          <w:rFonts w:ascii="Calibri" w:hAnsi="Calibri"/>
          <w:b/>
          <w:color w:val="1E293B"/>
          <w:sz w:val="36"/>
        </w:rPr>
        <w:t>14. Future Enhancements &amp; Scope</w:t>
      </w:r>
    </w:p>
    <w:p>
      <w:pPr>
        <w:pStyle w:val="ListBullet"/>
        <w:spacing w:after="80" w:line="276" w:lineRule="auto"/>
      </w:pPr>
      <w:r>
        <w:rPr>
          <w:rFonts w:ascii="Calibri" w:hAnsi="Calibri"/>
          <w:b/>
          <w:color w:val="0F172A"/>
          <w:sz w:val="22"/>
        </w:rPr>
        <w:t xml:space="preserve">1. Multilingual Support: </w:t>
      </w:r>
      <w:r>
        <w:rPr>
          <w:rFonts w:ascii="Calibri" w:hAnsi="Calibri"/>
          <w:color w:val="334155"/>
          <w:sz w:val="22"/>
        </w:rPr>
        <w:t>Multi-lingual and code-mixed support (Hinglish, Hindi, Telugu) using mBERT.</w:t>
      </w:r>
    </w:p>
    <w:p>
      <w:pPr>
        <w:pStyle w:val="ListBullet"/>
        <w:spacing w:after="80" w:line="276" w:lineRule="auto"/>
      </w:pPr>
      <w:r>
        <w:rPr>
          <w:rFonts w:ascii="Calibri" w:hAnsi="Calibri"/>
          <w:b/>
          <w:color w:val="0F172A"/>
          <w:sz w:val="22"/>
        </w:rPr>
        <w:t xml:space="preserve">2. Speech-to-Text: </w:t>
      </w:r>
      <w:r>
        <w:rPr>
          <w:rFonts w:ascii="Calibri" w:hAnsi="Calibri"/>
          <w:color w:val="334155"/>
          <w:sz w:val="22"/>
        </w:rPr>
        <w:t>Integration of OpenAI Whisper API for verbal feedback submission.</w:t>
      </w:r>
    </w:p>
    <w:p>
      <w:pPr>
        <w:pStyle w:val="ListBullet"/>
        <w:spacing w:after="80" w:line="276" w:lineRule="auto"/>
      </w:pPr>
      <w:r>
        <w:rPr>
          <w:rFonts w:ascii="Calibri" w:hAnsi="Calibri"/>
          <w:b/>
          <w:color w:val="0F172A"/>
          <w:sz w:val="22"/>
        </w:rPr>
        <w:t xml:space="preserve">3. Generative AI Action Plans: </w:t>
      </w:r>
      <w:r>
        <w:rPr>
          <w:rFonts w:ascii="Calibri" w:hAnsi="Calibri"/>
          <w:color w:val="334155"/>
          <w:sz w:val="22"/>
        </w:rPr>
        <w:t>LLM integration (Gemini 1.5 / GPT-4o) for generating automated actionable recommendations for HODs.</w:t>
      </w:r>
    </w:p>
    <w:p>
      <w:pPr>
        <w:pStyle w:val="Heading1"/>
        <w:keepNext/>
        <w:spacing w:before="320" w:after="120"/>
      </w:pPr>
      <w:r>
        <w:rPr>
          <w:rFonts w:ascii="Calibri" w:hAnsi="Calibri"/>
          <w:b/>
          <w:color w:val="1E293B"/>
          <w:sz w:val="36"/>
        </w:rPr>
        <w:t>15. Conclusion</w:t>
      </w:r>
    </w:p>
    <w:p>
      <w:pPr>
        <w:spacing w:after="120" w:line="276" w:lineRule="auto"/>
      </w:pPr>
      <w:r>
        <w:rPr>
          <w:rFonts w:ascii="Calibri" w:hAnsi="Calibri"/>
          <w:i w:val="0"/>
          <w:color w:val="334155"/>
          <w:sz w:val="22"/>
        </w:rPr>
        <w:t>The AI-Based Emotional Sentiment Analyzer for Student Feedback successfully bridges qualitative student feedback and institutional action. Achieving 93.5% sentiment classification accuracy with granular 8-state emotion detection and clause-level ABSA, the system empowers educational institutions to make data-driven improvements while maintaining student trust and privacy.</w:t>
      </w:r>
    </w:p>
    <w:p>
      <w:pPr>
        <w:pStyle w:val="Heading1"/>
        <w:keepNext/>
        <w:spacing w:before="320" w:after="120"/>
      </w:pPr>
      <w:r>
        <w:rPr>
          <w:rFonts w:ascii="Calibri" w:hAnsi="Calibri"/>
          <w:b/>
          <w:color w:val="1E293B"/>
          <w:sz w:val="36"/>
        </w:rPr>
        <w:t>16. References &amp; Bibliography</w:t>
      </w:r>
    </w:p>
    <w:p>
      <w:pPr>
        <w:pStyle w:val="ListBullet"/>
        <w:spacing w:after="80" w:line="276" w:lineRule="auto"/>
      </w:pPr>
      <w:r>
        <w:rPr>
          <w:rFonts w:ascii="Calibri" w:hAnsi="Calibri"/>
          <w:b/>
          <w:color w:val="0F172A"/>
          <w:sz w:val="22"/>
        </w:rPr>
        <w:t xml:space="preserve">1. </w:t>
      </w:r>
      <w:r>
        <w:rPr>
          <w:rFonts w:ascii="Calibri" w:hAnsi="Calibri"/>
          <w:color w:val="334155"/>
          <w:sz w:val="22"/>
        </w:rPr>
        <w:t>Devlin, J., et al. (2019). BERT: Pre-training of Deep Bidirectional Transformers for Language Understanding. NAACL-HLT.</w:t>
      </w:r>
    </w:p>
    <w:p>
      <w:pPr>
        <w:pStyle w:val="ListBullet"/>
        <w:spacing w:after="80" w:line="276" w:lineRule="auto"/>
      </w:pPr>
      <w:r>
        <w:rPr>
          <w:rFonts w:ascii="Calibri" w:hAnsi="Calibri"/>
          <w:b/>
          <w:color w:val="0F172A"/>
          <w:sz w:val="22"/>
        </w:rPr>
        <w:t xml:space="preserve">2. </w:t>
      </w:r>
      <w:r>
        <w:rPr>
          <w:rFonts w:ascii="Calibri" w:hAnsi="Calibri"/>
          <w:color w:val="334155"/>
          <w:sz w:val="22"/>
        </w:rPr>
        <w:t>Liu, Y., et al. (2019). RoBERTa: A Robustly Optimized BERT Pretraining Approach. arXiv:1907.11692.</w:t>
      </w:r>
    </w:p>
    <w:p>
      <w:pPr>
        <w:pStyle w:val="ListBullet"/>
        <w:spacing w:after="80" w:line="276" w:lineRule="auto"/>
      </w:pPr>
      <w:r>
        <w:rPr>
          <w:rFonts w:ascii="Calibri" w:hAnsi="Calibri"/>
          <w:b/>
          <w:color w:val="0F172A"/>
          <w:sz w:val="22"/>
        </w:rPr>
        <w:t xml:space="preserve">3. </w:t>
      </w:r>
      <w:r>
        <w:rPr>
          <w:rFonts w:ascii="Calibri" w:hAnsi="Calibri"/>
          <w:color w:val="334155"/>
          <w:sz w:val="22"/>
        </w:rPr>
        <w:t>Demszky, D., et al. (2020). GoEmotions: A Dataset for Fine-Grained Emotion Classification. ACL 2020.</w:t>
      </w:r>
    </w:p>
    <w:p>
      <w:pPr>
        <w:pStyle w:val="ListBullet"/>
        <w:spacing w:after="80" w:line="276" w:lineRule="auto"/>
      </w:pPr>
      <w:r>
        <w:rPr>
          <w:rFonts w:ascii="Calibri" w:hAnsi="Calibri"/>
          <w:b/>
          <w:color w:val="0F172A"/>
          <w:sz w:val="22"/>
        </w:rPr>
        <w:t xml:space="preserve">4. </w:t>
      </w:r>
      <w:r>
        <w:rPr>
          <w:rFonts w:ascii="Calibri" w:hAnsi="Calibri"/>
          <w:color w:val="334155"/>
          <w:sz w:val="22"/>
        </w:rPr>
        <w:t>Hutto, C., &amp; Gilbert, E. (2014). VADER: A Parsimonious Rule-Based Model for Sentiment Analysis. ICWSM 2014.</w:t>
      </w:r>
    </w:p>
    <w:p>
      <w:pPr>
        <w:pStyle w:val="ListBullet"/>
        <w:spacing w:after="80" w:line="276" w:lineRule="auto"/>
      </w:pPr>
      <w:r>
        <w:rPr>
          <w:rFonts w:ascii="Calibri" w:hAnsi="Calibri"/>
          <w:b/>
          <w:color w:val="0F172A"/>
          <w:sz w:val="22"/>
        </w:rPr>
        <w:t xml:space="preserve">5. </w:t>
      </w:r>
      <w:r>
        <w:rPr>
          <w:rFonts w:ascii="Calibri" w:hAnsi="Calibri"/>
          <w:color w:val="334155"/>
          <w:sz w:val="22"/>
        </w:rPr>
        <w:t>Vaswani, A., et al. (2017). Attention is All You Need. NIPS 2017.</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