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E42299" w14:textId="3EA3080E" w:rsidR="00452089" w:rsidRDefault="00452089" w:rsidP="00625452">
      <w:pPr>
        <w:spacing w:after="200" w:line="276" w:lineRule="auto"/>
        <w:rPr>
          <w:sz w:val="24"/>
        </w:rPr>
      </w:pPr>
    </w:p>
    <w:p w14:paraId="57104A7B" w14:textId="77777777" w:rsidR="00452089" w:rsidRDefault="00471E96" w:rsidP="00EF2BC6">
      <w:pPr>
        <w:jc w:val="center"/>
        <w:rPr>
          <w:sz w:val="24"/>
        </w:rPr>
      </w:pPr>
      <w:r w:rsidRPr="00CD32F9">
        <w:rPr>
          <w:noProof/>
        </w:rPr>
        <w:drawing>
          <wp:inline distT="0" distB="0" distL="0" distR="0" wp14:anchorId="599E75B5" wp14:editId="2F168FF3">
            <wp:extent cx="1785046" cy="1785046"/>
            <wp:effectExtent l="0" t="0" r="5715" b="5715"/>
            <wp:docPr id="3" name="Picture 2" descr="http://www.acunetix.com/blog/wp-content/uploads/2010/04/owasp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://www.acunetix.com/blog/wp-content/uploads/2010/04/owasp_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597" cy="1784597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690B6248" w14:textId="77777777" w:rsidR="00303D73" w:rsidRDefault="00303D73" w:rsidP="00471E96"/>
    <w:p w14:paraId="757BA357" w14:textId="2559657F" w:rsidR="00452089" w:rsidRDefault="005C153F" w:rsidP="005C153F">
      <w:pPr>
        <w:pStyle w:val="Heading1"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About </w:t>
      </w:r>
      <w:r w:rsidR="00452089" w:rsidRPr="00452089">
        <w:rPr>
          <w:sz w:val="72"/>
          <w:szCs w:val="72"/>
        </w:rPr>
        <w:t xml:space="preserve">The OWASP </w:t>
      </w:r>
      <w:r w:rsidR="00EF2BC6">
        <w:rPr>
          <w:sz w:val="72"/>
          <w:szCs w:val="72"/>
        </w:rPr>
        <w:t>Application Security</w:t>
      </w:r>
      <w:r>
        <w:rPr>
          <w:sz w:val="72"/>
          <w:szCs w:val="72"/>
        </w:rPr>
        <w:br/>
      </w:r>
      <w:r w:rsidR="00452089" w:rsidRPr="00452089">
        <w:rPr>
          <w:sz w:val="72"/>
          <w:szCs w:val="72"/>
        </w:rPr>
        <w:t>Code</w:t>
      </w:r>
      <w:r>
        <w:rPr>
          <w:sz w:val="72"/>
          <w:szCs w:val="72"/>
        </w:rPr>
        <w:t>s</w:t>
      </w:r>
      <w:r w:rsidR="00452089" w:rsidRPr="00452089">
        <w:rPr>
          <w:sz w:val="72"/>
          <w:szCs w:val="72"/>
        </w:rPr>
        <w:t xml:space="preserve"> of Conduct</w:t>
      </w:r>
      <w:r>
        <w:rPr>
          <w:sz w:val="72"/>
          <w:szCs w:val="72"/>
        </w:rPr>
        <w:t xml:space="preserve"> Project</w:t>
      </w:r>
    </w:p>
    <w:p w14:paraId="6FE03F4B" w14:textId="77777777" w:rsidR="00452089" w:rsidRPr="00452089" w:rsidRDefault="00452089" w:rsidP="00452089"/>
    <w:p w14:paraId="70BFE26B" w14:textId="77777777" w:rsidR="00314997" w:rsidRDefault="00314997" w:rsidP="00625452">
      <w:pPr>
        <w:rPr>
          <w:sz w:val="72"/>
          <w:szCs w:val="72"/>
        </w:rPr>
      </w:pPr>
    </w:p>
    <w:p w14:paraId="326400D8" w14:textId="77777777" w:rsidR="005C153F" w:rsidRPr="00625452" w:rsidRDefault="005C153F" w:rsidP="00625452">
      <w:pPr>
        <w:rPr>
          <w:sz w:val="72"/>
          <w:szCs w:val="72"/>
        </w:rPr>
      </w:pPr>
    </w:p>
    <w:p w14:paraId="0C5E1584" w14:textId="5D5BE499" w:rsidR="00314997" w:rsidRDefault="00314997" w:rsidP="00625452">
      <w:pPr>
        <w:jc w:val="center"/>
        <w:rPr>
          <w:rFonts w:asciiTheme="majorHAnsi" w:hAnsiTheme="majorHAnsi"/>
          <w:sz w:val="36"/>
          <w:szCs w:val="36"/>
        </w:rPr>
      </w:pPr>
      <w:r w:rsidRPr="00625452">
        <w:rPr>
          <w:rFonts w:asciiTheme="majorHAnsi" w:hAnsiTheme="majorHAnsi"/>
          <w:sz w:val="36"/>
          <w:szCs w:val="36"/>
        </w:rPr>
        <w:t xml:space="preserve">Version </w:t>
      </w:r>
      <w:r w:rsidR="005C153F">
        <w:rPr>
          <w:rFonts w:asciiTheme="majorHAnsi" w:hAnsiTheme="majorHAnsi"/>
          <w:sz w:val="36"/>
          <w:szCs w:val="36"/>
        </w:rPr>
        <w:t>1.0</w:t>
      </w:r>
      <w:r w:rsidRPr="00625452">
        <w:rPr>
          <w:rFonts w:asciiTheme="majorHAnsi" w:hAnsiTheme="majorHAnsi"/>
          <w:sz w:val="36"/>
          <w:szCs w:val="36"/>
        </w:rPr>
        <w:t xml:space="preserve"> (</w:t>
      </w:r>
      <w:r w:rsidR="004E0FA7">
        <w:rPr>
          <w:rFonts w:asciiTheme="majorHAnsi" w:hAnsiTheme="majorHAnsi"/>
          <w:sz w:val="36"/>
          <w:szCs w:val="36"/>
        </w:rPr>
        <w:t>1</w:t>
      </w:r>
      <w:r w:rsidR="000F6D2E">
        <w:rPr>
          <w:rFonts w:asciiTheme="majorHAnsi" w:hAnsiTheme="majorHAnsi"/>
          <w:sz w:val="36"/>
          <w:szCs w:val="36"/>
        </w:rPr>
        <w:t>0</w:t>
      </w:r>
      <w:r w:rsidR="000F6D2E" w:rsidRPr="000F6D2E">
        <w:rPr>
          <w:rFonts w:asciiTheme="majorHAnsi" w:hAnsiTheme="majorHAnsi"/>
          <w:sz w:val="36"/>
          <w:szCs w:val="36"/>
          <w:vertAlign w:val="superscript"/>
        </w:rPr>
        <w:t>th</w:t>
      </w:r>
      <w:r w:rsidR="004E0FA7">
        <w:rPr>
          <w:rFonts w:asciiTheme="majorHAnsi" w:hAnsiTheme="majorHAnsi"/>
          <w:sz w:val="36"/>
          <w:szCs w:val="36"/>
        </w:rPr>
        <w:t xml:space="preserve"> </w:t>
      </w:r>
      <w:r w:rsidR="005C153F">
        <w:rPr>
          <w:rFonts w:asciiTheme="majorHAnsi" w:hAnsiTheme="majorHAnsi"/>
          <w:sz w:val="36"/>
          <w:szCs w:val="36"/>
        </w:rPr>
        <w:t>March</w:t>
      </w:r>
      <w:r w:rsidR="00C475EB" w:rsidRPr="00625452">
        <w:rPr>
          <w:rFonts w:asciiTheme="majorHAnsi" w:hAnsiTheme="majorHAnsi"/>
          <w:sz w:val="36"/>
          <w:szCs w:val="36"/>
        </w:rPr>
        <w:t xml:space="preserve"> </w:t>
      </w:r>
      <w:r w:rsidR="005C153F">
        <w:rPr>
          <w:rFonts w:asciiTheme="majorHAnsi" w:hAnsiTheme="majorHAnsi"/>
          <w:sz w:val="36"/>
          <w:szCs w:val="36"/>
        </w:rPr>
        <w:t>2012</w:t>
      </w:r>
      <w:r w:rsidRPr="00625452">
        <w:rPr>
          <w:rFonts w:asciiTheme="majorHAnsi" w:hAnsiTheme="majorHAnsi"/>
          <w:sz w:val="36"/>
          <w:szCs w:val="36"/>
        </w:rPr>
        <w:t>)</w:t>
      </w:r>
    </w:p>
    <w:p w14:paraId="5B482492" w14:textId="77777777" w:rsidR="004E0FA7" w:rsidRDefault="004E0FA7" w:rsidP="004E0FA7">
      <w:pPr>
        <w:jc w:val="center"/>
        <w:rPr>
          <w:rFonts w:asciiTheme="majorHAnsi" w:hAnsiTheme="majorHAnsi"/>
          <w:sz w:val="36"/>
          <w:szCs w:val="36"/>
        </w:rPr>
      </w:pPr>
    </w:p>
    <w:p w14:paraId="79AFD565" w14:textId="77777777" w:rsidR="004E0FA7" w:rsidRDefault="004E0FA7" w:rsidP="004E0FA7">
      <w:pPr>
        <w:jc w:val="center"/>
        <w:rPr>
          <w:rFonts w:asciiTheme="majorHAnsi" w:hAnsiTheme="majorHAnsi"/>
          <w:sz w:val="36"/>
          <w:szCs w:val="36"/>
        </w:rPr>
      </w:pPr>
    </w:p>
    <w:p w14:paraId="699A7428" w14:textId="10AB80EC" w:rsidR="004E0FA7" w:rsidRDefault="005C153F" w:rsidP="004E0FA7">
      <w:pPr>
        <w:jc w:val="center"/>
      </w:pPr>
      <w:r>
        <w:t>© 2012</w:t>
      </w:r>
      <w:r w:rsidR="004E0FA7" w:rsidRPr="00067596">
        <w:t xml:space="preserve"> OWASP Foundation</w:t>
      </w:r>
    </w:p>
    <w:p w14:paraId="65671518" w14:textId="77777777" w:rsidR="004E0FA7" w:rsidRDefault="004E0FA7" w:rsidP="004E0FA7">
      <w:pPr>
        <w:jc w:val="center"/>
        <w:rPr>
          <w:rFonts w:cstheme="minorHAnsi"/>
        </w:rPr>
      </w:pPr>
    </w:p>
    <w:p w14:paraId="3EA12F82" w14:textId="77777777" w:rsidR="004E0FA7" w:rsidRDefault="004E0FA7" w:rsidP="004E0FA7">
      <w:pPr>
        <w:jc w:val="center"/>
      </w:pPr>
      <w:r w:rsidRPr="00067596">
        <w:t xml:space="preserve">This document is released under the Creative Commons Attribution </w:t>
      </w:r>
      <w:hyperlink r:id="rId10" w:history="1">
        <w:r w:rsidRPr="00067596">
          <w:rPr>
            <w:rStyle w:val="Hyperlink"/>
          </w:rPr>
          <w:t>ShareAlike 3.0 license</w:t>
        </w:r>
      </w:hyperlink>
      <w:r w:rsidRPr="00067596">
        <w:t xml:space="preserve">. </w:t>
      </w:r>
    </w:p>
    <w:p w14:paraId="106C1923" w14:textId="7D06C45D" w:rsidR="00452089" w:rsidRDefault="004E0FA7" w:rsidP="004E0FA7">
      <w:pPr>
        <w:jc w:val="center"/>
        <w:rPr>
          <w:b/>
          <w:sz w:val="24"/>
        </w:rPr>
      </w:pPr>
      <w:r w:rsidRPr="00067596">
        <w:t>For any reuse or distribution, you must make clear to others the license terms of this work</w:t>
      </w:r>
      <w:r w:rsidR="00452089">
        <w:rPr>
          <w:b/>
          <w:sz w:val="24"/>
        </w:rPr>
        <w:br w:type="page"/>
      </w:r>
    </w:p>
    <w:p w14:paraId="240BF0D4" w14:textId="77777777" w:rsidR="00F37737" w:rsidRDefault="00F37737" w:rsidP="00F37737">
      <w:pPr>
        <w:pStyle w:val="Heading2"/>
      </w:pPr>
      <w:r>
        <w:lastRenderedPageBreak/>
        <w:t>Introduction</w:t>
      </w:r>
    </w:p>
    <w:p w14:paraId="75C3D146" w14:textId="77777777" w:rsidR="00801B1F" w:rsidRDefault="005C153F" w:rsidP="005C153F">
      <w:r>
        <w:t>In order to achieve its</w:t>
      </w:r>
      <w:r w:rsidRPr="009941F4">
        <w:t xml:space="preserve"> mission, OWASP needs to take advantage of every opportunity to affect s</w:t>
      </w:r>
      <w:r w:rsidR="00801B1F">
        <w:t>oftware development everywhere.</w:t>
      </w:r>
    </w:p>
    <w:p w14:paraId="65C6407E" w14:textId="2FB8CD35" w:rsidR="00801B1F" w:rsidRDefault="00801B1F" w:rsidP="005C153F">
      <w:hyperlink r:id="rId11" w:history="1">
        <w:r w:rsidRPr="00801B1F">
          <w:rPr>
            <w:rStyle w:val="Hyperlink"/>
          </w:rPr>
          <w:t>https://www.owasp.org/index.php/About_The_Open_Web_Application_Security_Project</w:t>
        </w:r>
      </w:hyperlink>
    </w:p>
    <w:p w14:paraId="09C2B0A5" w14:textId="32697B4B" w:rsidR="005C153F" w:rsidRPr="00801B1F" w:rsidRDefault="005C153F" w:rsidP="00801B1F">
      <w:pPr>
        <w:spacing w:before="240"/>
      </w:pPr>
      <w:r w:rsidRPr="009941F4">
        <w:t xml:space="preserve">At the OWASP Summit 2011 in Portugal, the idea was created to try to influence </w:t>
      </w:r>
      <w:r w:rsidR="002016A3">
        <w:t>various</w:t>
      </w:r>
      <w:r w:rsidRPr="009941F4">
        <w:t xml:space="preserve"> groups active in the application security space. </w:t>
      </w:r>
      <w:r>
        <w:t>The concept was to</w:t>
      </w:r>
      <w:r w:rsidRPr="009941F4">
        <w:t xml:space="preserve"> define a set of minimal requirements for these organization</w:t>
      </w:r>
      <w:r>
        <w:t>s specifying what OWASP</w:t>
      </w:r>
      <w:r w:rsidRPr="009941F4">
        <w:t xml:space="preserve"> believe</w:t>
      </w:r>
      <w:r>
        <w:t xml:space="preserve">s to be the most effective way to support its </w:t>
      </w:r>
      <w:r w:rsidRPr="009941F4">
        <w:t xml:space="preserve">mission. </w:t>
      </w:r>
      <w:r>
        <w:t>T</w:t>
      </w:r>
      <w:r w:rsidRPr="009941F4">
        <w:t xml:space="preserve">hese requirements </w:t>
      </w:r>
      <w:r>
        <w:t>are called</w:t>
      </w:r>
      <w:r w:rsidRPr="00801B1F">
        <w:t xml:space="preserve"> </w:t>
      </w:r>
      <w:r w:rsidR="002016A3" w:rsidRPr="00801B1F">
        <w:t>a “</w:t>
      </w:r>
      <w:r w:rsidRPr="00801B1F">
        <w:t>code of conduct” to imply that these are normative standards, in that they represent a minimum baseline, and are not difficult to achieve.</w:t>
      </w:r>
      <w:r w:rsidR="00801B1F" w:rsidRPr="00801B1F">
        <w:t xml:space="preserve"> </w:t>
      </w:r>
      <w:r w:rsidRPr="00801B1F">
        <w:t>The latest version of this document, and all the Codes of Conduct, can be found at:</w:t>
      </w:r>
    </w:p>
    <w:p w14:paraId="71594BED" w14:textId="6B590565" w:rsidR="005C153F" w:rsidRPr="005C153F" w:rsidRDefault="005C153F" w:rsidP="005C153F">
      <w:pPr>
        <w:pStyle w:val="Rationale"/>
        <w:ind w:left="0"/>
        <w:rPr>
          <w:i w:val="0"/>
        </w:rPr>
      </w:pPr>
      <w:hyperlink r:id="rId12" w:history="1">
        <w:r w:rsidRPr="00DE3617">
          <w:rPr>
            <w:rStyle w:val="Hyperlink"/>
            <w:i w:val="0"/>
          </w:rPr>
          <w:t>https://www.owasp.org/index.php/OWASP_Codes_of_Conduct</w:t>
        </w:r>
      </w:hyperlink>
    </w:p>
    <w:p w14:paraId="45838EF5" w14:textId="6C826BC5" w:rsidR="002D55B1" w:rsidRDefault="005C153F" w:rsidP="002D55B1">
      <w:pPr>
        <w:pStyle w:val="Heading2"/>
      </w:pPr>
      <w:r>
        <w:t>Format</w:t>
      </w:r>
      <w:r w:rsidR="00F36B3F">
        <w:t xml:space="preserve"> and content</w:t>
      </w:r>
    </w:p>
    <w:p w14:paraId="28859640" w14:textId="0B3D9E46" w:rsidR="00FD4B3F" w:rsidRDefault="005C153F" w:rsidP="005C153F">
      <w:r>
        <w:t>Each Application Security Code of Conduct is comprised of a small number of mandatory items (the Code of Conduct) and a few other optional recommendations.</w:t>
      </w:r>
      <w:r w:rsidR="00A32FD5">
        <w:t xml:space="preserve"> There are six Codes of Conduct: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8"/>
        <w:gridCol w:w="284"/>
        <w:gridCol w:w="2948"/>
        <w:gridCol w:w="284"/>
        <w:gridCol w:w="2948"/>
      </w:tblGrid>
      <w:tr w:rsidR="00A32FD5" w14:paraId="2B307729" w14:textId="77777777" w:rsidTr="005D7CED">
        <w:tc>
          <w:tcPr>
            <w:tcW w:w="2948" w:type="dxa"/>
            <w:shd w:val="clear" w:color="auto" w:fill="E6F5E9"/>
          </w:tcPr>
          <w:p w14:paraId="1AB8B203" w14:textId="60096AB9" w:rsidR="00A32FD5" w:rsidRPr="00552225" w:rsidRDefault="00552225" w:rsidP="005C153F">
            <w:pPr>
              <w:rPr>
                <w:b/>
                <w:color w:val="595959" w:themeColor="text1" w:themeTint="A6"/>
              </w:rPr>
            </w:pPr>
            <w:hyperlink r:id="rId13" w:anchor="Government_Bodies" w:history="1">
              <w:r w:rsidR="00A32FD5" w:rsidRPr="00552225">
                <w:rPr>
                  <w:rStyle w:val="Hyperlink"/>
                  <w:b/>
                  <w:color w:val="595959" w:themeColor="text1" w:themeTint="A6"/>
                </w:rPr>
                <w:t>OWASP Green Book</w:t>
              </w:r>
            </w:hyperlink>
          </w:p>
        </w:tc>
        <w:tc>
          <w:tcPr>
            <w:tcW w:w="284" w:type="dxa"/>
          </w:tcPr>
          <w:p w14:paraId="3A91E240" w14:textId="77777777" w:rsidR="00A32FD5" w:rsidRPr="00552225" w:rsidRDefault="00A32FD5" w:rsidP="005C153F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2948" w:type="dxa"/>
            <w:shd w:val="clear" w:color="auto" w:fill="E6EEF6"/>
          </w:tcPr>
          <w:p w14:paraId="09A17DD5" w14:textId="4412F262" w:rsidR="00A32FD5" w:rsidRPr="00552225" w:rsidRDefault="00552225" w:rsidP="005C153F">
            <w:pPr>
              <w:rPr>
                <w:b/>
                <w:color w:val="595959" w:themeColor="text1" w:themeTint="A6"/>
              </w:rPr>
            </w:pPr>
            <w:hyperlink r:id="rId14" w:anchor="Educational_Institutions" w:history="1">
              <w:r w:rsidR="00A32FD5" w:rsidRPr="00552225">
                <w:rPr>
                  <w:rStyle w:val="Hyperlink"/>
                  <w:b/>
                  <w:color w:val="595959" w:themeColor="text1" w:themeTint="A6"/>
                </w:rPr>
                <w:t>OWASP Blue Book</w:t>
              </w:r>
            </w:hyperlink>
          </w:p>
        </w:tc>
        <w:tc>
          <w:tcPr>
            <w:tcW w:w="284" w:type="dxa"/>
          </w:tcPr>
          <w:p w14:paraId="1364F9EC" w14:textId="77777777" w:rsidR="00A32FD5" w:rsidRPr="00552225" w:rsidRDefault="00A32FD5" w:rsidP="005C153F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2948" w:type="dxa"/>
            <w:shd w:val="clear" w:color="auto" w:fill="FAFCDB"/>
          </w:tcPr>
          <w:p w14:paraId="23D48649" w14:textId="6016259D" w:rsidR="00A32FD5" w:rsidRPr="00552225" w:rsidRDefault="00552225" w:rsidP="005C153F">
            <w:pPr>
              <w:rPr>
                <w:b/>
                <w:color w:val="595959" w:themeColor="text1" w:themeTint="A6"/>
              </w:rPr>
            </w:pPr>
            <w:hyperlink r:id="rId15" w:anchor="Standards_Groups" w:history="1">
              <w:r w:rsidR="00A32FD5" w:rsidRPr="00552225">
                <w:rPr>
                  <w:rStyle w:val="Hyperlink"/>
                  <w:b/>
                  <w:color w:val="595959" w:themeColor="text1" w:themeTint="A6"/>
                </w:rPr>
                <w:t>OWASP Yellow Book</w:t>
              </w:r>
            </w:hyperlink>
          </w:p>
        </w:tc>
      </w:tr>
      <w:tr w:rsidR="00A32FD5" w14:paraId="6F25D6F5" w14:textId="77777777" w:rsidTr="005D7CED">
        <w:tc>
          <w:tcPr>
            <w:tcW w:w="2948" w:type="dxa"/>
            <w:shd w:val="clear" w:color="auto" w:fill="E6F5E9"/>
          </w:tcPr>
          <w:p w14:paraId="7D583529" w14:textId="728F06A3" w:rsidR="00A32FD5" w:rsidRPr="00552225" w:rsidRDefault="00A32FD5" w:rsidP="005C153F">
            <w:pPr>
              <w:rPr>
                <w:color w:val="595959" w:themeColor="text1" w:themeTint="A6"/>
              </w:rPr>
            </w:pPr>
            <w:r w:rsidRPr="00552225">
              <w:rPr>
                <w:color w:val="595959" w:themeColor="text1" w:themeTint="A6"/>
              </w:rPr>
              <w:t>The OWASP Application Security Code of Conduct for Government Bodies</w:t>
            </w:r>
          </w:p>
        </w:tc>
        <w:tc>
          <w:tcPr>
            <w:tcW w:w="284" w:type="dxa"/>
          </w:tcPr>
          <w:p w14:paraId="3BFC5ADC" w14:textId="77777777" w:rsidR="00A32FD5" w:rsidRPr="00552225" w:rsidRDefault="00A32FD5" w:rsidP="005C153F">
            <w:pPr>
              <w:rPr>
                <w:color w:val="595959" w:themeColor="text1" w:themeTint="A6"/>
              </w:rPr>
            </w:pPr>
          </w:p>
        </w:tc>
        <w:tc>
          <w:tcPr>
            <w:tcW w:w="2948" w:type="dxa"/>
            <w:shd w:val="clear" w:color="auto" w:fill="E6EEF6"/>
          </w:tcPr>
          <w:p w14:paraId="5B36723A" w14:textId="59F312BE" w:rsidR="00A32FD5" w:rsidRPr="00552225" w:rsidRDefault="00A32FD5" w:rsidP="005C153F">
            <w:pPr>
              <w:rPr>
                <w:color w:val="595959" w:themeColor="text1" w:themeTint="A6"/>
              </w:rPr>
            </w:pPr>
            <w:r w:rsidRPr="00552225">
              <w:rPr>
                <w:color w:val="595959" w:themeColor="text1" w:themeTint="A6"/>
              </w:rPr>
              <w:t>The OWASP Application Security Code of Conduct for Educational Institutions</w:t>
            </w:r>
          </w:p>
        </w:tc>
        <w:tc>
          <w:tcPr>
            <w:tcW w:w="284" w:type="dxa"/>
          </w:tcPr>
          <w:p w14:paraId="52C8FFC6" w14:textId="77777777" w:rsidR="00A32FD5" w:rsidRPr="00552225" w:rsidRDefault="00A32FD5" w:rsidP="005C153F">
            <w:pPr>
              <w:rPr>
                <w:color w:val="595959" w:themeColor="text1" w:themeTint="A6"/>
              </w:rPr>
            </w:pPr>
          </w:p>
        </w:tc>
        <w:tc>
          <w:tcPr>
            <w:tcW w:w="2948" w:type="dxa"/>
            <w:shd w:val="clear" w:color="auto" w:fill="FAFCDB"/>
          </w:tcPr>
          <w:p w14:paraId="04092D91" w14:textId="6E934A70" w:rsidR="00A32FD5" w:rsidRPr="00552225" w:rsidRDefault="00A32FD5" w:rsidP="005C153F">
            <w:pPr>
              <w:rPr>
                <w:color w:val="595959" w:themeColor="text1" w:themeTint="A6"/>
              </w:rPr>
            </w:pPr>
            <w:r w:rsidRPr="00552225">
              <w:rPr>
                <w:color w:val="595959" w:themeColor="text1" w:themeTint="A6"/>
              </w:rPr>
              <w:t>The OWASP Application Security Code of Conduct for Standards Groups</w:t>
            </w:r>
          </w:p>
        </w:tc>
      </w:tr>
      <w:tr w:rsidR="00A32FD5" w14:paraId="3C516304" w14:textId="77777777" w:rsidTr="005D7CED">
        <w:trPr>
          <w:trHeight w:val="275"/>
        </w:trPr>
        <w:tc>
          <w:tcPr>
            <w:tcW w:w="2948" w:type="dxa"/>
          </w:tcPr>
          <w:p w14:paraId="19B4798E" w14:textId="77777777" w:rsidR="00A32FD5" w:rsidRPr="00552225" w:rsidRDefault="00A32FD5" w:rsidP="005C153F">
            <w:pPr>
              <w:rPr>
                <w:color w:val="595959" w:themeColor="text1" w:themeTint="A6"/>
                <w:sz w:val="8"/>
                <w:szCs w:val="8"/>
              </w:rPr>
            </w:pPr>
          </w:p>
        </w:tc>
        <w:tc>
          <w:tcPr>
            <w:tcW w:w="284" w:type="dxa"/>
          </w:tcPr>
          <w:p w14:paraId="3BA7FC80" w14:textId="77777777" w:rsidR="00A32FD5" w:rsidRPr="00552225" w:rsidRDefault="00A32FD5" w:rsidP="005C153F">
            <w:pPr>
              <w:rPr>
                <w:color w:val="595959" w:themeColor="text1" w:themeTint="A6"/>
                <w:sz w:val="8"/>
                <w:szCs w:val="8"/>
              </w:rPr>
            </w:pPr>
          </w:p>
        </w:tc>
        <w:tc>
          <w:tcPr>
            <w:tcW w:w="2948" w:type="dxa"/>
          </w:tcPr>
          <w:p w14:paraId="368E9204" w14:textId="77777777" w:rsidR="00A32FD5" w:rsidRPr="00552225" w:rsidRDefault="00A32FD5" w:rsidP="005C153F">
            <w:pPr>
              <w:rPr>
                <w:color w:val="595959" w:themeColor="text1" w:themeTint="A6"/>
                <w:sz w:val="8"/>
                <w:szCs w:val="8"/>
              </w:rPr>
            </w:pPr>
          </w:p>
        </w:tc>
        <w:tc>
          <w:tcPr>
            <w:tcW w:w="284" w:type="dxa"/>
          </w:tcPr>
          <w:p w14:paraId="1684834A" w14:textId="77777777" w:rsidR="00A32FD5" w:rsidRPr="00552225" w:rsidRDefault="00A32FD5" w:rsidP="005C153F">
            <w:pPr>
              <w:rPr>
                <w:color w:val="595959" w:themeColor="text1" w:themeTint="A6"/>
                <w:sz w:val="8"/>
                <w:szCs w:val="8"/>
              </w:rPr>
            </w:pPr>
          </w:p>
        </w:tc>
        <w:tc>
          <w:tcPr>
            <w:tcW w:w="2948" w:type="dxa"/>
          </w:tcPr>
          <w:p w14:paraId="74AD6D92" w14:textId="77777777" w:rsidR="00A32FD5" w:rsidRPr="00552225" w:rsidRDefault="00A32FD5" w:rsidP="005C153F">
            <w:pPr>
              <w:rPr>
                <w:color w:val="595959" w:themeColor="text1" w:themeTint="A6"/>
                <w:sz w:val="8"/>
                <w:szCs w:val="8"/>
              </w:rPr>
            </w:pPr>
          </w:p>
        </w:tc>
      </w:tr>
      <w:tr w:rsidR="00A32FD5" w14:paraId="373A883E" w14:textId="77777777" w:rsidTr="005D7CED">
        <w:tc>
          <w:tcPr>
            <w:tcW w:w="2948" w:type="dxa"/>
            <w:shd w:val="clear" w:color="auto" w:fill="ECDCFD"/>
          </w:tcPr>
          <w:p w14:paraId="11B198F8" w14:textId="2822A5B4" w:rsidR="00A32FD5" w:rsidRPr="00552225" w:rsidRDefault="00552225" w:rsidP="005C153F">
            <w:pPr>
              <w:rPr>
                <w:b/>
                <w:color w:val="595959" w:themeColor="text1" w:themeTint="A6"/>
              </w:rPr>
            </w:pPr>
            <w:hyperlink r:id="rId16" w:anchor="Trade_Organizations" w:history="1">
              <w:r w:rsidR="00A32FD5" w:rsidRPr="00552225">
                <w:rPr>
                  <w:rStyle w:val="Hyperlink"/>
                  <w:b/>
                  <w:color w:val="595959" w:themeColor="text1" w:themeTint="A6"/>
                </w:rPr>
                <w:t>OWASP Purple Book</w:t>
              </w:r>
            </w:hyperlink>
          </w:p>
        </w:tc>
        <w:tc>
          <w:tcPr>
            <w:tcW w:w="284" w:type="dxa"/>
          </w:tcPr>
          <w:p w14:paraId="654612CC" w14:textId="77777777" w:rsidR="00A32FD5" w:rsidRPr="00552225" w:rsidRDefault="00A32FD5" w:rsidP="005C153F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2948" w:type="dxa"/>
            <w:shd w:val="clear" w:color="auto" w:fill="F1D8D7"/>
          </w:tcPr>
          <w:p w14:paraId="4C4BF87F" w14:textId="329AC5E5" w:rsidR="00A32FD5" w:rsidRPr="00552225" w:rsidRDefault="00552225" w:rsidP="005C153F">
            <w:pPr>
              <w:rPr>
                <w:b/>
                <w:color w:val="595959" w:themeColor="text1" w:themeTint="A6"/>
              </w:rPr>
            </w:pPr>
            <w:hyperlink r:id="rId17" w:anchor="Certifying_Bodies" w:history="1">
              <w:r w:rsidR="00A32FD5" w:rsidRPr="00552225">
                <w:rPr>
                  <w:rStyle w:val="Hyperlink"/>
                  <w:b/>
                  <w:color w:val="595959" w:themeColor="text1" w:themeTint="A6"/>
                </w:rPr>
                <w:t>OWASP Red Book</w:t>
              </w:r>
            </w:hyperlink>
          </w:p>
        </w:tc>
        <w:tc>
          <w:tcPr>
            <w:tcW w:w="284" w:type="dxa"/>
          </w:tcPr>
          <w:p w14:paraId="1988F88E" w14:textId="77777777" w:rsidR="00A32FD5" w:rsidRPr="00552225" w:rsidRDefault="00A32FD5" w:rsidP="005C153F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2948" w:type="dxa"/>
            <w:shd w:val="clear" w:color="auto" w:fill="CCCCCC"/>
          </w:tcPr>
          <w:p w14:paraId="36B41FF3" w14:textId="5BF3870F" w:rsidR="00A32FD5" w:rsidRPr="00552225" w:rsidRDefault="00552225" w:rsidP="005C153F">
            <w:pPr>
              <w:rPr>
                <w:b/>
                <w:color w:val="595959" w:themeColor="text1" w:themeTint="A6"/>
              </w:rPr>
            </w:pPr>
            <w:hyperlink r:id="rId18" w:anchor="Development_Organizations" w:history="1">
              <w:r w:rsidR="00A32FD5" w:rsidRPr="00552225">
                <w:rPr>
                  <w:rStyle w:val="Hyperlink"/>
                  <w:b/>
                  <w:color w:val="595959" w:themeColor="text1" w:themeTint="A6"/>
                </w:rPr>
                <w:t>OWASP Gray Book</w:t>
              </w:r>
            </w:hyperlink>
          </w:p>
        </w:tc>
      </w:tr>
      <w:tr w:rsidR="00A32FD5" w14:paraId="6F1FDC7D" w14:textId="77777777" w:rsidTr="005D7CED">
        <w:tc>
          <w:tcPr>
            <w:tcW w:w="2948" w:type="dxa"/>
            <w:shd w:val="clear" w:color="auto" w:fill="ECDCFD"/>
          </w:tcPr>
          <w:p w14:paraId="5B8979A1" w14:textId="0ED6A7F3" w:rsidR="00A32FD5" w:rsidRDefault="00A32FD5" w:rsidP="005C153F">
            <w:r w:rsidRPr="00A32FD5">
              <w:t>The OWASP Application Security Code of Conduct for Trade Organizations</w:t>
            </w:r>
          </w:p>
        </w:tc>
        <w:tc>
          <w:tcPr>
            <w:tcW w:w="284" w:type="dxa"/>
          </w:tcPr>
          <w:p w14:paraId="440BFDCA" w14:textId="77777777" w:rsidR="00A32FD5" w:rsidRDefault="00A32FD5" w:rsidP="005C153F"/>
        </w:tc>
        <w:tc>
          <w:tcPr>
            <w:tcW w:w="2948" w:type="dxa"/>
            <w:shd w:val="clear" w:color="auto" w:fill="F1D8D7"/>
          </w:tcPr>
          <w:p w14:paraId="1B14023B" w14:textId="0F943754" w:rsidR="00A32FD5" w:rsidRDefault="00A32FD5" w:rsidP="005C153F">
            <w:r w:rsidRPr="00A32FD5">
              <w:t>The OWASP Application Security Code of Conduct for Certifying Bodies</w:t>
            </w:r>
          </w:p>
        </w:tc>
        <w:tc>
          <w:tcPr>
            <w:tcW w:w="284" w:type="dxa"/>
          </w:tcPr>
          <w:p w14:paraId="69A64EB9" w14:textId="77777777" w:rsidR="00A32FD5" w:rsidRDefault="00A32FD5" w:rsidP="005C153F"/>
        </w:tc>
        <w:tc>
          <w:tcPr>
            <w:tcW w:w="2948" w:type="dxa"/>
            <w:shd w:val="clear" w:color="auto" w:fill="CCCCCC"/>
          </w:tcPr>
          <w:p w14:paraId="2C26FF60" w14:textId="15EC92F8" w:rsidR="00A32FD5" w:rsidRDefault="00A32FD5" w:rsidP="005C153F">
            <w:r w:rsidRPr="00A32FD5">
              <w:t>The OWASP Application Security Code of Conduct for Development Organizations</w:t>
            </w:r>
          </w:p>
        </w:tc>
      </w:tr>
    </w:tbl>
    <w:p w14:paraId="3AFDE7BB" w14:textId="24346B72" w:rsidR="005C153F" w:rsidRDefault="005C153F" w:rsidP="005C153F">
      <w:pPr>
        <w:pStyle w:val="Heading2"/>
      </w:pPr>
      <w:r>
        <w:t>Compliance</w:t>
      </w:r>
    </w:p>
    <w:p w14:paraId="64FF928D" w14:textId="172D7D07" w:rsidR="00154EE1" w:rsidRPr="00154EE1" w:rsidRDefault="005C153F" w:rsidP="00154EE1">
      <w:r>
        <w:t>There is no formal compliance methodology or register. Organizations</w:t>
      </w:r>
      <w:r w:rsidR="00154EE1" w:rsidRPr="00154EE1">
        <w:t xml:space="preserve"> wishing to announce their compliance with this Code of Conduct should read the associated information on statements of compliance:</w:t>
      </w:r>
    </w:p>
    <w:p w14:paraId="0D22E4BF" w14:textId="70A348DA" w:rsidR="00AA49A6" w:rsidRPr="00154EE1" w:rsidRDefault="00A32FD5" w:rsidP="00154EE1">
      <w:hyperlink r:id="rId19" w:history="1">
        <w:r w:rsidR="00154EE1" w:rsidRPr="00154EE1">
          <w:rPr>
            <w:color w:val="0000FF" w:themeColor="hyperlink"/>
            <w:u w:val="single"/>
          </w:rPr>
          <w:t>https://www.owasp.org/index.php/OWASP_Codes_of_Conduct#compliance</w:t>
        </w:r>
      </w:hyperlink>
    </w:p>
    <w:p w14:paraId="00667A8F" w14:textId="76787871" w:rsidR="000C2536" w:rsidRDefault="000C2536" w:rsidP="000C2536">
      <w:pPr>
        <w:pStyle w:val="Heading2"/>
      </w:pPr>
      <w:r>
        <w:t>Contributors</w:t>
      </w:r>
    </w:p>
    <w:p w14:paraId="1514AC5E" w14:textId="34BFCC7D" w:rsidR="00E21776" w:rsidRDefault="00FD4B3F" w:rsidP="00625452">
      <w:pPr>
        <w:pStyle w:val="Rationale"/>
        <w:ind w:left="0"/>
        <w:rPr>
          <w:i w:val="0"/>
        </w:rPr>
      </w:pPr>
      <w:r w:rsidRPr="00FD4B3F">
        <w:rPr>
          <w:i w:val="0"/>
        </w:rPr>
        <w:t xml:space="preserve">Special thanks to </w:t>
      </w:r>
      <w:r w:rsidR="000C2536">
        <w:rPr>
          <w:i w:val="0"/>
        </w:rPr>
        <w:t>th</w:t>
      </w:r>
      <w:r w:rsidR="004A3411">
        <w:rPr>
          <w:i w:val="0"/>
        </w:rPr>
        <w:t>e volunteers named i</w:t>
      </w:r>
      <w:r w:rsidR="000C2536">
        <w:rPr>
          <w:i w:val="0"/>
        </w:rPr>
        <w:t>n each Code of Conduct, as well as</w:t>
      </w:r>
      <w:r w:rsidRPr="00FD4B3F">
        <w:rPr>
          <w:i w:val="0"/>
        </w:rPr>
        <w:t xml:space="preserve"> all the participants in t</w:t>
      </w:r>
      <w:r w:rsidR="00FC6C6A">
        <w:rPr>
          <w:i w:val="0"/>
        </w:rPr>
        <w:t>he working sessions on Outreach to Educational In</w:t>
      </w:r>
      <w:r w:rsidR="00C46CDE">
        <w:rPr>
          <w:i w:val="0"/>
        </w:rPr>
        <w:t>stitu</w:t>
      </w:r>
      <w:r w:rsidR="000C2536">
        <w:rPr>
          <w:i w:val="0"/>
        </w:rPr>
        <w:t>tions</w:t>
      </w:r>
      <w:r w:rsidR="00C46CDE">
        <w:rPr>
          <w:i w:val="0"/>
        </w:rPr>
        <w:t xml:space="preserve"> and Minimal AppSec P</w:t>
      </w:r>
      <w:r w:rsidR="00FC6C6A">
        <w:rPr>
          <w:i w:val="0"/>
        </w:rPr>
        <w:t xml:space="preserve">rogram for Universities, Governments and Standards Bodies </w:t>
      </w:r>
      <w:r w:rsidR="000C2536">
        <w:rPr>
          <w:i w:val="0"/>
        </w:rPr>
        <w:t>at OWASP’s 2011 Summit,</w:t>
      </w:r>
      <w:r w:rsidRPr="00FD4B3F">
        <w:rPr>
          <w:i w:val="0"/>
        </w:rPr>
        <w:t xml:space="preserve"> for their idea</w:t>
      </w:r>
      <w:bookmarkStart w:id="0" w:name="_GoBack"/>
      <w:bookmarkEnd w:id="0"/>
      <w:r w:rsidRPr="00FD4B3F">
        <w:rPr>
          <w:i w:val="0"/>
        </w:rPr>
        <w:t xml:space="preserve">s </w:t>
      </w:r>
      <w:r w:rsidR="000C2536">
        <w:rPr>
          <w:i w:val="0"/>
        </w:rPr>
        <w:t>and contributions to the Codes and this project</w:t>
      </w:r>
      <w:r w:rsidRPr="00FD4B3F">
        <w:rPr>
          <w:i w:val="0"/>
        </w:rPr>
        <w:t>.</w:t>
      </w:r>
      <w:r w:rsidR="000C2536">
        <w:rPr>
          <w:i w:val="0"/>
        </w:rPr>
        <w:t xml:space="preserve"> To become involved, please join the mailing list:</w:t>
      </w:r>
    </w:p>
    <w:p w14:paraId="13FDF5EF" w14:textId="3B7AEF04" w:rsidR="00D831C0" w:rsidRPr="00C475EB" w:rsidRDefault="000C2536" w:rsidP="00625452">
      <w:pPr>
        <w:pStyle w:val="Rationale"/>
        <w:ind w:left="0"/>
        <w:rPr>
          <w:i w:val="0"/>
        </w:rPr>
      </w:pPr>
      <w:hyperlink r:id="rId20" w:history="1">
        <w:r w:rsidRPr="000C2536">
          <w:rPr>
            <w:rStyle w:val="Hyperlink"/>
            <w:i w:val="0"/>
          </w:rPr>
          <w:t>https://lists.owasp.org/mailman/listinfo/owasp-codes-of-conduct</w:t>
        </w:r>
      </w:hyperlink>
    </w:p>
    <w:sectPr w:rsidR="00D831C0" w:rsidRPr="00C475EB">
      <w:headerReference w:type="default" r:id="rId21"/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BD8027" w14:textId="77777777" w:rsidR="00D64C13" w:rsidRDefault="00D64C13" w:rsidP="00452089">
      <w:pPr>
        <w:spacing w:before="0" w:after="0"/>
      </w:pPr>
      <w:r>
        <w:separator/>
      </w:r>
    </w:p>
  </w:endnote>
  <w:endnote w:type="continuationSeparator" w:id="0">
    <w:p w14:paraId="2C45EE2A" w14:textId="77777777" w:rsidR="00D64C13" w:rsidRDefault="00D64C13" w:rsidP="0045208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524185" w14:textId="77777777" w:rsidR="00D64C13" w:rsidRDefault="00D64C13" w:rsidP="00E569F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9103" w14:textId="77777777" w:rsidR="00D64C13" w:rsidRDefault="00D64C13" w:rsidP="00E569F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8581E" w14:textId="77777777" w:rsidR="00D64C13" w:rsidRPr="000F1EBA" w:rsidRDefault="00D64C13" w:rsidP="000F1EBA">
    <w:pPr>
      <w:pStyle w:val="Footer"/>
      <w:framePr w:wrap="around" w:vAnchor="text" w:hAnchor="margin" w:xAlign="center" w:y="1"/>
      <w:rPr>
        <w:rStyle w:val="PageNumber"/>
        <w:color w:val="808080" w:themeColor="background1" w:themeShade="80"/>
      </w:rPr>
    </w:pPr>
    <w:r w:rsidRPr="000F1EBA">
      <w:rPr>
        <w:rStyle w:val="PageNumber"/>
        <w:color w:val="808080" w:themeColor="background1" w:themeShade="80"/>
      </w:rPr>
      <w:fldChar w:fldCharType="begin"/>
    </w:r>
    <w:r w:rsidRPr="000F1EBA">
      <w:rPr>
        <w:rStyle w:val="PageNumber"/>
        <w:color w:val="808080" w:themeColor="background1" w:themeShade="80"/>
      </w:rPr>
      <w:instrText xml:space="preserve">PAGE  </w:instrText>
    </w:r>
    <w:r w:rsidRPr="000F1EBA">
      <w:rPr>
        <w:rStyle w:val="PageNumber"/>
        <w:color w:val="808080" w:themeColor="background1" w:themeShade="80"/>
      </w:rPr>
      <w:fldChar w:fldCharType="separate"/>
    </w:r>
    <w:r w:rsidR="004A3411">
      <w:rPr>
        <w:rStyle w:val="PageNumber"/>
        <w:noProof/>
        <w:color w:val="808080" w:themeColor="background1" w:themeShade="80"/>
      </w:rPr>
      <w:t>2</w:t>
    </w:r>
    <w:r w:rsidRPr="000F1EBA">
      <w:rPr>
        <w:rStyle w:val="PageNumber"/>
        <w:color w:val="808080" w:themeColor="background1" w:themeShade="80"/>
      </w:rPr>
      <w:fldChar w:fldCharType="end"/>
    </w:r>
  </w:p>
  <w:p w14:paraId="41D303D0" w14:textId="77777777" w:rsidR="00D64C13" w:rsidRDefault="00D64C13" w:rsidP="00E569F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6DF9BC" w14:textId="77777777" w:rsidR="00D64C13" w:rsidRDefault="00D64C13" w:rsidP="00452089">
      <w:pPr>
        <w:spacing w:before="0" w:after="0"/>
      </w:pPr>
      <w:r>
        <w:separator/>
      </w:r>
    </w:p>
  </w:footnote>
  <w:footnote w:type="continuationSeparator" w:id="0">
    <w:p w14:paraId="1D4FBC49" w14:textId="77777777" w:rsidR="00D64C13" w:rsidRDefault="00D64C13" w:rsidP="0045208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2FC9B4" w14:textId="3169EDF1" w:rsidR="00D64C13" w:rsidRPr="000F1EBA" w:rsidRDefault="00D64C13" w:rsidP="000F1EBA">
    <w:pPr>
      <w:pStyle w:val="Header"/>
      <w:jc w:val="center"/>
      <w:rPr>
        <w:color w:val="808080" w:themeColor="background1" w:themeShade="80"/>
      </w:rPr>
    </w:pPr>
    <w:r w:rsidRPr="000F1EBA">
      <w:rPr>
        <w:color w:val="808080" w:themeColor="background1" w:themeShade="80"/>
      </w:rPr>
      <w:t>The OWASP Applic</w:t>
    </w:r>
    <w:r>
      <w:rPr>
        <w:color w:val="808080" w:themeColor="background1" w:themeShade="80"/>
      </w:rPr>
      <w:t>ation Security Codes of Conduct Project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55B8A"/>
    <w:multiLevelType w:val="hybridMultilevel"/>
    <w:tmpl w:val="AC4EC7DC"/>
    <w:lvl w:ilvl="0" w:tplc="ACBAF3A4">
      <w:start w:val="1"/>
      <w:numFmt w:val="decimal"/>
      <w:pStyle w:val="Requiremen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90B05"/>
    <w:multiLevelType w:val="multilevel"/>
    <w:tmpl w:val="50C2B3EA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1004F4"/>
    <w:multiLevelType w:val="multilevel"/>
    <w:tmpl w:val="BC70C6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9C01D2"/>
    <w:multiLevelType w:val="hybridMultilevel"/>
    <w:tmpl w:val="F9A6F3F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331240"/>
    <w:multiLevelType w:val="multilevel"/>
    <w:tmpl w:val="C2441E7A"/>
    <w:lvl w:ilvl="0">
      <w:start w:val="1"/>
      <w:numFmt w:val="decimal"/>
      <w:lvlText w:val="C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120162"/>
    <w:multiLevelType w:val="hybridMultilevel"/>
    <w:tmpl w:val="50C2B3E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BB7F16"/>
    <w:multiLevelType w:val="hybridMultilevel"/>
    <w:tmpl w:val="72BADC90"/>
    <w:lvl w:ilvl="0" w:tplc="162858F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600F6C"/>
    <w:multiLevelType w:val="multilevel"/>
    <w:tmpl w:val="DCCE65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80592D"/>
    <w:multiLevelType w:val="hybridMultilevel"/>
    <w:tmpl w:val="DCCE6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0"/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8"/>
  </w:num>
  <w:num w:numId="7">
    <w:abstractNumId w:val="7"/>
  </w:num>
  <w:num w:numId="8">
    <w:abstractNumId w:val="3"/>
  </w:num>
  <w:num w:numId="9">
    <w:abstractNumId w:val="2"/>
  </w:num>
  <w:num w:numId="10">
    <w:abstractNumId w:val="5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CAD"/>
    <w:rsid w:val="00081E3C"/>
    <w:rsid w:val="000C2536"/>
    <w:rsid w:val="000D0D25"/>
    <w:rsid w:val="000E523C"/>
    <w:rsid w:val="000F1D5B"/>
    <w:rsid w:val="000F1EBA"/>
    <w:rsid w:val="000F5EDF"/>
    <w:rsid w:val="000F6D2E"/>
    <w:rsid w:val="0010219A"/>
    <w:rsid w:val="00153E37"/>
    <w:rsid w:val="00154EE1"/>
    <w:rsid w:val="001C4882"/>
    <w:rsid w:val="001D6DF1"/>
    <w:rsid w:val="002001C7"/>
    <w:rsid w:val="002016A3"/>
    <w:rsid w:val="00225A5A"/>
    <w:rsid w:val="002273C3"/>
    <w:rsid w:val="00227BCC"/>
    <w:rsid w:val="00240050"/>
    <w:rsid w:val="00257B4C"/>
    <w:rsid w:val="00263DF8"/>
    <w:rsid w:val="0026639E"/>
    <w:rsid w:val="002844AE"/>
    <w:rsid w:val="002D55B1"/>
    <w:rsid w:val="002F276E"/>
    <w:rsid w:val="00303D73"/>
    <w:rsid w:val="00314997"/>
    <w:rsid w:val="0032596F"/>
    <w:rsid w:val="0035514C"/>
    <w:rsid w:val="003E4947"/>
    <w:rsid w:val="003F73C3"/>
    <w:rsid w:val="004160C6"/>
    <w:rsid w:val="0042226C"/>
    <w:rsid w:val="00452089"/>
    <w:rsid w:val="00471E96"/>
    <w:rsid w:val="004A3411"/>
    <w:rsid w:val="004C2376"/>
    <w:rsid w:val="004E0FA7"/>
    <w:rsid w:val="004F7E1D"/>
    <w:rsid w:val="0050437D"/>
    <w:rsid w:val="00510049"/>
    <w:rsid w:val="00515222"/>
    <w:rsid w:val="005179A3"/>
    <w:rsid w:val="00552225"/>
    <w:rsid w:val="00553CE4"/>
    <w:rsid w:val="00581843"/>
    <w:rsid w:val="005A6792"/>
    <w:rsid w:val="005B1622"/>
    <w:rsid w:val="005C0580"/>
    <w:rsid w:val="005C153F"/>
    <w:rsid w:val="005D7CED"/>
    <w:rsid w:val="005E2CAD"/>
    <w:rsid w:val="005F2FF9"/>
    <w:rsid w:val="005F73BA"/>
    <w:rsid w:val="00625452"/>
    <w:rsid w:val="00641B23"/>
    <w:rsid w:val="0064622A"/>
    <w:rsid w:val="00651E22"/>
    <w:rsid w:val="00710886"/>
    <w:rsid w:val="00741959"/>
    <w:rsid w:val="007948D8"/>
    <w:rsid w:val="0079549F"/>
    <w:rsid w:val="007C5630"/>
    <w:rsid w:val="00801B1F"/>
    <w:rsid w:val="00812B57"/>
    <w:rsid w:val="00816DC0"/>
    <w:rsid w:val="00832D02"/>
    <w:rsid w:val="00873831"/>
    <w:rsid w:val="008A1603"/>
    <w:rsid w:val="008B553B"/>
    <w:rsid w:val="008D54D2"/>
    <w:rsid w:val="008F1B6D"/>
    <w:rsid w:val="008F1E75"/>
    <w:rsid w:val="00905CC5"/>
    <w:rsid w:val="009508A6"/>
    <w:rsid w:val="00951C61"/>
    <w:rsid w:val="00957B1E"/>
    <w:rsid w:val="00966CD5"/>
    <w:rsid w:val="009941F4"/>
    <w:rsid w:val="009C62F9"/>
    <w:rsid w:val="00A16AFD"/>
    <w:rsid w:val="00A32FD5"/>
    <w:rsid w:val="00A36B7D"/>
    <w:rsid w:val="00A4198A"/>
    <w:rsid w:val="00A5422D"/>
    <w:rsid w:val="00A627F4"/>
    <w:rsid w:val="00A778F1"/>
    <w:rsid w:val="00A92EBE"/>
    <w:rsid w:val="00A97383"/>
    <w:rsid w:val="00AA49A6"/>
    <w:rsid w:val="00AC19CF"/>
    <w:rsid w:val="00AC6AE5"/>
    <w:rsid w:val="00AD06C5"/>
    <w:rsid w:val="00AD3E8C"/>
    <w:rsid w:val="00B11B44"/>
    <w:rsid w:val="00B20FEB"/>
    <w:rsid w:val="00B52454"/>
    <w:rsid w:val="00B64597"/>
    <w:rsid w:val="00BC5E32"/>
    <w:rsid w:val="00BE43B9"/>
    <w:rsid w:val="00C46CDE"/>
    <w:rsid w:val="00C475EB"/>
    <w:rsid w:val="00C712D0"/>
    <w:rsid w:val="00CC50EA"/>
    <w:rsid w:val="00CD32F9"/>
    <w:rsid w:val="00D0246F"/>
    <w:rsid w:val="00D04F35"/>
    <w:rsid w:val="00D138F1"/>
    <w:rsid w:val="00D25D8A"/>
    <w:rsid w:val="00D64C13"/>
    <w:rsid w:val="00D72CAB"/>
    <w:rsid w:val="00D831C0"/>
    <w:rsid w:val="00D96DF3"/>
    <w:rsid w:val="00DB428D"/>
    <w:rsid w:val="00E074B3"/>
    <w:rsid w:val="00E17A93"/>
    <w:rsid w:val="00E21776"/>
    <w:rsid w:val="00E569FC"/>
    <w:rsid w:val="00E67BA6"/>
    <w:rsid w:val="00EA624A"/>
    <w:rsid w:val="00EC77CE"/>
    <w:rsid w:val="00ED3387"/>
    <w:rsid w:val="00EE3124"/>
    <w:rsid w:val="00EF2BC6"/>
    <w:rsid w:val="00F07B99"/>
    <w:rsid w:val="00F15824"/>
    <w:rsid w:val="00F224C5"/>
    <w:rsid w:val="00F36B3F"/>
    <w:rsid w:val="00F37737"/>
    <w:rsid w:val="00F41608"/>
    <w:rsid w:val="00FA0706"/>
    <w:rsid w:val="00FC6C6A"/>
    <w:rsid w:val="00FD4B3F"/>
    <w:rsid w:val="00FD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ru v:ext="edit" colors="#9fc"/>
    </o:shapedefaults>
    <o:shapelayout v:ext="edit">
      <o:idmap v:ext="edit" data="1"/>
    </o:shapelayout>
  </w:shapeDefaults>
  <w:decimalSymbol w:val="."/>
  <w:listSeparator w:val=","/>
  <w14:docId w14:val="2B5999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376"/>
    <w:pPr>
      <w:spacing w:before="120"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5E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2F9"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E2CAD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0F5E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32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Requirement">
    <w:name w:val="Requirement"/>
    <w:basedOn w:val="ListParagraph"/>
    <w:next w:val="Rationale"/>
    <w:link w:val="RequirementChar"/>
    <w:qFormat/>
    <w:rsid w:val="00812B57"/>
    <w:pPr>
      <w:keepNext/>
      <w:keepLines/>
      <w:numPr>
        <w:numId w:val="4"/>
      </w:numPr>
      <w:spacing w:before="240"/>
    </w:pPr>
    <w:rPr>
      <w:b/>
      <w:sz w:val="24"/>
    </w:rPr>
  </w:style>
  <w:style w:type="paragraph" w:customStyle="1" w:styleId="Rationale">
    <w:name w:val="Rationale"/>
    <w:basedOn w:val="Normal"/>
    <w:link w:val="RationaleChar"/>
    <w:qFormat/>
    <w:rsid w:val="00FD4BFA"/>
    <w:pPr>
      <w:ind w:left="630"/>
    </w:pPr>
    <w:rPr>
      <w:i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4622A"/>
  </w:style>
  <w:style w:type="character" w:customStyle="1" w:styleId="RequirementChar">
    <w:name w:val="Requirement Char"/>
    <w:basedOn w:val="ListParagraphChar"/>
    <w:link w:val="Requirement"/>
    <w:rsid w:val="00812B57"/>
    <w:rPr>
      <w:b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2F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RationaleChar">
    <w:name w:val="Rationale Char"/>
    <w:basedOn w:val="DefaultParagraphFont"/>
    <w:link w:val="Rationale"/>
    <w:rsid w:val="00FD4BFA"/>
    <w:rPr>
      <w:i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2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2089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52089"/>
  </w:style>
  <w:style w:type="paragraph" w:styleId="Footer">
    <w:name w:val="footer"/>
    <w:basedOn w:val="Normal"/>
    <w:link w:val="FooterChar"/>
    <w:uiPriority w:val="99"/>
    <w:unhideWhenUsed/>
    <w:rsid w:val="00452089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52089"/>
  </w:style>
  <w:style w:type="character" w:styleId="CommentReference">
    <w:name w:val="annotation reference"/>
    <w:basedOn w:val="DefaultParagraphFont"/>
    <w:uiPriority w:val="99"/>
    <w:semiHidden/>
    <w:unhideWhenUsed/>
    <w:rsid w:val="000F1D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1D5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1D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1D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1D5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50EA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E569FC"/>
  </w:style>
  <w:style w:type="table" w:styleId="TableGrid">
    <w:name w:val="Table Grid"/>
    <w:basedOn w:val="TableNormal"/>
    <w:uiPriority w:val="59"/>
    <w:rsid w:val="00A32F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376"/>
    <w:pPr>
      <w:spacing w:before="120"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5E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2F9"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E2CAD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0F5E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32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Requirement">
    <w:name w:val="Requirement"/>
    <w:basedOn w:val="ListParagraph"/>
    <w:next w:val="Rationale"/>
    <w:link w:val="RequirementChar"/>
    <w:qFormat/>
    <w:rsid w:val="00812B57"/>
    <w:pPr>
      <w:keepNext/>
      <w:keepLines/>
      <w:numPr>
        <w:numId w:val="4"/>
      </w:numPr>
      <w:spacing w:before="240"/>
    </w:pPr>
    <w:rPr>
      <w:b/>
      <w:sz w:val="24"/>
    </w:rPr>
  </w:style>
  <w:style w:type="paragraph" w:customStyle="1" w:styleId="Rationale">
    <w:name w:val="Rationale"/>
    <w:basedOn w:val="Normal"/>
    <w:link w:val="RationaleChar"/>
    <w:qFormat/>
    <w:rsid w:val="00FD4BFA"/>
    <w:pPr>
      <w:ind w:left="630"/>
    </w:pPr>
    <w:rPr>
      <w:i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4622A"/>
  </w:style>
  <w:style w:type="character" w:customStyle="1" w:styleId="RequirementChar">
    <w:name w:val="Requirement Char"/>
    <w:basedOn w:val="ListParagraphChar"/>
    <w:link w:val="Requirement"/>
    <w:rsid w:val="00812B57"/>
    <w:rPr>
      <w:b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2F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RationaleChar">
    <w:name w:val="Rationale Char"/>
    <w:basedOn w:val="DefaultParagraphFont"/>
    <w:link w:val="Rationale"/>
    <w:rsid w:val="00FD4BFA"/>
    <w:rPr>
      <w:i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2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2089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52089"/>
  </w:style>
  <w:style w:type="paragraph" w:styleId="Footer">
    <w:name w:val="footer"/>
    <w:basedOn w:val="Normal"/>
    <w:link w:val="FooterChar"/>
    <w:uiPriority w:val="99"/>
    <w:unhideWhenUsed/>
    <w:rsid w:val="00452089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52089"/>
  </w:style>
  <w:style w:type="character" w:styleId="CommentReference">
    <w:name w:val="annotation reference"/>
    <w:basedOn w:val="DefaultParagraphFont"/>
    <w:uiPriority w:val="99"/>
    <w:semiHidden/>
    <w:unhideWhenUsed/>
    <w:rsid w:val="000F1D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1D5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1D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1D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1D5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50EA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E569FC"/>
  </w:style>
  <w:style w:type="table" w:styleId="TableGrid">
    <w:name w:val="Table Grid"/>
    <w:basedOn w:val="TableNormal"/>
    <w:uiPriority w:val="59"/>
    <w:rsid w:val="00A32F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0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hyperlink" Target="https://lists.owasp.org/mailman/listinfo/owasp-codes-of-conduct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://creativecommons.org/licenses/by-sa/3.0/" TargetMode="External"/><Relationship Id="rId11" Type="http://schemas.openxmlformats.org/officeDocument/2006/relationships/hyperlink" Target="https://www.owasp.org/index.php/About_The_Open_Web_Application_Security_Project" TargetMode="External"/><Relationship Id="rId12" Type="http://schemas.openxmlformats.org/officeDocument/2006/relationships/hyperlink" Target="https://www.owasp.org/index.php/OWASP_Codes_of_Conduct" TargetMode="External"/><Relationship Id="rId13" Type="http://schemas.openxmlformats.org/officeDocument/2006/relationships/hyperlink" Target="https://www.owasp.org/index.php/OWASP_Codes_of_Conduct" TargetMode="External"/><Relationship Id="rId14" Type="http://schemas.openxmlformats.org/officeDocument/2006/relationships/hyperlink" Target="https://www.owasp.org/index.php/OWASP_Codes_of_Conduct" TargetMode="External"/><Relationship Id="rId15" Type="http://schemas.openxmlformats.org/officeDocument/2006/relationships/hyperlink" Target="https://www.owasp.org/index.php/OWASP_Codes_of_Conduct" TargetMode="External"/><Relationship Id="rId16" Type="http://schemas.openxmlformats.org/officeDocument/2006/relationships/hyperlink" Target="https://www.owasp.org/index.php/OWASP_Codes_of_Conduct" TargetMode="External"/><Relationship Id="rId17" Type="http://schemas.openxmlformats.org/officeDocument/2006/relationships/hyperlink" Target="https://www.owasp.org/index.php/OWASP_Codes_of_Conduct" TargetMode="External"/><Relationship Id="rId18" Type="http://schemas.openxmlformats.org/officeDocument/2006/relationships/hyperlink" Target="https://www.owasp.org/index.php/OWASP_Codes_of_Conduct" TargetMode="External"/><Relationship Id="rId19" Type="http://schemas.openxmlformats.org/officeDocument/2006/relationships/hyperlink" Target="https://www.owasp.org/index.php/OWASP_Codes_of_Conduct%23compliance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92696-0064-834D-9A4F-D9270D38C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517</Words>
  <Characters>3092</Characters>
  <Application>Microsoft Macintosh Word</Application>
  <DocSecurity>0</DocSecurity>
  <Lines>70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OWASP Application Security Code of Conduct for Government Bodies</vt:lpstr>
    </vt:vector>
  </TitlesOfParts>
  <Manager/>
  <Company/>
  <LinksUpToDate>false</LinksUpToDate>
  <CharactersWithSpaces>3576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OWASP Application Security Codes of Conduct Project</dc:title>
  <dc:subject>Application Security</dc:subject>
  <dc:creator>OWASP Foundation</dc:creator>
  <cp:keywords>appsec,application,security,government,code,information,assurance</cp:keywords>
  <dc:description/>
  <cp:lastModifiedBy>Colin Watson</cp:lastModifiedBy>
  <cp:revision>34</cp:revision>
  <dcterms:created xsi:type="dcterms:W3CDTF">2011-07-20T07:55:00Z</dcterms:created>
  <dcterms:modified xsi:type="dcterms:W3CDTF">2012-03-10T14:30:00Z</dcterms:modified>
  <cp:category/>
</cp:coreProperties>
</file>