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42299" w14:textId="77777777" w:rsidR="00452089" w:rsidRDefault="00303D73" w:rsidP="00625452">
      <w:pPr>
        <w:spacing w:after="200" w:line="276" w:lineRule="auto"/>
        <w:rPr>
          <w:sz w:val="24"/>
        </w:rPr>
      </w:pPr>
      <w:r>
        <w:rPr>
          <w:noProof/>
        </w:rPr>
        <mc:AlternateContent>
          <mc:Choice Requires="wps">
            <w:drawing>
              <wp:anchor distT="0" distB="0" distL="114300" distR="114300" simplePos="0" relativeHeight="251661312" behindDoc="1" locked="0" layoutInCell="1" allowOverlap="1" wp14:anchorId="10D08BE6" wp14:editId="139B6F7F">
                <wp:simplePos x="0" y="0"/>
                <wp:positionH relativeFrom="column">
                  <wp:posOffset>-914400</wp:posOffset>
                </wp:positionH>
                <wp:positionV relativeFrom="paragraph">
                  <wp:posOffset>-914400</wp:posOffset>
                </wp:positionV>
                <wp:extent cx="7800340" cy="10109200"/>
                <wp:effectExtent l="0" t="0" r="0" b="0"/>
                <wp:wrapNone/>
                <wp:docPr id="5" name="Rectangle 5"/>
                <wp:cNvGraphicFramePr/>
                <a:graphic xmlns:a="http://schemas.openxmlformats.org/drawingml/2006/main">
                  <a:graphicData uri="http://schemas.microsoft.com/office/word/2010/wordprocessingShape">
                    <wps:wsp>
                      <wps:cNvSpPr/>
                      <wps:spPr>
                        <a:xfrm>
                          <a:off x="0" y="0"/>
                          <a:ext cx="7800340" cy="10109200"/>
                        </a:xfrm>
                        <a:prstGeom prst="rect">
                          <a:avLst/>
                        </a:prstGeom>
                        <a:solidFill>
                          <a:schemeClr val="accent2">
                            <a:lumMod val="60000"/>
                            <a:lumOff val="40000"/>
                            <a:alpha val="44706"/>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71.95pt;margin-top:-71.95pt;width:614.2pt;height:79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" fillcolor="#d99594 [1941]" stroked="f" strokeweight="2pt">
                <v:fill opacity="29298f"/>
              </v:rect>
            </w:pict>
          </mc:Fallback>
        </mc:AlternateContent>
      </w:r>
    </w:p>
    <w:p w14:paraId="57104A7B" w14:textId="77777777" w:rsidR="00452089" w:rsidRDefault="00471E96" w:rsidP="00EF2BC6">
      <w:pPr>
        <w:jc w:val="center"/>
        <w:rPr>
          <w:sz w:val="24"/>
        </w:rPr>
      </w:pPr>
      <w:r w:rsidRPr="00CD32F9">
        <w:rPr>
          <w:noProof/>
        </w:rPr>
        <w:drawing>
          <wp:inline distT="0" distB="0" distL="0" distR="0" wp14:anchorId="599E75B5" wp14:editId="2F168FF3">
            <wp:extent cx="1785046" cy="1785046"/>
            <wp:effectExtent l="0" t="0" r="5715" b="5715"/>
            <wp:docPr id="3" name="Picture 2" descr="http://www.acunetix.com/blog/wp-content/uploads/2010/04/owas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acunetix.com/blog/wp-content/uploads/2010/04/owasp_logo.jpg"/>
                    <pic:cNvPicPr>
                      <a:picLocks noChangeAspect="1" noChangeArrowheads="1"/>
                    </pic:cNvPicPr>
                  </pic:nvPicPr>
                  <pic:blipFill>
                    <a:blip r:embed="rId9" cstate="print"/>
                    <a:srcRect/>
                    <a:stretch>
                      <a:fillRect/>
                    </a:stretch>
                  </pic:blipFill>
                  <pic:spPr bwMode="auto">
                    <a:xfrm>
                      <a:off x="0" y="0"/>
                      <a:ext cx="1784597" cy="1784597"/>
                    </a:xfrm>
                    <a:prstGeom prst="ellipse">
                      <a:avLst/>
                    </a:prstGeom>
                    <a:ln>
                      <a:noFill/>
                    </a:ln>
                    <a:effectLst>
                      <a:softEdge rad="112500"/>
                    </a:effectLst>
                  </pic:spPr>
                </pic:pic>
              </a:graphicData>
            </a:graphic>
          </wp:inline>
        </w:drawing>
      </w:r>
    </w:p>
    <w:p w14:paraId="690B6248" w14:textId="77777777" w:rsidR="00303D73" w:rsidRDefault="00303D73" w:rsidP="00471E96"/>
    <w:p w14:paraId="757BA357" w14:textId="060A3956" w:rsidR="00452089" w:rsidRDefault="00452089" w:rsidP="00E569FC">
      <w:pPr>
        <w:pStyle w:val="Heading1"/>
        <w:jc w:val="center"/>
        <w:rPr>
          <w:sz w:val="72"/>
          <w:szCs w:val="72"/>
        </w:rPr>
      </w:pPr>
      <w:r w:rsidRPr="00452089">
        <w:rPr>
          <w:sz w:val="72"/>
          <w:szCs w:val="72"/>
        </w:rPr>
        <w:t xml:space="preserve">The OWASP </w:t>
      </w:r>
      <w:r w:rsidR="00EF2BC6">
        <w:rPr>
          <w:sz w:val="72"/>
          <w:szCs w:val="72"/>
        </w:rPr>
        <w:t>Application Security</w:t>
      </w:r>
      <w:r w:rsidRPr="00452089">
        <w:rPr>
          <w:sz w:val="72"/>
          <w:szCs w:val="72"/>
        </w:rPr>
        <w:t xml:space="preserve"> Code of Conduct</w:t>
      </w:r>
      <w:r w:rsidR="00EF2BC6">
        <w:rPr>
          <w:sz w:val="72"/>
          <w:szCs w:val="72"/>
        </w:rPr>
        <w:br/>
      </w:r>
      <w:r w:rsidR="00B64597">
        <w:rPr>
          <w:sz w:val="72"/>
          <w:szCs w:val="72"/>
        </w:rPr>
        <w:t xml:space="preserve">for </w:t>
      </w:r>
      <w:r w:rsidR="00773603">
        <w:rPr>
          <w:sz w:val="72"/>
          <w:szCs w:val="72"/>
        </w:rPr>
        <w:t>Certifying</w:t>
      </w:r>
      <w:r w:rsidRPr="00452089">
        <w:rPr>
          <w:sz w:val="72"/>
          <w:szCs w:val="72"/>
        </w:rPr>
        <w:t xml:space="preserve"> </w:t>
      </w:r>
      <w:r w:rsidR="00D72CAB">
        <w:rPr>
          <w:sz w:val="72"/>
          <w:szCs w:val="72"/>
        </w:rPr>
        <w:t>Bodies</w:t>
      </w:r>
    </w:p>
    <w:p w14:paraId="6FE03F4B" w14:textId="77777777" w:rsidR="00452089" w:rsidRPr="00452089" w:rsidRDefault="00452089" w:rsidP="00452089"/>
    <w:p w14:paraId="08E91463" w14:textId="0002D5FD" w:rsidR="00314997" w:rsidRPr="00625452" w:rsidRDefault="00452089" w:rsidP="00314997">
      <w:pPr>
        <w:pStyle w:val="Heading2"/>
        <w:jc w:val="center"/>
        <w:rPr>
          <w:sz w:val="72"/>
          <w:szCs w:val="72"/>
        </w:rPr>
      </w:pPr>
      <w:r w:rsidRPr="00452089">
        <w:rPr>
          <w:sz w:val="72"/>
          <w:szCs w:val="72"/>
        </w:rPr>
        <w:t>(The OWASP “</w:t>
      </w:r>
      <w:r w:rsidR="00773603">
        <w:rPr>
          <w:sz w:val="72"/>
          <w:szCs w:val="72"/>
        </w:rPr>
        <w:t>Red</w:t>
      </w:r>
      <w:r w:rsidRPr="00314997">
        <w:rPr>
          <w:sz w:val="72"/>
          <w:szCs w:val="72"/>
        </w:rPr>
        <w:t xml:space="preserve"> Book”)</w:t>
      </w:r>
    </w:p>
    <w:p w14:paraId="70BFE26B" w14:textId="77777777" w:rsidR="00314997" w:rsidRPr="00625452" w:rsidRDefault="00314997" w:rsidP="00625452">
      <w:pPr>
        <w:rPr>
          <w:sz w:val="72"/>
          <w:szCs w:val="72"/>
        </w:rPr>
      </w:pPr>
    </w:p>
    <w:p w14:paraId="0C5E1584" w14:textId="16759EC0" w:rsidR="00314997" w:rsidRDefault="00314997" w:rsidP="00625452">
      <w:pPr>
        <w:jc w:val="center"/>
        <w:rPr>
          <w:rFonts w:asciiTheme="majorHAnsi" w:hAnsiTheme="majorHAnsi"/>
          <w:sz w:val="36"/>
          <w:szCs w:val="36"/>
        </w:rPr>
      </w:pPr>
      <w:r w:rsidRPr="00625452">
        <w:rPr>
          <w:rFonts w:asciiTheme="majorHAnsi" w:hAnsiTheme="majorHAnsi"/>
          <w:sz w:val="36"/>
          <w:szCs w:val="36"/>
        </w:rPr>
        <w:t xml:space="preserve">Version </w:t>
      </w:r>
      <w:r w:rsidR="000F6D2E">
        <w:rPr>
          <w:rFonts w:asciiTheme="majorHAnsi" w:hAnsiTheme="majorHAnsi"/>
          <w:sz w:val="36"/>
          <w:szCs w:val="36"/>
        </w:rPr>
        <w:t>1.1</w:t>
      </w:r>
      <w:r w:rsidR="0052521F">
        <w:rPr>
          <w:rFonts w:asciiTheme="majorHAnsi" w:hAnsiTheme="majorHAnsi"/>
          <w:sz w:val="36"/>
          <w:szCs w:val="36"/>
        </w:rPr>
        <w:t>2</w:t>
      </w:r>
      <w:r w:rsidRPr="00625452">
        <w:rPr>
          <w:rFonts w:asciiTheme="majorHAnsi" w:hAnsiTheme="majorHAnsi"/>
          <w:sz w:val="36"/>
          <w:szCs w:val="36"/>
        </w:rPr>
        <w:t xml:space="preserve"> (</w:t>
      </w:r>
      <w:r w:rsidR="0052521F">
        <w:rPr>
          <w:rFonts w:asciiTheme="majorHAnsi" w:hAnsiTheme="majorHAnsi"/>
          <w:sz w:val="36"/>
          <w:szCs w:val="36"/>
        </w:rPr>
        <w:t>2</w:t>
      </w:r>
      <w:r w:rsidR="0052521F" w:rsidRPr="0052521F">
        <w:rPr>
          <w:rFonts w:asciiTheme="majorHAnsi" w:hAnsiTheme="majorHAnsi"/>
          <w:sz w:val="36"/>
          <w:szCs w:val="36"/>
          <w:vertAlign w:val="superscript"/>
        </w:rPr>
        <w:t>nd</w:t>
      </w:r>
      <w:r w:rsidR="0052521F">
        <w:rPr>
          <w:rFonts w:asciiTheme="majorHAnsi" w:hAnsiTheme="majorHAnsi"/>
          <w:sz w:val="36"/>
          <w:szCs w:val="36"/>
        </w:rPr>
        <w:t xml:space="preserve"> April 2012</w:t>
      </w:r>
      <w:r w:rsidRPr="00625452">
        <w:rPr>
          <w:rFonts w:asciiTheme="majorHAnsi" w:hAnsiTheme="majorHAnsi"/>
          <w:sz w:val="36"/>
          <w:szCs w:val="36"/>
        </w:rPr>
        <w:t>)</w:t>
      </w:r>
    </w:p>
    <w:p w14:paraId="615A5904" w14:textId="77777777" w:rsidR="00C1177A" w:rsidRPr="00C1177A" w:rsidRDefault="00C1177A" w:rsidP="00C1177A">
      <w:pPr>
        <w:jc w:val="center"/>
        <w:rPr>
          <w:sz w:val="36"/>
          <w:szCs w:val="36"/>
        </w:rPr>
      </w:pPr>
    </w:p>
    <w:p w14:paraId="6215E0DE" w14:textId="77777777" w:rsidR="00C1177A" w:rsidRPr="00C1177A" w:rsidRDefault="00C1177A" w:rsidP="00C1177A">
      <w:pPr>
        <w:jc w:val="center"/>
        <w:rPr>
          <w:sz w:val="36"/>
          <w:szCs w:val="36"/>
        </w:rPr>
      </w:pPr>
    </w:p>
    <w:p w14:paraId="7C608C7F" w14:textId="3957D7CF" w:rsidR="00C1177A" w:rsidRPr="00C1177A" w:rsidRDefault="00C1177A" w:rsidP="00C1177A">
      <w:pPr>
        <w:jc w:val="center"/>
      </w:pPr>
      <w:r w:rsidRPr="00C1177A">
        <w:t>© 2011</w:t>
      </w:r>
      <w:r w:rsidR="0052521F">
        <w:t>-2012</w:t>
      </w:r>
      <w:r w:rsidRPr="00C1177A">
        <w:t xml:space="preserve"> OWASP Foundation</w:t>
      </w:r>
    </w:p>
    <w:p w14:paraId="1EFADAE7" w14:textId="77777777" w:rsidR="00C1177A" w:rsidRPr="00C1177A" w:rsidRDefault="00C1177A" w:rsidP="00C1177A">
      <w:pPr>
        <w:jc w:val="center"/>
      </w:pPr>
    </w:p>
    <w:p w14:paraId="18AC7FA6" w14:textId="62E4400D" w:rsidR="00C1177A" w:rsidRPr="00C1177A" w:rsidRDefault="00C1177A" w:rsidP="00C1177A">
      <w:pPr>
        <w:jc w:val="center"/>
      </w:pPr>
      <w:r w:rsidRPr="00C1177A">
        <w:t xml:space="preserve">This document is released under the Creative Commons Attribution </w:t>
      </w:r>
      <w:hyperlink r:id="rId10" w:history="1">
        <w:r w:rsidRPr="00C1177A">
          <w:rPr>
            <w:rStyle w:val="Hyperlink"/>
          </w:rPr>
          <w:t>ShareAlike 3.0 license</w:t>
        </w:r>
      </w:hyperlink>
      <w:r w:rsidRPr="00C1177A">
        <w:t xml:space="preserve">. </w:t>
      </w:r>
    </w:p>
    <w:p w14:paraId="106C1923" w14:textId="1BF769F7" w:rsidR="00452089" w:rsidRDefault="00C1177A" w:rsidP="00C1177A">
      <w:pPr>
        <w:jc w:val="center"/>
        <w:rPr>
          <w:b/>
          <w:sz w:val="24"/>
        </w:rPr>
      </w:pPr>
      <w:r w:rsidRPr="00C1177A">
        <w:t>For any reuse or distribution, you must make clear to others the license terms of this work</w:t>
      </w:r>
      <w:r w:rsidR="00452089">
        <w:rPr>
          <w:b/>
          <w:sz w:val="24"/>
        </w:rPr>
        <w:br w:type="page"/>
      </w:r>
    </w:p>
    <w:p w14:paraId="240BF0D4" w14:textId="77777777" w:rsidR="00F37737" w:rsidRPr="000F5EDF" w:rsidRDefault="00F37737" w:rsidP="00F37737">
      <w:pPr>
        <w:pStyle w:val="Heading2"/>
      </w:pPr>
      <w:r>
        <w:lastRenderedPageBreak/>
        <w:t>Introduction</w:t>
      </w:r>
    </w:p>
    <w:p w14:paraId="7922C243" w14:textId="131CC3A3" w:rsidR="000F5EDF" w:rsidRPr="000F5EDF" w:rsidRDefault="000161C3" w:rsidP="000F5EDF">
      <w:r w:rsidRPr="000161C3">
        <w:t xml:space="preserve">As understanding of application security becomes a critical part of an individual’s skill set, organizations are eagerly seeking guidance in identifying knowledgeable individuals in application security. We believe that Certifying Bodies can play a role to empower organizations to identify security-minded individuals. While OWASP will </w:t>
      </w:r>
      <w:r w:rsidRPr="000161C3">
        <w:rPr>
          <w:b/>
          <w:i/>
        </w:rPr>
        <w:t>never</w:t>
      </w:r>
      <w:r w:rsidRPr="000161C3">
        <w:t xml:space="preserve"> endorse or support any particular certification, we offer this code of conduct to help guide Certifying Bodies to better serve organizations that are ready to embrace an application security certification. </w:t>
      </w:r>
    </w:p>
    <w:p w14:paraId="45838EF5" w14:textId="77777777" w:rsidR="002D55B1" w:rsidRPr="000F5EDF" w:rsidRDefault="002D55B1" w:rsidP="002D55B1">
      <w:pPr>
        <w:pStyle w:val="Heading2"/>
      </w:pPr>
      <w:r>
        <w:t>Code of Conduct</w:t>
      </w:r>
    </w:p>
    <w:p w14:paraId="63102857" w14:textId="0C92E108" w:rsidR="00227BCC" w:rsidRDefault="000161C3" w:rsidP="00BE43B9">
      <w:pPr>
        <w:pStyle w:val="Requirement"/>
      </w:pPr>
      <w:r>
        <w:t xml:space="preserve">The Certifying Body </w:t>
      </w:r>
      <w:r w:rsidRPr="00FD4BFA">
        <w:rPr>
          <w:u w:val="single"/>
        </w:rPr>
        <w:t>MUST</w:t>
      </w:r>
      <w:r>
        <w:rPr>
          <w:u w:val="single"/>
        </w:rPr>
        <w:t xml:space="preserve"> NOT</w:t>
      </w:r>
      <w:r w:rsidRPr="0064622A">
        <w:t xml:space="preserve"> </w:t>
      </w:r>
      <w:r>
        <w:t>misrepresent the Certifying Body’s certification as endorsed or supported by OWASP</w:t>
      </w:r>
      <w:r w:rsidR="00227BCC">
        <w:t>.</w:t>
      </w:r>
    </w:p>
    <w:p w14:paraId="7DE87B8D" w14:textId="2082F3D8" w:rsidR="00227BCC" w:rsidRDefault="000161C3" w:rsidP="00227BCC">
      <w:pPr>
        <w:pStyle w:val="Rationale"/>
      </w:pPr>
      <w:r w:rsidRPr="000161C3">
        <w:t>While OWASP recognizes the need of organizations to identify individuals with an understanding of application security, OWASP will not endorse any certifying body or their certification. One of the bedrock principles of OWASP is to maintain a vendor-neutral position and any endorsement of a certifying body or their certification is in direct contradiction of this core value. We respect your desire to fill a void in the application security space and expect that you will in turn respect our core values and brand name</w:t>
      </w:r>
      <w:r>
        <w:t>.</w:t>
      </w:r>
    </w:p>
    <w:p w14:paraId="5AD8CA48" w14:textId="619B1CF1" w:rsidR="005E2CAD" w:rsidRDefault="00641B23" w:rsidP="00641B23">
      <w:pPr>
        <w:pStyle w:val="Requirement"/>
      </w:pPr>
      <w:r>
        <w:t xml:space="preserve">The </w:t>
      </w:r>
      <w:r w:rsidR="000161C3" w:rsidRPr="000161C3">
        <w:t xml:space="preserve">Certifying Body </w:t>
      </w:r>
      <w:r w:rsidR="000161C3" w:rsidRPr="00666DC0">
        <w:rPr>
          <w:u w:val="single"/>
        </w:rPr>
        <w:t>MUST</w:t>
      </w:r>
      <w:r w:rsidR="000161C3" w:rsidRPr="000161C3">
        <w:t xml:space="preserve"> include a visible disclaimer if the Certifying Body’s certificatio</w:t>
      </w:r>
      <w:r w:rsidR="000161C3">
        <w:t>n is “based on OWASP materials”</w:t>
      </w:r>
      <w:r w:rsidR="00227BCC">
        <w:t>.</w:t>
      </w:r>
    </w:p>
    <w:p w14:paraId="519A45CE" w14:textId="76E79906" w:rsidR="00BC5E32" w:rsidRPr="00BC5E32" w:rsidRDefault="000161C3" w:rsidP="000161C3">
      <w:pPr>
        <w:pStyle w:val="Rationale"/>
      </w:pPr>
      <w:r w:rsidRPr="000161C3">
        <w:t xml:space="preserve">OWASP will not allow our brand name to be used in the certification title. However, we welcome a Certifying Body to leverage tools, documents, guidelines, and standards that are freely available from </w:t>
      </w:r>
      <w:proofErr w:type="spellStart"/>
      <w:r w:rsidRPr="000161C3">
        <w:t>OWASP</w:t>
      </w:r>
      <w:r w:rsidR="00F76A53" w:rsidRPr="00F76A53">
        <w:rPr>
          <w:vertAlign w:val="superscript"/>
        </w:rPr>
        <w:t>i</w:t>
      </w:r>
      <w:proofErr w:type="spellEnd"/>
      <w:r w:rsidRPr="000161C3">
        <w:t>. We recognize that in such cases, a Certifying Body may wish to inform their audience that their certification is “based on OWASP materials”. We are honored by your desire to leverage OWASP materials, but we ask that you honor the OWASP name and clearly disclaim that your use of OWASP materials does not represent an endorsement or association with OWASP</w:t>
      </w:r>
      <w:r>
        <w:t>.</w:t>
      </w:r>
    </w:p>
    <w:p w14:paraId="2674E27A" w14:textId="77777777" w:rsidR="003E4947" w:rsidRPr="000F5EDF" w:rsidRDefault="003E4947" w:rsidP="003E4947">
      <w:pPr>
        <w:pStyle w:val="Heading2"/>
      </w:pPr>
      <w:r>
        <w:t>Recommendations</w:t>
      </w:r>
    </w:p>
    <w:p w14:paraId="6D2138B6" w14:textId="51A1E46B" w:rsidR="003E4947" w:rsidRDefault="00666DC0" w:rsidP="00951C61">
      <w:pPr>
        <w:pStyle w:val="Requirement"/>
        <w:numPr>
          <w:ilvl w:val="0"/>
          <w:numId w:val="10"/>
        </w:numPr>
      </w:pPr>
      <w:r w:rsidRPr="00666DC0">
        <w:t xml:space="preserve">The Certifying Body </w:t>
      </w:r>
      <w:r w:rsidRPr="00666DC0">
        <w:rPr>
          <w:u w:val="single"/>
        </w:rPr>
        <w:t>SHOULD</w:t>
      </w:r>
      <w:r w:rsidRPr="00666DC0">
        <w:t xml:space="preserve"> collect and publish feedback from certification applicants, recipients, and organizations recognizing the certification</w:t>
      </w:r>
      <w:r w:rsidR="003E4947">
        <w:t>.</w:t>
      </w:r>
    </w:p>
    <w:p w14:paraId="2E898884" w14:textId="004E193E" w:rsidR="003E4947" w:rsidRPr="00A97383" w:rsidRDefault="00666DC0" w:rsidP="00314997">
      <w:pPr>
        <w:pStyle w:val="Rationale"/>
      </w:pPr>
      <w:r w:rsidRPr="00666DC0">
        <w:t>Certifications represent the Certifying Body’s assertion that the recipient meets some minimal criteria, as defined by the Certifying Body. Organizations depend on that assertion when recognizing a Certifying Body’s certification. We believe that organizations need feedback to effectively determine the value of a certification. We do not suggest what feedback should be solicited, nor the exact form or method for this publication; only that it represents your desire to honestly communicate the value and esteem or your certification</w:t>
      </w:r>
      <w:r>
        <w:t>.</w:t>
      </w:r>
    </w:p>
    <w:p w14:paraId="6D470718" w14:textId="4C1B0946" w:rsidR="003E4947" w:rsidRDefault="00666DC0" w:rsidP="00951C61">
      <w:pPr>
        <w:pStyle w:val="Requirement"/>
        <w:numPr>
          <w:ilvl w:val="0"/>
          <w:numId w:val="10"/>
        </w:numPr>
      </w:pPr>
      <w:r w:rsidRPr="00666DC0">
        <w:t xml:space="preserve">The Certifying Body </w:t>
      </w:r>
      <w:r w:rsidRPr="00666DC0">
        <w:rPr>
          <w:u w:val="single"/>
        </w:rPr>
        <w:t>SHOULD</w:t>
      </w:r>
      <w:r w:rsidRPr="00666DC0">
        <w:t xml:space="preserve"> utilize questions, answers, evaluation material and processes that are open and freely available to the general public</w:t>
      </w:r>
      <w:r w:rsidR="003E4947">
        <w:t>.</w:t>
      </w:r>
    </w:p>
    <w:p w14:paraId="58E80713" w14:textId="467AA66D" w:rsidR="003E4947" w:rsidRPr="00A97383" w:rsidRDefault="00666DC0" w:rsidP="003E4947">
      <w:pPr>
        <w:pStyle w:val="Rationale"/>
      </w:pPr>
      <w:r w:rsidRPr="00666DC0">
        <w:t xml:space="preserve">Organizations around the world are depending on certifying bodies to help identify individuals that understand application security. Supplying open questions and answers allows organizations </w:t>
      </w:r>
      <w:r w:rsidRPr="00666DC0">
        <w:lastRenderedPageBreak/>
        <w:t>to evaluate for themselves whether or not a certification adequately satisfies their need. We ask you publish the bank of all questions and answers for any examination-based certification. We do not specify the exact form or method for administering the exam nor for publishing the questions and answers; only that it represents your desire to enable organizations to understand and evaluate the substance of your examination as it pertains to their organizational needs. OWASP suggests that the certifying body uses questions and answers developed by the OWASP community</w:t>
      </w:r>
      <w:r w:rsidR="003E4947">
        <w:t>.</w:t>
      </w:r>
    </w:p>
    <w:p w14:paraId="58643858" w14:textId="1C326465" w:rsidR="005E2CAD" w:rsidRDefault="00666DC0" w:rsidP="00951C61">
      <w:pPr>
        <w:pStyle w:val="Requirement"/>
        <w:numPr>
          <w:ilvl w:val="0"/>
          <w:numId w:val="10"/>
        </w:numPr>
      </w:pPr>
      <w:r w:rsidRPr="00666DC0">
        <w:t xml:space="preserve">The Certifying Body </w:t>
      </w:r>
      <w:r w:rsidRPr="00666DC0">
        <w:rPr>
          <w:u w:val="single"/>
        </w:rPr>
        <w:t>SHOULD</w:t>
      </w:r>
      <w:r w:rsidRPr="00666DC0">
        <w:t xml:space="preserve"> be an OWASP Supporter</w:t>
      </w:r>
      <w:r w:rsidR="00BC5E32">
        <w:t>.</w:t>
      </w:r>
    </w:p>
    <w:p w14:paraId="17D27D02" w14:textId="14C8202B" w:rsidR="00EF2BC6" w:rsidRPr="00EF2BC6" w:rsidRDefault="00666DC0" w:rsidP="00EF2BC6">
      <w:pPr>
        <w:pStyle w:val="Rationale"/>
      </w:pPr>
      <w:r w:rsidRPr="00666DC0">
        <w:t xml:space="preserve">The main benefit of becoming an OWASP </w:t>
      </w:r>
      <w:proofErr w:type="spellStart"/>
      <w:r w:rsidRPr="00666DC0">
        <w:t>Supporter</w:t>
      </w:r>
      <w:r w:rsidR="005D2D03" w:rsidRPr="005D2D03">
        <w:rPr>
          <w:vertAlign w:val="superscript"/>
        </w:rPr>
        <w:t>ii</w:t>
      </w:r>
      <w:proofErr w:type="spellEnd"/>
      <w:r w:rsidRPr="00666DC0">
        <w:t xml:space="preserve"> is to demonstrate your belief that application security is important and that you are working to help improve the state of application security in the world</w:t>
      </w:r>
      <w:r>
        <w:t>.</w:t>
      </w:r>
    </w:p>
    <w:p w14:paraId="011284EE" w14:textId="50E1AB8C" w:rsidR="00BC5E32" w:rsidRDefault="00666DC0" w:rsidP="00951C61">
      <w:pPr>
        <w:pStyle w:val="Requirement"/>
        <w:numPr>
          <w:ilvl w:val="0"/>
          <w:numId w:val="10"/>
        </w:numPr>
      </w:pPr>
      <w:r w:rsidRPr="00666DC0">
        <w:t xml:space="preserve">The Certifying Body </w:t>
      </w:r>
      <w:r w:rsidRPr="00666DC0">
        <w:rPr>
          <w:u w:val="single"/>
        </w:rPr>
        <w:t>SHOULD</w:t>
      </w:r>
      <w:r w:rsidRPr="00666DC0">
        <w:t xml:space="preserve"> leverage OWASP by attending our events, using our materials, and asking our experts for help</w:t>
      </w:r>
      <w:r w:rsidR="00BC5E32">
        <w:t>.</w:t>
      </w:r>
    </w:p>
    <w:p w14:paraId="3E8251B6" w14:textId="30D55DAD" w:rsidR="001C4882" w:rsidRDefault="00666DC0" w:rsidP="00625452">
      <w:pPr>
        <w:pStyle w:val="Rationale"/>
      </w:pPr>
      <w:r>
        <w:t xml:space="preserve">OWASP </w:t>
      </w:r>
      <w:r w:rsidRPr="00666DC0">
        <w:t>has a lot to offer certifying bodies. We have freely available tools, documents, guidelines, and standards. We have worldwide events that are open to everyone and all the presentations are recorded and downloadable for use in classrooms. We even have packaged curricula, eLearning, and educational materials that are available for potential applicants to use and modify free of charge. Certifying bodies are strongly encouraged to reach out to our experts with their questions, ideas, and even participate in projects</w:t>
      </w:r>
      <w:r>
        <w:t>.</w:t>
      </w:r>
    </w:p>
    <w:p w14:paraId="28859640" w14:textId="77777777" w:rsidR="00FD4B3F" w:rsidRDefault="00FD4B3F">
      <w:pPr>
        <w:spacing w:before="0" w:after="200" w:line="276" w:lineRule="auto"/>
        <w:rPr>
          <w:i/>
        </w:rPr>
      </w:pPr>
      <w:r>
        <w:br w:type="page"/>
      </w:r>
    </w:p>
    <w:p w14:paraId="27E1E01B" w14:textId="77777777" w:rsidR="00FD4B3F" w:rsidRDefault="00FD4B3F" w:rsidP="00625452">
      <w:pPr>
        <w:pStyle w:val="Rationale"/>
        <w:ind w:left="0"/>
        <w:jc w:val="center"/>
      </w:pPr>
    </w:p>
    <w:p w14:paraId="21E386CD" w14:textId="697A15A0" w:rsidR="00CC50EA" w:rsidRPr="00C1177A" w:rsidRDefault="00F76A53" w:rsidP="00C1177A">
      <w:pPr>
        <w:pStyle w:val="Rationale"/>
        <w:jc w:val="center"/>
        <w:rPr>
          <w:rFonts w:asciiTheme="majorHAnsi" w:hAnsiTheme="majorHAnsi"/>
          <w:b/>
          <w:i w:val="0"/>
          <w:sz w:val="28"/>
          <w:szCs w:val="28"/>
        </w:rPr>
      </w:pPr>
      <w:r>
        <w:rPr>
          <w:rFonts w:asciiTheme="majorHAnsi" w:hAnsiTheme="majorHAnsi"/>
          <w:b/>
          <w:i w:val="0"/>
          <w:sz w:val="28"/>
          <w:szCs w:val="28"/>
        </w:rPr>
        <w:t>Reference</w:t>
      </w:r>
      <w:r w:rsidR="00CC50EA">
        <w:rPr>
          <w:rFonts w:asciiTheme="majorHAnsi" w:hAnsiTheme="majorHAnsi"/>
          <w:b/>
          <w:i w:val="0"/>
          <w:sz w:val="28"/>
          <w:szCs w:val="28"/>
        </w:rPr>
        <w:t>s</w:t>
      </w:r>
    </w:p>
    <w:p w14:paraId="30B7367F" w14:textId="6891BFC6" w:rsidR="00CC50EA" w:rsidRDefault="00F76A53" w:rsidP="000F6D2E">
      <w:pPr>
        <w:pStyle w:val="Rationale"/>
        <w:numPr>
          <w:ilvl w:val="0"/>
          <w:numId w:val="8"/>
        </w:numPr>
        <w:rPr>
          <w:i w:val="0"/>
        </w:rPr>
      </w:pPr>
      <w:r>
        <w:rPr>
          <w:i w:val="0"/>
        </w:rPr>
        <w:t>Projects</w:t>
      </w:r>
      <w:r w:rsidR="00CC50EA">
        <w:rPr>
          <w:i w:val="0"/>
        </w:rPr>
        <w:t>, OWASP</w:t>
      </w:r>
      <w:r w:rsidR="00CC50EA">
        <w:rPr>
          <w:i w:val="0"/>
        </w:rPr>
        <w:br/>
      </w:r>
      <w:hyperlink r:id="rId11" w:history="1">
        <w:r w:rsidRPr="00DD138D">
          <w:rPr>
            <w:rStyle w:val="Hyperlink"/>
            <w:i w:val="0"/>
          </w:rPr>
          <w:t>https://www.owasp.org/index.php/Category:OWASP_Project</w:t>
        </w:r>
      </w:hyperlink>
    </w:p>
    <w:p w14:paraId="5C86BDE7" w14:textId="59393ACE" w:rsidR="005D2D03" w:rsidRDefault="005D2D03" w:rsidP="000F6D2E">
      <w:pPr>
        <w:pStyle w:val="Rationale"/>
        <w:numPr>
          <w:ilvl w:val="0"/>
          <w:numId w:val="8"/>
        </w:numPr>
        <w:rPr>
          <w:i w:val="0"/>
        </w:rPr>
      </w:pPr>
      <w:r>
        <w:rPr>
          <w:i w:val="0"/>
        </w:rPr>
        <w:t>Membership, OWASP</w:t>
      </w:r>
      <w:r>
        <w:rPr>
          <w:i w:val="0"/>
        </w:rPr>
        <w:br/>
      </w:r>
      <w:hyperlink r:id="rId12" w:history="1">
        <w:r w:rsidRPr="00DD138D">
          <w:rPr>
            <w:rStyle w:val="Hyperlink"/>
            <w:i w:val="0"/>
          </w:rPr>
          <w:t>https://www.owasp.org/index.php/Membership</w:t>
        </w:r>
      </w:hyperlink>
    </w:p>
    <w:p w14:paraId="2883B222" w14:textId="77777777" w:rsidR="005D2D03" w:rsidRDefault="005D2D03" w:rsidP="005D2D03">
      <w:pPr>
        <w:pStyle w:val="Rationale"/>
        <w:ind w:left="720"/>
        <w:rPr>
          <w:i w:val="0"/>
        </w:rPr>
      </w:pPr>
    </w:p>
    <w:p w14:paraId="1869CFC2" w14:textId="77777777" w:rsidR="00A36B7D" w:rsidRDefault="00A36B7D" w:rsidP="00A36B7D">
      <w:pPr>
        <w:pStyle w:val="Rationale"/>
        <w:ind w:left="0"/>
        <w:rPr>
          <w:rFonts w:asciiTheme="majorHAnsi" w:hAnsiTheme="majorHAnsi"/>
          <w:b/>
          <w:i w:val="0"/>
          <w:sz w:val="28"/>
          <w:szCs w:val="28"/>
        </w:rPr>
      </w:pPr>
    </w:p>
    <w:p w14:paraId="6E878A7C" w14:textId="77777777" w:rsidR="00FD4B3F" w:rsidRPr="00625452" w:rsidRDefault="00FD4B3F" w:rsidP="00625452">
      <w:pPr>
        <w:pStyle w:val="Rationale"/>
        <w:ind w:left="0"/>
        <w:jc w:val="center"/>
        <w:rPr>
          <w:rFonts w:asciiTheme="majorHAnsi" w:hAnsiTheme="majorHAnsi"/>
          <w:b/>
          <w:i w:val="0"/>
          <w:sz w:val="28"/>
          <w:szCs w:val="28"/>
        </w:rPr>
      </w:pPr>
      <w:r w:rsidRPr="00625452">
        <w:rPr>
          <w:rFonts w:asciiTheme="majorHAnsi" w:hAnsiTheme="majorHAnsi"/>
          <w:b/>
          <w:i w:val="0"/>
          <w:sz w:val="28"/>
          <w:szCs w:val="28"/>
        </w:rPr>
        <w:t>OWASP Application Security Code</w:t>
      </w:r>
      <w:r w:rsidR="00E21776">
        <w:rPr>
          <w:rFonts w:asciiTheme="majorHAnsi" w:hAnsiTheme="majorHAnsi"/>
          <w:b/>
          <w:i w:val="0"/>
          <w:sz w:val="28"/>
          <w:szCs w:val="28"/>
        </w:rPr>
        <w:t>s</w:t>
      </w:r>
      <w:r w:rsidRPr="00625452">
        <w:rPr>
          <w:rFonts w:asciiTheme="majorHAnsi" w:hAnsiTheme="majorHAnsi"/>
          <w:b/>
          <w:i w:val="0"/>
          <w:sz w:val="28"/>
          <w:szCs w:val="28"/>
        </w:rPr>
        <w:t xml:space="preserve"> of Conduct</w:t>
      </w:r>
    </w:p>
    <w:p w14:paraId="74CA0644" w14:textId="455576B0" w:rsidR="00FD4B3F" w:rsidRPr="00625452" w:rsidRDefault="00FD4B3F" w:rsidP="00625452">
      <w:pPr>
        <w:pStyle w:val="Rationale"/>
        <w:ind w:left="0"/>
        <w:rPr>
          <w:i w:val="0"/>
        </w:rPr>
      </w:pPr>
      <w:r w:rsidRPr="00625452">
        <w:rPr>
          <w:i w:val="0"/>
        </w:rPr>
        <w:t>In order to achieve our mission, OWASP needs to take advantage of every opportunity to affect software development everywhere. At the OWASP Summit 2011 in Portugal, the idea was created t</w:t>
      </w:r>
      <w:r w:rsidR="00651E22">
        <w:rPr>
          <w:i w:val="0"/>
        </w:rPr>
        <w:t>o try to influence e</w:t>
      </w:r>
      <w:r w:rsidR="00651E22" w:rsidRPr="00651E22">
        <w:rPr>
          <w:i w:val="0"/>
        </w:rPr>
        <w:t xml:space="preserve">ducational </w:t>
      </w:r>
      <w:r w:rsidR="00651E22">
        <w:rPr>
          <w:i w:val="0"/>
        </w:rPr>
        <w:t>i</w:t>
      </w:r>
      <w:r w:rsidRPr="00625452">
        <w:rPr>
          <w:i w:val="0"/>
        </w:rPr>
        <w:t xml:space="preserve">nstitutions, government </w:t>
      </w:r>
      <w:r w:rsidR="00D72CAB">
        <w:rPr>
          <w:i w:val="0"/>
        </w:rPr>
        <w:t>bod</w:t>
      </w:r>
      <w:r w:rsidR="00CE2079">
        <w:rPr>
          <w:i w:val="0"/>
        </w:rPr>
        <w:t>ies, standards group</w:t>
      </w:r>
      <w:r w:rsidRPr="00625452">
        <w:rPr>
          <w:i w:val="0"/>
        </w:rPr>
        <w:t>s</w:t>
      </w:r>
      <w:r w:rsidR="00666DC0">
        <w:rPr>
          <w:i w:val="0"/>
        </w:rPr>
        <w:t xml:space="preserve">, </w:t>
      </w:r>
      <w:r w:rsidR="00651E22">
        <w:rPr>
          <w:i w:val="0"/>
        </w:rPr>
        <w:t>trade organizations</w:t>
      </w:r>
      <w:r w:rsidR="00666DC0">
        <w:rPr>
          <w:i w:val="0"/>
        </w:rPr>
        <w:t xml:space="preserve"> a</w:t>
      </w:r>
      <w:r w:rsidR="00F76A53">
        <w:rPr>
          <w:i w:val="0"/>
        </w:rPr>
        <w:t>nd</w:t>
      </w:r>
      <w:r w:rsidR="00666DC0">
        <w:rPr>
          <w:i w:val="0"/>
        </w:rPr>
        <w:t xml:space="preserve"> groups active in the</w:t>
      </w:r>
      <w:r w:rsidR="00F76A53">
        <w:rPr>
          <w:i w:val="0"/>
        </w:rPr>
        <w:t xml:space="preserve"> application security space</w:t>
      </w:r>
      <w:r w:rsidRPr="00625452">
        <w:rPr>
          <w:i w:val="0"/>
        </w:rPr>
        <w:t>.</w:t>
      </w:r>
      <w:r w:rsidR="00666DC0">
        <w:rPr>
          <w:i w:val="0"/>
        </w:rPr>
        <w:t xml:space="preserve"> </w:t>
      </w:r>
      <w:r w:rsidRPr="00625452">
        <w:rPr>
          <w:i w:val="0"/>
        </w:rPr>
        <w:t>We set out to define a set of minimal requirements for these organizations specifying what we believe to be the most effectiv</w:t>
      </w:r>
      <w:r w:rsidR="00666DC0">
        <w:rPr>
          <w:i w:val="0"/>
        </w:rPr>
        <w:t xml:space="preserve">e ways to support our mission. </w:t>
      </w:r>
      <w:r w:rsidRPr="00625452">
        <w:rPr>
          <w:i w:val="0"/>
        </w:rPr>
        <w:t>We call these requirements a “code of conduct” to imply that these are normative standards, they represent a minimum baseline, and that they are not difficult to achieve.</w:t>
      </w:r>
    </w:p>
    <w:p w14:paraId="0B737AC4" w14:textId="078A85EA" w:rsidR="00C1177A" w:rsidRPr="00C1177A" w:rsidRDefault="00C1177A" w:rsidP="00C1177A">
      <w:r>
        <w:t>Certifying Bodie</w:t>
      </w:r>
      <w:r w:rsidRPr="00C1177A">
        <w:t>s wishing to announce their compliance with this Code of Conduct should read the associated information on statements of compliance:</w:t>
      </w:r>
    </w:p>
    <w:p w14:paraId="055F65BA" w14:textId="7D007712" w:rsidR="00FD4B3F" w:rsidRPr="00C1177A" w:rsidRDefault="0052521F" w:rsidP="00C1177A">
      <w:hyperlink r:id="rId13" w:history="1">
        <w:r w:rsidR="00C1177A" w:rsidRPr="00C1177A">
          <w:rPr>
            <w:color w:val="0000FF" w:themeColor="hyperlink"/>
            <w:u w:val="single"/>
          </w:rPr>
          <w:t>https://www.owasp.org/index.php/OWASP_Codes_of_Conduct#compliance</w:t>
        </w:r>
      </w:hyperlink>
    </w:p>
    <w:p w14:paraId="37CE5056" w14:textId="44ABB03D" w:rsidR="00FD4B3F" w:rsidRDefault="00FD4B3F" w:rsidP="00625452">
      <w:pPr>
        <w:pStyle w:val="Rationale"/>
        <w:ind w:left="0"/>
        <w:rPr>
          <w:i w:val="0"/>
        </w:rPr>
      </w:pPr>
      <w:r w:rsidRPr="00FD4B3F">
        <w:rPr>
          <w:i w:val="0"/>
        </w:rPr>
        <w:t xml:space="preserve">Special thanks to </w:t>
      </w:r>
      <w:r w:rsidR="00F76A53">
        <w:rPr>
          <w:i w:val="0"/>
        </w:rPr>
        <w:t xml:space="preserve">Jason Taylor and </w:t>
      </w:r>
      <w:r w:rsidR="00666DC0">
        <w:rPr>
          <w:i w:val="0"/>
        </w:rPr>
        <w:t>Jason Li</w:t>
      </w:r>
      <w:r w:rsidRPr="00FD4B3F">
        <w:rPr>
          <w:i w:val="0"/>
        </w:rPr>
        <w:t xml:space="preserve"> for</w:t>
      </w:r>
      <w:r w:rsidR="00666DC0">
        <w:rPr>
          <w:i w:val="0"/>
        </w:rPr>
        <w:t xml:space="preserve"> creating this document, </w:t>
      </w:r>
      <w:r w:rsidR="0052521F" w:rsidRPr="00181C75">
        <w:rPr>
          <w:i w:val="0"/>
        </w:rPr>
        <w:t>Mateo Martinez</w:t>
      </w:r>
      <w:bookmarkStart w:id="0" w:name="_GoBack"/>
      <w:bookmarkEnd w:id="0"/>
      <w:r w:rsidR="0052521F">
        <w:rPr>
          <w:i w:val="0"/>
        </w:rPr>
        <w:t>,</w:t>
      </w:r>
      <w:r w:rsidR="0052521F">
        <w:rPr>
          <w:i w:val="0"/>
        </w:rPr>
        <w:t xml:space="preserve"> </w:t>
      </w:r>
      <w:r w:rsidR="00666DC0">
        <w:rPr>
          <w:i w:val="0"/>
        </w:rPr>
        <w:t>and to</w:t>
      </w:r>
      <w:r w:rsidRPr="00FD4B3F">
        <w:rPr>
          <w:i w:val="0"/>
        </w:rPr>
        <w:t xml:space="preserve"> all the participants in the</w:t>
      </w:r>
      <w:r w:rsidR="00CE6149">
        <w:rPr>
          <w:i w:val="0"/>
        </w:rPr>
        <w:t xml:space="preserve"> work session on Certification</w:t>
      </w:r>
      <w:r w:rsidRPr="00FD4B3F">
        <w:rPr>
          <w:i w:val="0"/>
        </w:rPr>
        <w:t xml:space="preserve"> at the OWASP Summit 2011 in Portugal for their ideas and contributions to this effort.</w:t>
      </w:r>
    </w:p>
    <w:p w14:paraId="10237D1F" w14:textId="624E0EC7" w:rsidR="002D2023" w:rsidRDefault="002D2023" w:rsidP="00625452">
      <w:pPr>
        <w:pStyle w:val="Rationale"/>
        <w:ind w:left="0"/>
        <w:rPr>
          <w:i w:val="0"/>
        </w:rPr>
      </w:pPr>
      <w:r>
        <w:rPr>
          <w:i w:val="0"/>
        </w:rPr>
        <w:t>The latest version of this document, and the other Codes of Conduct, can be found at:</w:t>
      </w:r>
    </w:p>
    <w:p w14:paraId="71239ABD" w14:textId="61EE8D98" w:rsidR="00A36B7D" w:rsidRDefault="0052521F" w:rsidP="00625452">
      <w:pPr>
        <w:pStyle w:val="Rationale"/>
        <w:ind w:left="0"/>
        <w:rPr>
          <w:i w:val="0"/>
        </w:rPr>
      </w:pPr>
      <w:hyperlink r:id="rId14" w:history="1">
        <w:r w:rsidR="00A36B7D" w:rsidRPr="00DE3617">
          <w:rPr>
            <w:rStyle w:val="Hyperlink"/>
            <w:i w:val="0"/>
          </w:rPr>
          <w:t>https://www.owasp.org/index.php/OWASP_Codes_of_Conduct</w:t>
        </w:r>
      </w:hyperlink>
    </w:p>
    <w:p w14:paraId="00ECBCD3" w14:textId="77777777" w:rsidR="00C475EB" w:rsidRPr="00FD4B3F" w:rsidRDefault="00C475EB" w:rsidP="00625452">
      <w:pPr>
        <w:pStyle w:val="Rationale"/>
        <w:ind w:left="0"/>
      </w:pPr>
    </w:p>
    <w:p w14:paraId="1514AC5E" w14:textId="77777777" w:rsidR="00E21776" w:rsidRPr="00C475EB" w:rsidRDefault="00E21776" w:rsidP="00625452">
      <w:pPr>
        <w:pStyle w:val="Rationale"/>
        <w:ind w:left="0"/>
        <w:rPr>
          <w:i w:val="0"/>
        </w:rPr>
      </w:pPr>
    </w:p>
    <w:p w14:paraId="55255117" w14:textId="77777777" w:rsidR="00FD4B3F" w:rsidRPr="00625452" w:rsidRDefault="00FD4B3F" w:rsidP="00625452">
      <w:pPr>
        <w:pStyle w:val="Rationale"/>
        <w:ind w:left="0"/>
        <w:jc w:val="center"/>
        <w:rPr>
          <w:rFonts w:asciiTheme="majorHAnsi" w:hAnsiTheme="majorHAnsi"/>
          <w:b/>
          <w:sz w:val="28"/>
          <w:szCs w:val="28"/>
        </w:rPr>
      </w:pPr>
      <w:r w:rsidRPr="00625452">
        <w:rPr>
          <w:rFonts w:asciiTheme="majorHAnsi" w:hAnsiTheme="majorHAnsi"/>
          <w:b/>
          <w:i w:val="0"/>
          <w:sz w:val="28"/>
          <w:szCs w:val="28"/>
        </w:rPr>
        <w:t>About OWASP</w:t>
      </w:r>
    </w:p>
    <w:p w14:paraId="30ADDCF5" w14:textId="2B4C91F6" w:rsidR="00FD4B3F" w:rsidRDefault="00D831C0" w:rsidP="00625452">
      <w:pPr>
        <w:pStyle w:val="Rationale"/>
        <w:ind w:left="0"/>
      </w:pPr>
      <w:r w:rsidRPr="00D831C0">
        <w:rPr>
          <w:i w:val="0"/>
        </w:rPr>
        <w:t>The Open Web Applicatio</w:t>
      </w:r>
      <w:r>
        <w:rPr>
          <w:i w:val="0"/>
        </w:rPr>
        <w:t>n Security Project (OWASP) is a</w:t>
      </w:r>
      <w:r w:rsidRPr="00D831C0">
        <w:rPr>
          <w:i w:val="0"/>
        </w:rPr>
        <w:t xml:space="preserve"> worldwide</w:t>
      </w:r>
      <w:r w:rsidR="00581843">
        <w:rPr>
          <w:i w:val="0"/>
        </w:rPr>
        <w:t xml:space="preserve"> free and open community</w:t>
      </w:r>
      <w:r w:rsidRPr="00D831C0">
        <w:rPr>
          <w:i w:val="0"/>
        </w:rPr>
        <w:t xml:space="preserve"> focused on improving the security of application software. Our mission is to make application security visible, so that people and organizations can make informed decisions about true application security risks. </w:t>
      </w:r>
      <w:r>
        <w:rPr>
          <w:i w:val="0"/>
        </w:rPr>
        <w:t xml:space="preserve"> </w:t>
      </w:r>
      <w:r w:rsidRPr="00D831C0">
        <w:rPr>
          <w:i w:val="0"/>
        </w:rPr>
        <w:t>Everyone is free to participate in OWASP and all of our materials are available under a free and open software license.</w:t>
      </w:r>
    </w:p>
    <w:p w14:paraId="13FDF5EF" w14:textId="76497BD0" w:rsidR="00D831C0" w:rsidRPr="00C475EB" w:rsidRDefault="0052521F" w:rsidP="00625452">
      <w:pPr>
        <w:pStyle w:val="Rationale"/>
        <w:ind w:left="0"/>
        <w:rPr>
          <w:i w:val="0"/>
        </w:rPr>
      </w:pPr>
      <w:hyperlink r:id="rId15" w:history="1">
        <w:r w:rsidR="00E21776" w:rsidRPr="00CC50EA">
          <w:rPr>
            <w:rStyle w:val="Hyperlink"/>
            <w:i w:val="0"/>
          </w:rPr>
          <w:t>https://www.owasp.org</w:t>
        </w:r>
      </w:hyperlink>
    </w:p>
    <w:sectPr w:rsidR="00D831C0" w:rsidRPr="00C475EB">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3AFB5" w14:textId="77777777" w:rsidR="00476485" w:rsidRDefault="00476485" w:rsidP="00452089">
      <w:pPr>
        <w:spacing w:before="0" w:after="0"/>
      </w:pPr>
      <w:r>
        <w:separator/>
      </w:r>
    </w:p>
  </w:endnote>
  <w:endnote w:type="continuationSeparator" w:id="0">
    <w:p w14:paraId="69BE72C3" w14:textId="77777777" w:rsidR="00476485" w:rsidRDefault="00476485" w:rsidP="004520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24185" w14:textId="77777777" w:rsidR="00666DC0" w:rsidRDefault="00666DC0" w:rsidP="00E569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679103" w14:textId="77777777" w:rsidR="00666DC0" w:rsidRDefault="00666DC0" w:rsidP="00E569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8581E" w14:textId="77777777" w:rsidR="00666DC0" w:rsidRPr="000F1EBA" w:rsidRDefault="00666DC0" w:rsidP="000F1EBA">
    <w:pPr>
      <w:pStyle w:val="Footer"/>
      <w:framePr w:wrap="around" w:vAnchor="text" w:hAnchor="margin" w:xAlign="center" w:y="1"/>
      <w:rPr>
        <w:rStyle w:val="PageNumber"/>
        <w:color w:val="808080" w:themeColor="background1" w:themeShade="80"/>
      </w:rPr>
    </w:pPr>
    <w:r w:rsidRPr="000F1EBA">
      <w:rPr>
        <w:rStyle w:val="PageNumber"/>
        <w:color w:val="808080" w:themeColor="background1" w:themeShade="80"/>
      </w:rPr>
      <w:fldChar w:fldCharType="begin"/>
    </w:r>
    <w:r w:rsidRPr="000F1EBA">
      <w:rPr>
        <w:rStyle w:val="PageNumber"/>
        <w:color w:val="808080" w:themeColor="background1" w:themeShade="80"/>
      </w:rPr>
      <w:instrText xml:space="preserve">PAGE  </w:instrText>
    </w:r>
    <w:r w:rsidRPr="000F1EBA">
      <w:rPr>
        <w:rStyle w:val="PageNumber"/>
        <w:color w:val="808080" w:themeColor="background1" w:themeShade="80"/>
      </w:rPr>
      <w:fldChar w:fldCharType="separate"/>
    </w:r>
    <w:r w:rsidR="0052521F">
      <w:rPr>
        <w:rStyle w:val="PageNumber"/>
        <w:noProof/>
        <w:color w:val="808080" w:themeColor="background1" w:themeShade="80"/>
      </w:rPr>
      <w:t>4</w:t>
    </w:r>
    <w:r w:rsidRPr="000F1EBA">
      <w:rPr>
        <w:rStyle w:val="PageNumber"/>
        <w:color w:val="808080" w:themeColor="background1" w:themeShade="80"/>
      </w:rPr>
      <w:fldChar w:fldCharType="end"/>
    </w:r>
  </w:p>
  <w:p w14:paraId="41D303D0" w14:textId="77777777" w:rsidR="00666DC0" w:rsidRDefault="00666DC0" w:rsidP="00E569F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1E717" w14:textId="77777777" w:rsidR="00476485" w:rsidRDefault="00476485" w:rsidP="00452089">
      <w:pPr>
        <w:spacing w:before="0" w:after="0"/>
      </w:pPr>
      <w:r>
        <w:separator/>
      </w:r>
    </w:p>
  </w:footnote>
  <w:footnote w:type="continuationSeparator" w:id="0">
    <w:p w14:paraId="3A17D393" w14:textId="77777777" w:rsidR="00476485" w:rsidRDefault="00476485" w:rsidP="00452089">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FC9B4" w14:textId="0572C657" w:rsidR="00666DC0" w:rsidRPr="000F1EBA" w:rsidRDefault="00666DC0" w:rsidP="000F1EBA">
    <w:pPr>
      <w:pStyle w:val="Header"/>
      <w:jc w:val="center"/>
      <w:rPr>
        <w:color w:val="808080" w:themeColor="background1" w:themeShade="80"/>
      </w:rPr>
    </w:pPr>
    <w:r w:rsidRPr="000F1EBA">
      <w:rPr>
        <w:color w:val="808080" w:themeColor="background1" w:themeShade="80"/>
      </w:rPr>
      <w:t>The OWASP Application Security Code of Cond</w:t>
    </w:r>
    <w:r>
      <w:rPr>
        <w:color w:val="808080" w:themeColor="background1" w:themeShade="80"/>
      </w:rPr>
      <w:t>uct for Certifying</w:t>
    </w:r>
    <w:r w:rsidRPr="000F1EBA">
      <w:rPr>
        <w:color w:val="808080" w:themeColor="background1" w:themeShade="80"/>
      </w:rPr>
      <w:t xml:space="preserve"> Bodies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5B8A"/>
    <w:multiLevelType w:val="hybridMultilevel"/>
    <w:tmpl w:val="AC4EC7DC"/>
    <w:lvl w:ilvl="0" w:tplc="ACBAF3A4">
      <w:start w:val="1"/>
      <w:numFmt w:val="decimal"/>
      <w:pStyle w:val="Requirement"/>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90B05"/>
    <w:multiLevelType w:val="multilevel"/>
    <w:tmpl w:val="50C2B3EA"/>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1004F4"/>
    <w:multiLevelType w:val="multilevel"/>
    <w:tmpl w:val="BC70C63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29C01D2"/>
    <w:multiLevelType w:val="hybridMultilevel"/>
    <w:tmpl w:val="F9A6F3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31240"/>
    <w:multiLevelType w:val="multilevel"/>
    <w:tmpl w:val="C2441E7A"/>
    <w:lvl w:ilvl="0">
      <w:start w:val="1"/>
      <w:numFmt w:val="decimal"/>
      <w:lvlText w:val="C%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120162"/>
    <w:multiLevelType w:val="hybridMultilevel"/>
    <w:tmpl w:val="50C2B3EA"/>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B7F16"/>
    <w:multiLevelType w:val="hybridMultilevel"/>
    <w:tmpl w:val="72BADC90"/>
    <w:lvl w:ilvl="0" w:tplc="162858F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0600F6C"/>
    <w:multiLevelType w:val="multilevel"/>
    <w:tmpl w:val="DCCE6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A80592D"/>
    <w:multiLevelType w:val="hybridMultilevel"/>
    <w:tmpl w:val="DCCE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0"/>
  </w:num>
  <w:num w:numId="4">
    <w:abstractNumId w:val="0"/>
  </w:num>
  <w:num w:numId="5">
    <w:abstractNumId w:val="0"/>
    <w:lvlOverride w:ilvl="0">
      <w:startOverride w:val="1"/>
    </w:lvlOverride>
  </w:num>
  <w:num w:numId="6">
    <w:abstractNumId w:val="8"/>
  </w:num>
  <w:num w:numId="7">
    <w:abstractNumId w:val="7"/>
  </w:num>
  <w:num w:numId="8">
    <w:abstractNumId w:val="3"/>
  </w:num>
  <w:num w:numId="9">
    <w:abstractNumId w:val="2"/>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CAD"/>
    <w:rsid w:val="000161C3"/>
    <w:rsid w:val="00081E3C"/>
    <w:rsid w:val="000D0D25"/>
    <w:rsid w:val="000E2CB8"/>
    <w:rsid w:val="000E523C"/>
    <w:rsid w:val="000F1D5B"/>
    <w:rsid w:val="000F1EBA"/>
    <w:rsid w:val="000F5EDF"/>
    <w:rsid w:val="000F6D2E"/>
    <w:rsid w:val="001C4882"/>
    <w:rsid w:val="001D6DF1"/>
    <w:rsid w:val="002001C7"/>
    <w:rsid w:val="0021596D"/>
    <w:rsid w:val="00225A5A"/>
    <w:rsid w:val="002273C3"/>
    <w:rsid w:val="00227BCC"/>
    <w:rsid w:val="00257B4C"/>
    <w:rsid w:val="00263DF8"/>
    <w:rsid w:val="0026639E"/>
    <w:rsid w:val="002844AE"/>
    <w:rsid w:val="002D2023"/>
    <w:rsid w:val="002D55B1"/>
    <w:rsid w:val="002F276E"/>
    <w:rsid w:val="00303D73"/>
    <w:rsid w:val="00314997"/>
    <w:rsid w:val="0032596F"/>
    <w:rsid w:val="00330E17"/>
    <w:rsid w:val="0035514C"/>
    <w:rsid w:val="003915B1"/>
    <w:rsid w:val="003E4947"/>
    <w:rsid w:val="003F73C3"/>
    <w:rsid w:val="004160C6"/>
    <w:rsid w:val="0042226C"/>
    <w:rsid w:val="00452089"/>
    <w:rsid w:val="00471E96"/>
    <w:rsid w:val="00476485"/>
    <w:rsid w:val="004C2376"/>
    <w:rsid w:val="004F7E1D"/>
    <w:rsid w:val="00515222"/>
    <w:rsid w:val="005179A3"/>
    <w:rsid w:val="0052521F"/>
    <w:rsid w:val="00553CE4"/>
    <w:rsid w:val="00581843"/>
    <w:rsid w:val="005A6792"/>
    <w:rsid w:val="005B1622"/>
    <w:rsid w:val="005C0580"/>
    <w:rsid w:val="005D2D03"/>
    <w:rsid w:val="005E2CAD"/>
    <w:rsid w:val="005F2FF9"/>
    <w:rsid w:val="005F73BA"/>
    <w:rsid w:val="00625452"/>
    <w:rsid w:val="00641B23"/>
    <w:rsid w:val="0064622A"/>
    <w:rsid w:val="00651E22"/>
    <w:rsid w:val="00666DC0"/>
    <w:rsid w:val="00704D17"/>
    <w:rsid w:val="00710886"/>
    <w:rsid w:val="00773603"/>
    <w:rsid w:val="007948D8"/>
    <w:rsid w:val="0079549F"/>
    <w:rsid w:val="007C5630"/>
    <w:rsid w:val="00812B57"/>
    <w:rsid w:val="00816DC0"/>
    <w:rsid w:val="00873831"/>
    <w:rsid w:val="008A1603"/>
    <w:rsid w:val="008B553B"/>
    <w:rsid w:val="008D54D2"/>
    <w:rsid w:val="008F1B6D"/>
    <w:rsid w:val="00905CC5"/>
    <w:rsid w:val="009508A6"/>
    <w:rsid w:val="00951C61"/>
    <w:rsid w:val="00957B1E"/>
    <w:rsid w:val="009C62F9"/>
    <w:rsid w:val="00A36B7D"/>
    <w:rsid w:val="00A4198A"/>
    <w:rsid w:val="00A5422D"/>
    <w:rsid w:val="00A627F4"/>
    <w:rsid w:val="00A778F1"/>
    <w:rsid w:val="00A92EBE"/>
    <w:rsid w:val="00A97383"/>
    <w:rsid w:val="00AC5CB3"/>
    <w:rsid w:val="00AC6AE5"/>
    <w:rsid w:val="00AD3E8C"/>
    <w:rsid w:val="00B11B44"/>
    <w:rsid w:val="00B20FEB"/>
    <w:rsid w:val="00B52454"/>
    <w:rsid w:val="00B64597"/>
    <w:rsid w:val="00BC5E32"/>
    <w:rsid w:val="00BE43B9"/>
    <w:rsid w:val="00C1177A"/>
    <w:rsid w:val="00C475EB"/>
    <w:rsid w:val="00C712D0"/>
    <w:rsid w:val="00CC50EA"/>
    <w:rsid w:val="00CD32F9"/>
    <w:rsid w:val="00CE2079"/>
    <w:rsid w:val="00CE6149"/>
    <w:rsid w:val="00D0246F"/>
    <w:rsid w:val="00D04F35"/>
    <w:rsid w:val="00D72CAB"/>
    <w:rsid w:val="00D831C0"/>
    <w:rsid w:val="00D96DF3"/>
    <w:rsid w:val="00DB428D"/>
    <w:rsid w:val="00E074B3"/>
    <w:rsid w:val="00E21776"/>
    <w:rsid w:val="00E569FC"/>
    <w:rsid w:val="00EA624A"/>
    <w:rsid w:val="00EC77CE"/>
    <w:rsid w:val="00ED3387"/>
    <w:rsid w:val="00EE3124"/>
    <w:rsid w:val="00EF2BC6"/>
    <w:rsid w:val="00EF6859"/>
    <w:rsid w:val="00F07B99"/>
    <w:rsid w:val="00F15824"/>
    <w:rsid w:val="00F224C5"/>
    <w:rsid w:val="00F37737"/>
    <w:rsid w:val="00F41608"/>
    <w:rsid w:val="00F76A53"/>
    <w:rsid w:val="00FA0706"/>
    <w:rsid w:val="00FD4B3F"/>
    <w:rsid w:val="00FD4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ru v:ext="edit" colors="#9fc"/>
    </o:shapedefaults>
    <o:shapelayout v:ext="edit">
      <o:idmap v:ext="edit" data="1"/>
    </o:shapelayout>
  </w:shapeDefaults>
  <w:decimalSymbol w:val="."/>
  <w:listSeparator w:val=","/>
  <w14:docId w14:val="2B59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76"/>
    <w:pPr>
      <w:spacing w:before="120" w:after="120" w:line="240" w:lineRule="auto"/>
    </w:pPr>
  </w:style>
  <w:style w:type="paragraph" w:styleId="Heading1">
    <w:name w:val="heading 1"/>
    <w:basedOn w:val="Normal"/>
    <w:next w:val="Normal"/>
    <w:link w:val="Heading1Char"/>
    <w:uiPriority w:val="9"/>
    <w:qFormat/>
    <w:rsid w:val="000F5E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2F9"/>
    <w:pPr>
      <w:keepNext/>
      <w:keepLines/>
      <w:spacing w:before="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2CAD"/>
    <w:pPr>
      <w:ind w:left="720"/>
    </w:pPr>
  </w:style>
  <w:style w:type="character" w:customStyle="1" w:styleId="Heading1Char">
    <w:name w:val="Heading 1 Char"/>
    <w:basedOn w:val="DefaultParagraphFont"/>
    <w:link w:val="Heading1"/>
    <w:uiPriority w:val="9"/>
    <w:rsid w:val="000F5E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2F9"/>
    <w:rPr>
      <w:rFonts w:asciiTheme="majorHAnsi" w:eastAsiaTheme="majorEastAsia" w:hAnsiTheme="majorHAnsi" w:cstheme="majorBidi"/>
      <w:b/>
      <w:bCs/>
      <w:color w:val="4F81BD" w:themeColor="accent1"/>
      <w:sz w:val="26"/>
      <w:szCs w:val="26"/>
    </w:rPr>
  </w:style>
  <w:style w:type="paragraph" w:customStyle="1" w:styleId="Requirement">
    <w:name w:val="Requirement"/>
    <w:basedOn w:val="ListParagraph"/>
    <w:next w:val="Rationale"/>
    <w:link w:val="RequirementChar"/>
    <w:qFormat/>
    <w:rsid w:val="00812B57"/>
    <w:pPr>
      <w:keepNext/>
      <w:keepLines/>
      <w:numPr>
        <w:numId w:val="4"/>
      </w:numPr>
      <w:spacing w:before="240"/>
    </w:pPr>
    <w:rPr>
      <w:b/>
      <w:sz w:val="24"/>
    </w:rPr>
  </w:style>
  <w:style w:type="paragraph" w:customStyle="1" w:styleId="Rationale">
    <w:name w:val="Rationale"/>
    <w:basedOn w:val="Normal"/>
    <w:link w:val="RationaleChar"/>
    <w:qFormat/>
    <w:rsid w:val="00FD4BFA"/>
    <w:pPr>
      <w:ind w:left="630"/>
    </w:pPr>
    <w:rPr>
      <w:i/>
    </w:rPr>
  </w:style>
  <w:style w:type="character" w:customStyle="1" w:styleId="ListParagraphChar">
    <w:name w:val="List Paragraph Char"/>
    <w:basedOn w:val="DefaultParagraphFont"/>
    <w:link w:val="ListParagraph"/>
    <w:uiPriority w:val="34"/>
    <w:rsid w:val="0064622A"/>
  </w:style>
  <w:style w:type="character" w:customStyle="1" w:styleId="RequirementChar">
    <w:name w:val="Requirement Char"/>
    <w:basedOn w:val="ListParagraphChar"/>
    <w:link w:val="Requirement"/>
    <w:rsid w:val="00812B57"/>
    <w:rPr>
      <w:b/>
      <w:sz w:val="24"/>
    </w:rPr>
  </w:style>
  <w:style w:type="paragraph" w:styleId="BalloonText">
    <w:name w:val="Balloon Text"/>
    <w:basedOn w:val="Normal"/>
    <w:link w:val="BalloonTextChar"/>
    <w:uiPriority w:val="99"/>
    <w:semiHidden/>
    <w:unhideWhenUsed/>
    <w:rsid w:val="00CD32F9"/>
    <w:pPr>
      <w:spacing w:before="0" w:after="0"/>
    </w:pPr>
    <w:rPr>
      <w:rFonts w:ascii="Tahoma" w:hAnsi="Tahoma" w:cs="Tahoma"/>
      <w:sz w:val="16"/>
      <w:szCs w:val="16"/>
    </w:rPr>
  </w:style>
  <w:style w:type="character" w:customStyle="1" w:styleId="RationaleChar">
    <w:name w:val="Rationale Char"/>
    <w:basedOn w:val="DefaultParagraphFont"/>
    <w:link w:val="Rationale"/>
    <w:rsid w:val="00FD4BFA"/>
    <w:rPr>
      <w:i/>
    </w:rPr>
  </w:style>
  <w:style w:type="character" w:customStyle="1" w:styleId="BalloonTextChar">
    <w:name w:val="Balloon Text Char"/>
    <w:basedOn w:val="DefaultParagraphFont"/>
    <w:link w:val="BalloonText"/>
    <w:uiPriority w:val="99"/>
    <w:semiHidden/>
    <w:rsid w:val="00CD32F9"/>
    <w:rPr>
      <w:rFonts w:ascii="Tahoma" w:hAnsi="Tahoma" w:cs="Tahoma"/>
      <w:sz w:val="16"/>
      <w:szCs w:val="16"/>
    </w:rPr>
  </w:style>
  <w:style w:type="paragraph" w:styleId="Header">
    <w:name w:val="header"/>
    <w:basedOn w:val="Normal"/>
    <w:link w:val="HeaderChar"/>
    <w:uiPriority w:val="99"/>
    <w:unhideWhenUsed/>
    <w:rsid w:val="00452089"/>
    <w:pPr>
      <w:tabs>
        <w:tab w:val="center" w:pos="4680"/>
        <w:tab w:val="right" w:pos="9360"/>
      </w:tabs>
      <w:spacing w:before="0" w:after="0"/>
    </w:pPr>
  </w:style>
  <w:style w:type="character" w:customStyle="1" w:styleId="HeaderChar">
    <w:name w:val="Header Char"/>
    <w:basedOn w:val="DefaultParagraphFont"/>
    <w:link w:val="Header"/>
    <w:uiPriority w:val="99"/>
    <w:rsid w:val="00452089"/>
  </w:style>
  <w:style w:type="paragraph" w:styleId="Footer">
    <w:name w:val="footer"/>
    <w:basedOn w:val="Normal"/>
    <w:link w:val="FooterChar"/>
    <w:uiPriority w:val="99"/>
    <w:unhideWhenUsed/>
    <w:rsid w:val="00452089"/>
    <w:pPr>
      <w:tabs>
        <w:tab w:val="center" w:pos="4680"/>
        <w:tab w:val="right" w:pos="9360"/>
      </w:tabs>
      <w:spacing w:before="0" w:after="0"/>
    </w:pPr>
  </w:style>
  <w:style w:type="character" w:customStyle="1" w:styleId="FooterChar">
    <w:name w:val="Footer Char"/>
    <w:basedOn w:val="DefaultParagraphFont"/>
    <w:link w:val="Footer"/>
    <w:uiPriority w:val="99"/>
    <w:rsid w:val="00452089"/>
  </w:style>
  <w:style w:type="character" w:styleId="CommentReference">
    <w:name w:val="annotation reference"/>
    <w:basedOn w:val="DefaultParagraphFont"/>
    <w:uiPriority w:val="99"/>
    <w:semiHidden/>
    <w:unhideWhenUsed/>
    <w:rsid w:val="000F1D5B"/>
    <w:rPr>
      <w:sz w:val="16"/>
      <w:szCs w:val="16"/>
    </w:rPr>
  </w:style>
  <w:style w:type="paragraph" w:styleId="CommentText">
    <w:name w:val="annotation text"/>
    <w:basedOn w:val="Normal"/>
    <w:link w:val="CommentTextChar"/>
    <w:uiPriority w:val="99"/>
    <w:semiHidden/>
    <w:unhideWhenUsed/>
    <w:rsid w:val="000F1D5B"/>
    <w:rPr>
      <w:sz w:val="20"/>
      <w:szCs w:val="20"/>
    </w:rPr>
  </w:style>
  <w:style w:type="character" w:customStyle="1" w:styleId="CommentTextChar">
    <w:name w:val="Comment Text Char"/>
    <w:basedOn w:val="DefaultParagraphFont"/>
    <w:link w:val="CommentText"/>
    <w:uiPriority w:val="99"/>
    <w:semiHidden/>
    <w:rsid w:val="000F1D5B"/>
    <w:rPr>
      <w:sz w:val="20"/>
      <w:szCs w:val="20"/>
    </w:rPr>
  </w:style>
  <w:style w:type="paragraph" w:styleId="CommentSubject">
    <w:name w:val="annotation subject"/>
    <w:basedOn w:val="CommentText"/>
    <w:next w:val="CommentText"/>
    <w:link w:val="CommentSubjectChar"/>
    <w:uiPriority w:val="99"/>
    <w:semiHidden/>
    <w:unhideWhenUsed/>
    <w:rsid w:val="000F1D5B"/>
    <w:rPr>
      <w:b/>
      <w:bCs/>
    </w:rPr>
  </w:style>
  <w:style w:type="character" w:customStyle="1" w:styleId="CommentSubjectChar">
    <w:name w:val="Comment Subject Char"/>
    <w:basedOn w:val="CommentTextChar"/>
    <w:link w:val="CommentSubject"/>
    <w:uiPriority w:val="99"/>
    <w:semiHidden/>
    <w:rsid w:val="000F1D5B"/>
    <w:rPr>
      <w:b/>
      <w:bCs/>
      <w:sz w:val="20"/>
      <w:szCs w:val="20"/>
    </w:rPr>
  </w:style>
  <w:style w:type="character" w:styleId="Hyperlink">
    <w:name w:val="Hyperlink"/>
    <w:basedOn w:val="DefaultParagraphFont"/>
    <w:uiPriority w:val="99"/>
    <w:unhideWhenUsed/>
    <w:rsid w:val="00CC50EA"/>
    <w:rPr>
      <w:color w:val="0000FF" w:themeColor="hyperlink"/>
      <w:u w:val="single"/>
    </w:rPr>
  </w:style>
  <w:style w:type="character" w:styleId="PageNumber">
    <w:name w:val="page number"/>
    <w:basedOn w:val="DefaultParagraphFont"/>
    <w:uiPriority w:val="99"/>
    <w:semiHidden/>
    <w:unhideWhenUsed/>
    <w:rsid w:val="00E569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76"/>
    <w:pPr>
      <w:spacing w:before="120" w:after="120" w:line="240" w:lineRule="auto"/>
    </w:pPr>
  </w:style>
  <w:style w:type="paragraph" w:styleId="Heading1">
    <w:name w:val="heading 1"/>
    <w:basedOn w:val="Normal"/>
    <w:next w:val="Normal"/>
    <w:link w:val="Heading1Char"/>
    <w:uiPriority w:val="9"/>
    <w:qFormat/>
    <w:rsid w:val="000F5E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2F9"/>
    <w:pPr>
      <w:keepNext/>
      <w:keepLines/>
      <w:spacing w:before="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2CAD"/>
    <w:pPr>
      <w:ind w:left="720"/>
    </w:pPr>
  </w:style>
  <w:style w:type="character" w:customStyle="1" w:styleId="Heading1Char">
    <w:name w:val="Heading 1 Char"/>
    <w:basedOn w:val="DefaultParagraphFont"/>
    <w:link w:val="Heading1"/>
    <w:uiPriority w:val="9"/>
    <w:rsid w:val="000F5E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2F9"/>
    <w:rPr>
      <w:rFonts w:asciiTheme="majorHAnsi" w:eastAsiaTheme="majorEastAsia" w:hAnsiTheme="majorHAnsi" w:cstheme="majorBidi"/>
      <w:b/>
      <w:bCs/>
      <w:color w:val="4F81BD" w:themeColor="accent1"/>
      <w:sz w:val="26"/>
      <w:szCs w:val="26"/>
    </w:rPr>
  </w:style>
  <w:style w:type="paragraph" w:customStyle="1" w:styleId="Requirement">
    <w:name w:val="Requirement"/>
    <w:basedOn w:val="ListParagraph"/>
    <w:next w:val="Rationale"/>
    <w:link w:val="RequirementChar"/>
    <w:qFormat/>
    <w:rsid w:val="00812B57"/>
    <w:pPr>
      <w:keepNext/>
      <w:keepLines/>
      <w:numPr>
        <w:numId w:val="4"/>
      </w:numPr>
      <w:spacing w:before="240"/>
    </w:pPr>
    <w:rPr>
      <w:b/>
      <w:sz w:val="24"/>
    </w:rPr>
  </w:style>
  <w:style w:type="paragraph" w:customStyle="1" w:styleId="Rationale">
    <w:name w:val="Rationale"/>
    <w:basedOn w:val="Normal"/>
    <w:link w:val="RationaleChar"/>
    <w:qFormat/>
    <w:rsid w:val="00FD4BFA"/>
    <w:pPr>
      <w:ind w:left="630"/>
    </w:pPr>
    <w:rPr>
      <w:i/>
    </w:rPr>
  </w:style>
  <w:style w:type="character" w:customStyle="1" w:styleId="ListParagraphChar">
    <w:name w:val="List Paragraph Char"/>
    <w:basedOn w:val="DefaultParagraphFont"/>
    <w:link w:val="ListParagraph"/>
    <w:uiPriority w:val="34"/>
    <w:rsid w:val="0064622A"/>
  </w:style>
  <w:style w:type="character" w:customStyle="1" w:styleId="RequirementChar">
    <w:name w:val="Requirement Char"/>
    <w:basedOn w:val="ListParagraphChar"/>
    <w:link w:val="Requirement"/>
    <w:rsid w:val="00812B57"/>
    <w:rPr>
      <w:b/>
      <w:sz w:val="24"/>
    </w:rPr>
  </w:style>
  <w:style w:type="paragraph" w:styleId="BalloonText">
    <w:name w:val="Balloon Text"/>
    <w:basedOn w:val="Normal"/>
    <w:link w:val="BalloonTextChar"/>
    <w:uiPriority w:val="99"/>
    <w:semiHidden/>
    <w:unhideWhenUsed/>
    <w:rsid w:val="00CD32F9"/>
    <w:pPr>
      <w:spacing w:before="0" w:after="0"/>
    </w:pPr>
    <w:rPr>
      <w:rFonts w:ascii="Tahoma" w:hAnsi="Tahoma" w:cs="Tahoma"/>
      <w:sz w:val="16"/>
      <w:szCs w:val="16"/>
    </w:rPr>
  </w:style>
  <w:style w:type="character" w:customStyle="1" w:styleId="RationaleChar">
    <w:name w:val="Rationale Char"/>
    <w:basedOn w:val="DefaultParagraphFont"/>
    <w:link w:val="Rationale"/>
    <w:rsid w:val="00FD4BFA"/>
    <w:rPr>
      <w:i/>
    </w:rPr>
  </w:style>
  <w:style w:type="character" w:customStyle="1" w:styleId="BalloonTextChar">
    <w:name w:val="Balloon Text Char"/>
    <w:basedOn w:val="DefaultParagraphFont"/>
    <w:link w:val="BalloonText"/>
    <w:uiPriority w:val="99"/>
    <w:semiHidden/>
    <w:rsid w:val="00CD32F9"/>
    <w:rPr>
      <w:rFonts w:ascii="Tahoma" w:hAnsi="Tahoma" w:cs="Tahoma"/>
      <w:sz w:val="16"/>
      <w:szCs w:val="16"/>
    </w:rPr>
  </w:style>
  <w:style w:type="paragraph" w:styleId="Header">
    <w:name w:val="header"/>
    <w:basedOn w:val="Normal"/>
    <w:link w:val="HeaderChar"/>
    <w:uiPriority w:val="99"/>
    <w:unhideWhenUsed/>
    <w:rsid w:val="00452089"/>
    <w:pPr>
      <w:tabs>
        <w:tab w:val="center" w:pos="4680"/>
        <w:tab w:val="right" w:pos="9360"/>
      </w:tabs>
      <w:spacing w:before="0" w:after="0"/>
    </w:pPr>
  </w:style>
  <w:style w:type="character" w:customStyle="1" w:styleId="HeaderChar">
    <w:name w:val="Header Char"/>
    <w:basedOn w:val="DefaultParagraphFont"/>
    <w:link w:val="Header"/>
    <w:uiPriority w:val="99"/>
    <w:rsid w:val="00452089"/>
  </w:style>
  <w:style w:type="paragraph" w:styleId="Footer">
    <w:name w:val="footer"/>
    <w:basedOn w:val="Normal"/>
    <w:link w:val="FooterChar"/>
    <w:uiPriority w:val="99"/>
    <w:unhideWhenUsed/>
    <w:rsid w:val="00452089"/>
    <w:pPr>
      <w:tabs>
        <w:tab w:val="center" w:pos="4680"/>
        <w:tab w:val="right" w:pos="9360"/>
      </w:tabs>
      <w:spacing w:before="0" w:after="0"/>
    </w:pPr>
  </w:style>
  <w:style w:type="character" w:customStyle="1" w:styleId="FooterChar">
    <w:name w:val="Footer Char"/>
    <w:basedOn w:val="DefaultParagraphFont"/>
    <w:link w:val="Footer"/>
    <w:uiPriority w:val="99"/>
    <w:rsid w:val="00452089"/>
  </w:style>
  <w:style w:type="character" w:styleId="CommentReference">
    <w:name w:val="annotation reference"/>
    <w:basedOn w:val="DefaultParagraphFont"/>
    <w:uiPriority w:val="99"/>
    <w:semiHidden/>
    <w:unhideWhenUsed/>
    <w:rsid w:val="000F1D5B"/>
    <w:rPr>
      <w:sz w:val="16"/>
      <w:szCs w:val="16"/>
    </w:rPr>
  </w:style>
  <w:style w:type="paragraph" w:styleId="CommentText">
    <w:name w:val="annotation text"/>
    <w:basedOn w:val="Normal"/>
    <w:link w:val="CommentTextChar"/>
    <w:uiPriority w:val="99"/>
    <w:semiHidden/>
    <w:unhideWhenUsed/>
    <w:rsid w:val="000F1D5B"/>
    <w:rPr>
      <w:sz w:val="20"/>
      <w:szCs w:val="20"/>
    </w:rPr>
  </w:style>
  <w:style w:type="character" w:customStyle="1" w:styleId="CommentTextChar">
    <w:name w:val="Comment Text Char"/>
    <w:basedOn w:val="DefaultParagraphFont"/>
    <w:link w:val="CommentText"/>
    <w:uiPriority w:val="99"/>
    <w:semiHidden/>
    <w:rsid w:val="000F1D5B"/>
    <w:rPr>
      <w:sz w:val="20"/>
      <w:szCs w:val="20"/>
    </w:rPr>
  </w:style>
  <w:style w:type="paragraph" w:styleId="CommentSubject">
    <w:name w:val="annotation subject"/>
    <w:basedOn w:val="CommentText"/>
    <w:next w:val="CommentText"/>
    <w:link w:val="CommentSubjectChar"/>
    <w:uiPriority w:val="99"/>
    <w:semiHidden/>
    <w:unhideWhenUsed/>
    <w:rsid w:val="000F1D5B"/>
    <w:rPr>
      <w:b/>
      <w:bCs/>
    </w:rPr>
  </w:style>
  <w:style w:type="character" w:customStyle="1" w:styleId="CommentSubjectChar">
    <w:name w:val="Comment Subject Char"/>
    <w:basedOn w:val="CommentTextChar"/>
    <w:link w:val="CommentSubject"/>
    <w:uiPriority w:val="99"/>
    <w:semiHidden/>
    <w:rsid w:val="000F1D5B"/>
    <w:rPr>
      <w:b/>
      <w:bCs/>
      <w:sz w:val="20"/>
      <w:szCs w:val="20"/>
    </w:rPr>
  </w:style>
  <w:style w:type="character" w:styleId="Hyperlink">
    <w:name w:val="Hyperlink"/>
    <w:basedOn w:val="DefaultParagraphFont"/>
    <w:uiPriority w:val="99"/>
    <w:unhideWhenUsed/>
    <w:rsid w:val="00CC50EA"/>
    <w:rPr>
      <w:color w:val="0000FF" w:themeColor="hyperlink"/>
      <w:u w:val="single"/>
    </w:rPr>
  </w:style>
  <w:style w:type="character" w:styleId="PageNumber">
    <w:name w:val="page number"/>
    <w:basedOn w:val="DefaultParagraphFont"/>
    <w:uiPriority w:val="99"/>
    <w:semiHidden/>
    <w:unhideWhenUsed/>
    <w:rsid w:val="00E56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03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hyperlink" Target="http://creativecommons.org/licenses/by-sa/3.0/" TargetMode="External"/><Relationship Id="rId11" Type="http://schemas.openxmlformats.org/officeDocument/2006/relationships/hyperlink" Target="https://www.owasp.org/index.php/Category:OWASP_Project" TargetMode="External"/><Relationship Id="rId12" Type="http://schemas.openxmlformats.org/officeDocument/2006/relationships/hyperlink" Target="https://www.owasp.org/index.php/Membership" TargetMode="External"/><Relationship Id="rId13" Type="http://schemas.openxmlformats.org/officeDocument/2006/relationships/hyperlink" Target="https://www.owasp.org/index.php/OWASP_Codes_of_Conduct%23compliance" TargetMode="External"/><Relationship Id="rId14" Type="http://schemas.openxmlformats.org/officeDocument/2006/relationships/hyperlink" Target="https://www.owasp.org/index.php/OWASP_Codes_of_Conduct" TargetMode="External"/><Relationship Id="rId15" Type="http://schemas.openxmlformats.org/officeDocument/2006/relationships/hyperlink" Target="https://www.owasp.org"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D5F27-F252-4841-A175-5B959FF1B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1054</Words>
  <Characters>6011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The OWASP Application Security Code of Conduct for Certifying Bodies</vt:lpstr>
    </vt:vector>
  </TitlesOfParts>
  <Manager/>
  <Company/>
  <LinksUpToDate>false</LinksUpToDate>
  <CharactersWithSpaces>7051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OWASP Application Security Code of Conduct for Certifying Bodies</dc:title>
  <dc:subject>Application Security</dc:subject>
  <dc:creator>OWASP Foundation</dc:creator>
  <cp:keywords>appsec,application,security,certifying,bodies,code,information,assurance</cp:keywords>
  <dc:description>The OWASP "Red Book"</dc:description>
  <cp:lastModifiedBy>Colin Watson</cp:lastModifiedBy>
  <cp:revision>3</cp:revision>
  <dcterms:created xsi:type="dcterms:W3CDTF">2012-04-02T07:52:00Z</dcterms:created>
  <dcterms:modified xsi:type="dcterms:W3CDTF">2012-04-02T07:53:00Z</dcterms:modified>
  <cp:category/>
</cp:coreProperties>
</file>