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85579" w14:textId="77777777" w:rsidR="00E749C2" w:rsidRDefault="00D33E9C">
      <w:r>
        <w:rPr>
          <w:noProof/>
        </w:rPr>
        <w:drawing>
          <wp:anchor distT="0" distB="0" distL="114300" distR="114300" simplePos="0" relativeHeight="251662336" behindDoc="0" locked="0" layoutInCell="1" allowOverlap="1" wp14:anchorId="489D19EA" wp14:editId="4DF80B4F">
            <wp:simplePos x="0" y="0"/>
            <wp:positionH relativeFrom="column">
              <wp:posOffset>5740400</wp:posOffset>
            </wp:positionH>
            <wp:positionV relativeFrom="paragraph">
              <wp:posOffset>0</wp:posOffset>
            </wp:positionV>
            <wp:extent cx="908050" cy="29845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40"/>
      </w:tblGrid>
      <w:tr w:rsidR="00097985" w:rsidRPr="007C48D7" w14:paraId="4D438D35" w14:textId="77777777" w:rsidTr="00E749C2">
        <w:trPr>
          <w:trHeight w:hRule="exact" w:val="2794"/>
        </w:trPr>
        <w:tc>
          <w:tcPr>
            <w:tcW w:w="6480" w:type="dxa"/>
            <w:gridSpan w:val="2"/>
            <w:shd w:val="clear" w:color="auto" w:fill="17365D" w:themeFill="text2" w:themeFillShade="BF"/>
          </w:tcPr>
          <w:p w14:paraId="7303EE8D" w14:textId="666F3C5D" w:rsidR="00097985" w:rsidRDefault="007A39F8" w:rsidP="00E749C2">
            <w:pPr>
              <w:pStyle w:val="Documenttitle"/>
            </w:pPr>
            <w:r>
              <w:t xml:space="preserve">Microsoft </w:t>
            </w:r>
            <w:r w:rsidR="00470DFD">
              <w:t xml:space="preserve">Threat Modeling Tool </w:t>
            </w:r>
            <w:r w:rsidR="002F7785">
              <w:t>2014</w:t>
            </w:r>
          </w:p>
          <w:p w14:paraId="78E39121" w14:textId="77777777" w:rsidR="00097985" w:rsidRPr="007C48D7" w:rsidRDefault="00097985" w:rsidP="00E749C2">
            <w:pPr>
              <w:pStyle w:val="Documenttitle"/>
            </w:pPr>
            <w:r>
              <w:t>Getting Started Guide</w:t>
            </w:r>
          </w:p>
        </w:tc>
      </w:tr>
      <w:tr w:rsidR="00097985" w14:paraId="58EE6F31" w14:textId="77777777" w:rsidTr="00E749C2">
        <w:trPr>
          <w:trHeight w:hRule="exact" w:val="1152"/>
        </w:trPr>
        <w:tc>
          <w:tcPr>
            <w:tcW w:w="2340" w:type="dxa"/>
            <w:shd w:val="clear" w:color="auto" w:fill="00CCFF"/>
          </w:tcPr>
          <w:p w14:paraId="45025175" w14:textId="7EF10AE4" w:rsidR="008E787A" w:rsidRDefault="003169FB" w:rsidP="00E749C2">
            <w:pPr>
              <w:pStyle w:val="Subtitledata"/>
            </w:pPr>
            <w:r>
              <w:t>Microsoft Trustworthy Computing</w:t>
            </w:r>
            <w:r w:rsidR="005F51A4">
              <w:t xml:space="preserve"> Secure Development</w:t>
            </w:r>
          </w:p>
          <w:p w14:paraId="04FBD8CA" w14:textId="77777777" w:rsidR="008E787A" w:rsidRPr="007C48D7" w:rsidRDefault="008E787A" w:rsidP="00E749C2">
            <w:pPr>
              <w:pStyle w:val="Subtitledata"/>
            </w:pPr>
          </w:p>
        </w:tc>
        <w:tc>
          <w:tcPr>
            <w:tcW w:w="4140" w:type="dxa"/>
          </w:tcPr>
          <w:p w14:paraId="4CB86458" w14:textId="77777777" w:rsidR="00097985" w:rsidRDefault="00097985" w:rsidP="00E749C2">
            <w:pPr>
              <w:pStyle w:val="Subtitledata"/>
            </w:pPr>
          </w:p>
        </w:tc>
      </w:tr>
    </w:tbl>
    <w:p w14:paraId="4E2C81DE" w14:textId="77777777" w:rsidR="005B3A98" w:rsidRDefault="005B3A98" w:rsidP="005B3A98">
      <w:pPr>
        <w:pStyle w:val="Contentshdg"/>
      </w:pPr>
      <w:r>
        <w:t>Contents</w:t>
      </w:r>
    </w:p>
    <w:p w14:paraId="245A9FC8" w14:textId="77777777" w:rsidR="006B4EDE" w:rsidRDefault="005B3A98">
      <w:pPr>
        <w:pStyle w:val="TOC1"/>
        <w:rPr>
          <w:rFonts w:asciiTheme="minorHAnsi" w:hAnsiTheme="minorHAnsi"/>
          <w:color w:val="auto"/>
        </w:rPr>
      </w:pPr>
      <w:r w:rsidRPr="007F0501">
        <w:fldChar w:fldCharType="begin"/>
      </w:r>
      <w:r w:rsidR="00C96365">
        <w:instrText xml:space="preserve"> TOC \o "1-2</w:instrText>
      </w:r>
      <w:r w:rsidRPr="007F0501">
        <w:instrText xml:space="preserve">" \h \z \u </w:instrText>
      </w:r>
      <w:r w:rsidRPr="007F0501">
        <w:fldChar w:fldCharType="separate"/>
      </w:r>
      <w:hyperlink w:anchor="_Toc372299034" w:history="1">
        <w:r w:rsidR="006B4EDE" w:rsidRPr="001478FE">
          <w:rPr>
            <w:rStyle w:val="Hyperlink"/>
          </w:rPr>
          <w:t>Overview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_Toc372299034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43B07A5F" w14:textId="77777777" w:rsidR="006B4EDE" w:rsidRDefault="00527F22">
      <w:pPr>
        <w:pStyle w:val="TOC1"/>
        <w:rPr>
          <w:rFonts w:asciiTheme="minorHAnsi" w:hAnsiTheme="minorHAnsi"/>
          <w:color w:val="auto"/>
        </w:rPr>
      </w:pPr>
      <w:hyperlink w:anchor="_Toc372299035" w:history="1">
        <w:r w:rsidR="006B4EDE" w:rsidRPr="001478FE">
          <w:rPr>
            <w:rStyle w:val="Hyperlink"/>
            <w:lang w:val="en"/>
          </w:rPr>
          <w:t>Installation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_Toc372299035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6453699F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36" w:history="1">
        <w:r w:rsidR="006B4EDE" w:rsidRPr="001478FE">
          <w:rPr>
            <w:rStyle w:val="Hyperlink"/>
            <w:lang w:val="en"/>
          </w:rPr>
          <w:t>For Previous Users of Threat Modeling Tool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_Toc372299036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6F07F42B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37" w:history="1">
        <w:r w:rsidR="006B4EDE" w:rsidRPr="001478FE">
          <w:rPr>
            <w:rStyle w:val="Hyperlink"/>
            <w:lang w:val="en"/>
          </w:rPr>
          <w:t>System Requirements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_Toc372299037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1F2EF5AE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38" w:history="1">
        <w:r w:rsidR="006B4EDE" w:rsidRPr="001478FE">
          <w:rPr>
            <w:rStyle w:val="Hyperlink"/>
            <w:lang w:val="en"/>
          </w:rPr>
          <w:t>Download Link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_Toc372299038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6793E8F4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39" w:history="1">
        <w:r w:rsidR="006B4EDE" w:rsidRPr="001478FE">
          <w:rPr>
            <w:rStyle w:val="Hyperlink"/>
          </w:rPr>
          <w:t>Uninstall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_Toc372299039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305CC331" w14:textId="77777777" w:rsidR="006B4EDE" w:rsidRDefault="00527F22">
      <w:pPr>
        <w:pStyle w:val="TOC1"/>
        <w:rPr>
          <w:rFonts w:asciiTheme="minorHAnsi" w:hAnsiTheme="minorHAnsi"/>
          <w:color w:val="auto"/>
        </w:rPr>
      </w:pPr>
      <w:hyperlink w:anchor="_Toc372299040" w:history="1">
        <w:r w:rsidR="006B4EDE" w:rsidRPr="001478FE">
          <w:rPr>
            <w:rStyle w:val="Hyperlink"/>
          </w:rPr>
          <w:t>Walkthrough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_Toc372299040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3</w:t>
        </w:r>
        <w:r w:rsidR="006B4EDE">
          <w:rPr>
            <w:webHidden/>
          </w:rPr>
          <w:fldChar w:fldCharType="end"/>
        </w:r>
      </w:hyperlink>
    </w:p>
    <w:p w14:paraId="71B8ED83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41" w:history="1">
        <w:r w:rsidR="006B4EDE" w:rsidRPr="001478FE">
          <w:rPr>
            <w:rStyle w:val="Hyperlink"/>
          </w:rPr>
          <w:t>Starting Threat Modeling Tool 2014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_Toc372299041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3</w:t>
        </w:r>
        <w:r w:rsidR="006B4EDE">
          <w:rPr>
            <w:webHidden/>
          </w:rPr>
          <w:fldChar w:fldCharType="end"/>
        </w:r>
      </w:hyperlink>
    </w:p>
    <w:p w14:paraId="5E7CBC10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42" w:history="1">
        <w:r w:rsidR="006B4EDE" w:rsidRPr="001478FE">
          <w:rPr>
            <w:rStyle w:val="Hyperlink"/>
          </w:rPr>
          <w:t>Creating a New Threat Model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_Toc372299042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3</w:t>
        </w:r>
        <w:r w:rsidR="006B4EDE">
          <w:rPr>
            <w:webHidden/>
          </w:rPr>
          <w:fldChar w:fldCharType="end"/>
        </w:r>
      </w:hyperlink>
    </w:p>
    <w:p w14:paraId="7247AD37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43" w:history="1">
        <w:r w:rsidR="006B4EDE" w:rsidRPr="001478FE">
          <w:rPr>
            <w:rStyle w:val="Hyperlink"/>
          </w:rPr>
          <w:t>Opening an Existing Threat Model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_Toc372299043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9</w:t>
        </w:r>
        <w:r w:rsidR="006B4EDE">
          <w:rPr>
            <w:webHidden/>
          </w:rPr>
          <w:fldChar w:fldCharType="end"/>
        </w:r>
      </w:hyperlink>
    </w:p>
    <w:p w14:paraId="42CD1D67" w14:textId="77777777" w:rsidR="006B4EDE" w:rsidRDefault="00527F22">
      <w:pPr>
        <w:pStyle w:val="TOC2"/>
        <w:rPr>
          <w:rFonts w:asciiTheme="minorHAnsi" w:hAnsiTheme="minorHAnsi"/>
          <w:color w:val="auto"/>
        </w:rPr>
      </w:pPr>
      <w:hyperlink w:anchor="_Toc372299044" w:history="1">
        <w:r w:rsidR="006B4EDE" w:rsidRPr="001478FE">
          <w:rPr>
            <w:rStyle w:val="Hyperlink"/>
          </w:rPr>
          <w:t>Converting a Threat Model from .tms (TMT 3.1.8) Format to .tm4 (TMT 2014) Format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_Toc372299044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10</w:t>
        </w:r>
        <w:r w:rsidR="006B4EDE">
          <w:rPr>
            <w:webHidden/>
          </w:rPr>
          <w:fldChar w:fldCharType="end"/>
        </w:r>
      </w:hyperlink>
    </w:p>
    <w:p w14:paraId="51EDCD29" w14:textId="77777777" w:rsidR="006B4EDE" w:rsidRDefault="00527F22">
      <w:pPr>
        <w:pStyle w:val="TOC1"/>
        <w:rPr>
          <w:rFonts w:asciiTheme="minorHAnsi" w:hAnsiTheme="minorHAnsi"/>
          <w:color w:val="auto"/>
        </w:rPr>
      </w:pPr>
      <w:hyperlink w:anchor="_Toc372299045" w:history="1">
        <w:r w:rsidR="006B4EDE" w:rsidRPr="001478FE">
          <w:rPr>
            <w:rStyle w:val="Hyperlink"/>
          </w:rPr>
          <w:t>Support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_Toc372299045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11</w:t>
        </w:r>
        <w:r w:rsidR="006B4EDE">
          <w:rPr>
            <w:webHidden/>
          </w:rPr>
          <w:fldChar w:fldCharType="end"/>
        </w:r>
      </w:hyperlink>
    </w:p>
    <w:p w14:paraId="0CF1F673" w14:textId="77777777" w:rsidR="00A8235C" w:rsidRDefault="005B3A98" w:rsidP="005B3A98">
      <w:r w:rsidRPr="007F0501">
        <w:fldChar w:fldCharType="end"/>
      </w:r>
    </w:p>
    <w:p w14:paraId="39886169" w14:textId="77777777" w:rsidR="00F35225" w:rsidRPr="0092241E" w:rsidRDefault="00F35225">
      <w:pPr>
        <w:spacing w:after="200" w:line="276" w:lineRule="auto"/>
      </w:pPr>
      <w:bookmarkStart w:id="0" w:name="_Toc346271812"/>
      <w:r>
        <w:br w:type="page"/>
      </w:r>
    </w:p>
    <w:p w14:paraId="400DC57F" w14:textId="77777777" w:rsidR="00724A46" w:rsidRDefault="00724A46" w:rsidP="007C4BE9">
      <w:pPr>
        <w:pStyle w:val="Heading1"/>
        <w:sectPr w:rsidR="00724A46" w:rsidSect="00F703ED">
          <w:pgSz w:w="12240" w:h="15840"/>
          <w:pgMar w:top="360" w:right="1440" w:bottom="1008" w:left="1440" w:header="288" w:footer="360" w:gutter="0"/>
          <w:pgNumType w:start="1"/>
          <w:cols w:space="720"/>
          <w:docGrid w:linePitch="360"/>
        </w:sectPr>
      </w:pPr>
    </w:p>
    <w:p w14:paraId="2D0DA2CC" w14:textId="77777777" w:rsidR="00626BA2" w:rsidRDefault="007F1950" w:rsidP="00626BA2">
      <w:pPr>
        <w:pStyle w:val="Heading1"/>
      </w:pPr>
      <w:bookmarkStart w:id="1" w:name="_Toc346271824"/>
      <w:bookmarkStart w:id="2" w:name="_Toc372299034"/>
      <w:bookmarkEnd w:id="0"/>
      <w:r>
        <w:lastRenderedPageBreak/>
        <w:t>Overview</w:t>
      </w:r>
      <w:bookmarkEnd w:id="1"/>
      <w:bookmarkEnd w:id="2"/>
    </w:p>
    <w:p w14:paraId="7F2B3C34" w14:textId="5DA9B00C" w:rsidR="007A39F8" w:rsidRDefault="007A39F8" w:rsidP="007A39F8">
      <w:pPr>
        <w:pStyle w:val="BodyText"/>
      </w:pPr>
      <w:r>
        <w:t xml:space="preserve">The Microsoft Threat Modeling Tool </w:t>
      </w:r>
      <w:r w:rsidR="002F7785">
        <w:t xml:space="preserve">2014 </w:t>
      </w:r>
      <w:r>
        <w:t>(TMT)</w:t>
      </w:r>
      <w:r w:rsidR="00EE54B6">
        <w:t xml:space="preserve"> </w:t>
      </w:r>
      <w:r>
        <w:t>is designed to guide you and your product team through the threat modeling process. TMT functionality includes:</w:t>
      </w:r>
    </w:p>
    <w:p w14:paraId="38B19DC3" w14:textId="77777777" w:rsidR="007A39F8" w:rsidRPr="000944A8" w:rsidRDefault="007A39F8" w:rsidP="007A39F8">
      <w:pPr>
        <w:pStyle w:val="ListParagraph"/>
      </w:pPr>
      <w:r w:rsidRPr="000944A8">
        <w:t>An easy drawing environment.</w:t>
      </w:r>
    </w:p>
    <w:p w14:paraId="10FE19E2" w14:textId="77777777" w:rsidR="007A39F8" w:rsidRDefault="007A39F8" w:rsidP="007A39F8">
      <w:pPr>
        <w:pStyle w:val="ListParagraph"/>
      </w:pPr>
      <w:r w:rsidRPr="000944A8">
        <w:t>Automatic threat generation using the STRIDE per interaction approach.</w:t>
      </w:r>
    </w:p>
    <w:p w14:paraId="7F33B6FC" w14:textId="77777777" w:rsidR="007A39F8" w:rsidRPr="000944A8" w:rsidRDefault="007A39F8" w:rsidP="007A39F8">
      <w:pPr>
        <w:pStyle w:val="ListParagraph"/>
      </w:pPr>
      <w:r>
        <w:t xml:space="preserve">An option for user-defined threats to be added. </w:t>
      </w:r>
    </w:p>
    <w:p w14:paraId="7DFFD11D" w14:textId="373905AD" w:rsidR="007A39F8" w:rsidRDefault="007A39F8" w:rsidP="007A39F8">
      <w:pPr>
        <w:pStyle w:val="BodyText"/>
      </w:pPr>
      <w:r>
        <w:t xml:space="preserve">Using </w:t>
      </w:r>
      <w:r w:rsidR="00E26BDF">
        <w:t xml:space="preserve">Microsoft </w:t>
      </w:r>
      <w:r>
        <w:t xml:space="preserve">Threat Modeling Tool (TMT) you can graphically identify processes and data flows that comprise an application or service. </w:t>
      </w:r>
    </w:p>
    <w:p w14:paraId="5A063135" w14:textId="77777777" w:rsidR="009D6DA6" w:rsidRDefault="009D6DA6" w:rsidP="009D6DA6">
      <w:pPr>
        <w:pStyle w:val="Heading1"/>
        <w:rPr>
          <w:lang w:val="en"/>
        </w:rPr>
      </w:pPr>
      <w:bookmarkStart w:id="3" w:name="_Installation"/>
      <w:bookmarkStart w:id="4" w:name="_Toc346271825"/>
      <w:bookmarkStart w:id="5" w:name="_Toc372299035"/>
      <w:bookmarkEnd w:id="3"/>
      <w:r>
        <w:rPr>
          <w:lang w:val="en"/>
        </w:rPr>
        <w:t>Installation</w:t>
      </w:r>
      <w:bookmarkEnd w:id="4"/>
      <w:bookmarkEnd w:id="5"/>
    </w:p>
    <w:p w14:paraId="3A9A98D8" w14:textId="77777777" w:rsidR="00426695" w:rsidRPr="004374FA" w:rsidRDefault="00426695" w:rsidP="00426695">
      <w:pPr>
        <w:pStyle w:val="Heading2"/>
      </w:pPr>
      <w:bookmarkStart w:id="6" w:name="_Toc346271826"/>
      <w:bookmarkStart w:id="7" w:name="_Toc372299036"/>
      <w:r>
        <w:rPr>
          <w:lang w:val="en"/>
        </w:rPr>
        <w:t xml:space="preserve">For Previous Users of </w:t>
      </w:r>
      <w:r w:rsidR="007A39F8">
        <w:rPr>
          <w:lang w:val="en"/>
        </w:rPr>
        <w:t>Threat Modeling Tool</w:t>
      </w:r>
      <w:bookmarkEnd w:id="6"/>
      <w:bookmarkEnd w:id="7"/>
    </w:p>
    <w:p w14:paraId="57E66119" w14:textId="7B533ADC" w:rsidR="007A39F8" w:rsidRDefault="007A39F8" w:rsidP="007A39F8">
      <w:bookmarkStart w:id="8" w:name="_Toc346271827"/>
      <w:r>
        <w:t xml:space="preserve">If you have </w:t>
      </w:r>
      <w:r w:rsidR="004374DF">
        <w:t xml:space="preserve">a </w:t>
      </w:r>
      <w:r>
        <w:t xml:space="preserve">previous version of </w:t>
      </w:r>
      <w:r w:rsidR="004374DF">
        <w:t xml:space="preserve">Microsoft </w:t>
      </w:r>
      <w:r>
        <w:t>Threat Modeling Tool</w:t>
      </w:r>
      <w:r w:rsidR="004374DF">
        <w:t xml:space="preserve">, such as TMT </w:t>
      </w:r>
      <w:r>
        <w:t xml:space="preserve">3.1.8 or </w:t>
      </w:r>
      <w:r w:rsidR="004374DF">
        <w:t>earlier,</w:t>
      </w:r>
      <w:r>
        <w:t xml:space="preserve"> you should be able to run </w:t>
      </w:r>
      <w:r w:rsidR="00563D49">
        <w:t xml:space="preserve">it </w:t>
      </w:r>
      <w:r>
        <w:t>side-by-side with Microsoft Threat Modeling Tool</w:t>
      </w:r>
      <w:r w:rsidR="002F7785">
        <w:t xml:space="preserve"> 2014</w:t>
      </w:r>
      <w:r>
        <w:t>.</w:t>
      </w:r>
    </w:p>
    <w:p w14:paraId="3C27D2A0" w14:textId="77777777" w:rsidR="00F75908" w:rsidRDefault="00426695" w:rsidP="00F75908">
      <w:pPr>
        <w:pStyle w:val="Heading2"/>
        <w:rPr>
          <w:lang w:val="en"/>
        </w:rPr>
      </w:pPr>
      <w:bookmarkStart w:id="9" w:name="_Toc372299037"/>
      <w:r>
        <w:rPr>
          <w:lang w:val="en"/>
        </w:rPr>
        <w:t>System Requirements</w:t>
      </w:r>
      <w:bookmarkEnd w:id="8"/>
      <w:bookmarkEnd w:id="9"/>
    </w:p>
    <w:p w14:paraId="5EC81618" w14:textId="77777777" w:rsidR="009D6DA6" w:rsidRDefault="00426695" w:rsidP="00893E40">
      <w:pPr>
        <w:pStyle w:val="Heading3"/>
      </w:pPr>
      <w:bookmarkStart w:id="10" w:name="_Toc346271828"/>
      <w:r>
        <w:t>Operating System Support</w:t>
      </w:r>
      <w:bookmarkEnd w:id="10"/>
    </w:p>
    <w:p w14:paraId="3D048BFB" w14:textId="1354F3FC" w:rsidR="007A39F8" w:rsidRPr="00426695" w:rsidRDefault="007A39F8" w:rsidP="007A39F8">
      <w:pPr>
        <w:pStyle w:val="BodyText"/>
      </w:pPr>
      <w:r>
        <w:t xml:space="preserve">The table shows the operating systems supported by Microsoft Threat Modeling Tool </w:t>
      </w:r>
      <w:r w:rsidR="002F7785">
        <w:t>2014</w:t>
      </w:r>
      <w:r>
        <w:t>.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Operating System Support for Threat Modeling Tool "/>
      </w:tblPr>
      <w:tblGrid>
        <w:gridCol w:w="5755"/>
        <w:gridCol w:w="3690"/>
      </w:tblGrid>
      <w:tr w:rsidR="00E968DA" w:rsidRPr="00483324" w14:paraId="302AD0AF" w14:textId="77777777" w:rsidTr="002F7785">
        <w:trPr>
          <w:trHeight w:val="386"/>
        </w:trPr>
        <w:tc>
          <w:tcPr>
            <w:tcW w:w="5755" w:type="dxa"/>
            <w:shd w:val="clear" w:color="auto" w:fill="0072C6"/>
            <w:vAlign w:val="bottom"/>
          </w:tcPr>
          <w:p w14:paraId="727B0049" w14:textId="77777777" w:rsidR="00E968DA" w:rsidRPr="00483324" w:rsidRDefault="00E968DA" w:rsidP="001450CC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Operating System</w:t>
            </w:r>
            <w:r w:rsidRPr="00483324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0072C6"/>
            <w:vAlign w:val="bottom"/>
          </w:tcPr>
          <w:p w14:paraId="73C6E422" w14:textId="77777777" w:rsidR="00E968DA" w:rsidRPr="00483324" w:rsidRDefault="00E968DA" w:rsidP="001450CC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Supported</w:t>
            </w:r>
          </w:p>
        </w:tc>
      </w:tr>
      <w:tr w:rsidR="00E968DA" w14:paraId="143EA8FD" w14:textId="77777777" w:rsidTr="002F7785">
        <w:tc>
          <w:tcPr>
            <w:tcW w:w="5755" w:type="dxa"/>
          </w:tcPr>
          <w:p w14:paraId="75948570" w14:textId="77777777" w:rsidR="00E968DA" w:rsidRDefault="007A39F8" w:rsidP="007A39F8">
            <w:pPr>
              <w:spacing w:after="0"/>
            </w:pPr>
            <w:r>
              <w:t>Windows Vista</w:t>
            </w:r>
          </w:p>
        </w:tc>
        <w:tc>
          <w:tcPr>
            <w:tcW w:w="3690" w:type="dxa"/>
          </w:tcPr>
          <w:p w14:paraId="5DD01EE9" w14:textId="77777777" w:rsidR="00E968DA" w:rsidRDefault="007A39F8" w:rsidP="001450CC">
            <w:pPr>
              <w:spacing w:after="0"/>
            </w:pPr>
            <w:r>
              <w:t>No</w:t>
            </w:r>
          </w:p>
        </w:tc>
      </w:tr>
      <w:tr w:rsidR="007A39F8" w14:paraId="42D52BF8" w14:textId="77777777" w:rsidTr="002F7785">
        <w:tc>
          <w:tcPr>
            <w:tcW w:w="5755" w:type="dxa"/>
          </w:tcPr>
          <w:p w14:paraId="42E5AB4E" w14:textId="77777777" w:rsidR="007A39F8" w:rsidRDefault="007A39F8" w:rsidP="007A39F8">
            <w:pPr>
              <w:spacing w:after="0"/>
            </w:pPr>
            <w:r>
              <w:t>Windows 7</w:t>
            </w:r>
          </w:p>
        </w:tc>
        <w:tc>
          <w:tcPr>
            <w:tcW w:w="3690" w:type="dxa"/>
          </w:tcPr>
          <w:p w14:paraId="7FE9AE6B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55436B44" w14:textId="77777777" w:rsidTr="002F7785">
        <w:tc>
          <w:tcPr>
            <w:tcW w:w="5755" w:type="dxa"/>
          </w:tcPr>
          <w:p w14:paraId="07048E8E" w14:textId="77777777" w:rsidR="007A39F8" w:rsidRDefault="007A39F8" w:rsidP="007A39F8">
            <w:pPr>
              <w:spacing w:after="0"/>
            </w:pPr>
            <w:r>
              <w:t>Windows 8</w:t>
            </w:r>
          </w:p>
        </w:tc>
        <w:tc>
          <w:tcPr>
            <w:tcW w:w="3690" w:type="dxa"/>
          </w:tcPr>
          <w:p w14:paraId="54DD9FAC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451939B7" w14:textId="77777777" w:rsidTr="002F7785">
        <w:tc>
          <w:tcPr>
            <w:tcW w:w="5755" w:type="dxa"/>
          </w:tcPr>
          <w:p w14:paraId="1676EB1E" w14:textId="77777777" w:rsidR="007A39F8" w:rsidRDefault="007A39F8" w:rsidP="007A39F8">
            <w:pPr>
              <w:spacing w:after="0"/>
            </w:pPr>
            <w:r>
              <w:t>Windows 8.1</w:t>
            </w:r>
          </w:p>
        </w:tc>
        <w:tc>
          <w:tcPr>
            <w:tcW w:w="3690" w:type="dxa"/>
          </w:tcPr>
          <w:p w14:paraId="6B26A873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515E8FA7" w14:textId="77777777" w:rsidTr="002F7785">
        <w:tc>
          <w:tcPr>
            <w:tcW w:w="5755" w:type="dxa"/>
          </w:tcPr>
          <w:p w14:paraId="73C7F7B8" w14:textId="77777777" w:rsidR="007A39F8" w:rsidRDefault="007A39F8" w:rsidP="007A39F8">
            <w:pPr>
              <w:spacing w:after="0"/>
            </w:pPr>
            <w:r>
              <w:t>Windows 8 ARM</w:t>
            </w:r>
          </w:p>
        </w:tc>
        <w:tc>
          <w:tcPr>
            <w:tcW w:w="3690" w:type="dxa"/>
          </w:tcPr>
          <w:p w14:paraId="597750AB" w14:textId="77777777" w:rsidR="007A39F8" w:rsidRDefault="007A39F8" w:rsidP="007A39F8">
            <w:pPr>
              <w:spacing w:after="0"/>
            </w:pPr>
            <w:r>
              <w:t>No</w:t>
            </w:r>
          </w:p>
        </w:tc>
      </w:tr>
      <w:tr w:rsidR="007A39F8" w14:paraId="2D1D7879" w14:textId="77777777" w:rsidTr="002F7785">
        <w:tc>
          <w:tcPr>
            <w:tcW w:w="5755" w:type="dxa"/>
          </w:tcPr>
          <w:p w14:paraId="5984DA94" w14:textId="77777777" w:rsidR="007A39F8" w:rsidRDefault="007A39F8" w:rsidP="007A39F8">
            <w:pPr>
              <w:spacing w:after="0"/>
            </w:pPr>
            <w:r>
              <w:t>Windows Server 2008 R2</w:t>
            </w:r>
          </w:p>
        </w:tc>
        <w:tc>
          <w:tcPr>
            <w:tcW w:w="3690" w:type="dxa"/>
          </w:tcPr>
          <w:p w14:paraId="58C232A3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552064F2" w14:textId="77777777" w:rsidTr="002F7785">
        <w:tc>
          <w:tcPr>
            <w:tcW w:w="5755" w:type="dxa"/>
          </w:tcPr>
          <w:p w14:paraId="5EA38AF4" w14:textId="77777777" w:rsidR="007A39F8" w:rsidRDefault="007A39F8" w:rsidP="007A39F8">
            <w:pPr>
              <w:spacing w:after="0"/>
            </w:pPr>
            <w:r>
              <w:t>Windows Server 2012</w:t>
            </w:r>
          </w:p>
        </w:tc>
        <w:tc>
          <w:tcPr>
            <w:tcW w:w="3690" w:type="dxa"/>
          </w:tcPr>
          <w:p w14:paraId="43169A0B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7CDAC1E7" w14:textId="77777777" w:rsidTr="002F7785">
        <w:tc>
          <w:tcPr>
            <w:tcW w:w="5755" w:type="dxa"/>
          </w:tcPr>
          <w:p w14:paraId="56CD86A8" w14:textId="77777777" w:rsidR="007A39F8" w:rsidRDefault="007A39F8" w:rsidP="007A39F8">
            <w:pPr>
              <w:spacing w:after="0"/>
            </w:pPr>
            <w:r>
              <w:t>Windows Server 2008 R2 Server Core installation Option</w:t>
            </w:r>
          </w:p>
        </w:tc>
        <w:tc>
          <w:tcPr>
            <w:tcW w:w="3690" w:type="dxa"/>
          </w:tcPr>
          <w:p w14:paraId="25B3C6B5" w14:textId="77777777" w:rsidR="007A39F8" w:rsidRDefault="007A39F8" w:rsidP="007A39F8">
            <w:pPr>
              <w:spacing w:after="0"/>
            </w:pPr>
            <w:r>
              <w:t>No</w:t>
            </w:r>
          </w:p>
        </w:tc>
      </w:tr>
      <w:tr w:rsidR="007A39F8" w14:paraId="52BBCB86" w14:textId="77777777" w:rsidTr="002F7785">
        <w:tc>
          <w:tcPr>
            <w:tcW w:w="5755" w:type="dxa"/>
          </w:tcPr>
          <w:p w14:paraId="6F4DA4F0" w14:textId="77777777" w:rsidR="007A39F8" w:rsidRDefault="007A39F8" w:rsidP="007A39F8">
            <w:pPr>
              <w:spacing w:after="0"/>
            </w:pPr>
            <w:r>
              <w:t>Windows Server 2012 Server Core installation option</w:t>
            </w:r>
          </w:p>
        </w:tc>
        <w:tc>
          <w:tcPr>
            <w:tcW w:w="3690" w:type="dxa"/>
          </w:tcPr>
          <w:p w14:paraId="10BD8C4B" w14:textId="77777777" w:rsidR="007A39F8" w:rsidRDefault="007A39F8" w:rsidP="007A39F8">
            <w:pPr>
              <w:spacing w:after="0"/>
            </w:pPr>
            <w:r>
              <w:t>No</w:t>
            </w:r>
          </w:p>
        </w:tc>
      </w:tr>
    </w:tbl>
    <w:p w14:paraId="1C976AD5" w14:textId="77777777" w:rsidR="00661322" w:rsidRDefault="00E851B3" w:rsidP="00E851B3">
      <w:pPr>
        <w:pStyle w:val="Caption"/>
      </w:pPr>
      <w:r>
        <w:t xml:space="preserve">Table </w:t>
      </w:r>
      <w:fldSimple w:instr=" SEQ Table \* ARABIC ">
        <w:r w:rsidR="004A5623">
          <w:rPr>
            <w:noProof/>
          </w:rPr>
          <w:t>1</w:t>
        </w:r>
      </w:fldSimple>
      <w:r>
        <w:t xml:space="preserve"> Supported Operating Systems</w:t>
      </w:r>
    </w:p>
    <w:p w14:paraId="77EA29C5" w14:textId="77777777" w:rsidR="00661322" w:rsidRPr="00661322" w:rsidRDefault="003D015F" w:rsidP="00661322">
      <w:pPr>
        <w:pStyle w:val="Heading2"/>
        <w:rPr>
          <w:lang w:val="en"/>
        </w:rPr>
      </w:pPr>
      <w:bookmarkStart w:id="11" w:name="_Toc346271829"/>
      <w:bookmarkStart w:id="12" w:name="_Toc372299038"/>
      <w:r>
        <w:rPr>
          <w:lang w:val="en"/>
        </w:rPr>
        <w:t>Download Link</w:t>
      </w:r>
      <w:bookmarkEnd w:id="11"/>
      <w:bookmarkEnd w:id="12"/>
    </w:p>
    <w:p w14:paraId="6D5153D7" w14:textId="30205012" w:rsidR="00A0786C" w:rsidRDefault="00A0786C" w:rsidP="00A0786C">
      <w:pPr>
        <w:pStyle w:val="BodyText"/>
      </w:pPr>
      <w:bookmarkStart w:id="13" w:name="_Toc346271831"/>
      <w:bookmarkStart w:id="14" w:name="_Toc338255509"/>
      <w:r>
        <w:t xml:space="preserve">Microsoft Threat Modeling Tool </w:t>
      </w:r>
      <w:r w:rsidR="002F7785">
        <w:t>2014</w:t>
      </w:r>
      <w:r w:rsidR="00902473">
        <w:t xml:space="preserve"> </w:t>
      </w:r>
      <w:r>
        <w:t xml:space="preserve">and supporting documentation </w:t>
      </w:r>
      <w:r w:rsidR="007353D3">
        <w:t>can be downloaded</w:t>
      </w:r>
      <w:r w:rsidR="00EF69F3">
        <w:t xml:space="preserve"> from</w:t>
      </w:r>
      <w:r>
        <w:t xml:space="preserve"> </w:t>
      </w:r>
      <w:hyperlink r:id="rId9" w:history="1">
        <w:r w:rsidR="005A2705">
          <w:rPr>
            <w:rStyle w:val="Hyperlink"/>
          </w:rPr>
          <w:t>http://microsoft.com/security/sdl</w:t>
        </w:r>
      </w:hyperlink>
      <w:r>
        <w:t>.</w:t>
      </w:r>
      <w:r w:rsidR="00902473">
        <w:t xml:space="preserve"> </w:t>
      </w:r>
    </w:p>
    <w:p w14:paraId="640A40E3" w14:textId="77777777" w:rsidR="00D716E0" w:rsidRDefault="00D716E0" w:rsidP="00D716E0">
      <w:pPr>
        <w:pStyle w:val="Heading2"/>
      </w:pPr>
      <w:bookmarkStart w:id="15" w:name="_Toc372299039"/>
      <w:r>
        <w:t>Uninstall</w:t>
      </w:r>
      <w:bookmarkEnd w:id="13"/>
      <w:bookmarkEnd w:id="15"/>
    </w:p>
    <w:p w14:paraId="78681FF3" w14:textId="77777777" w:rsidR="00FD046B" w:rsidRDefault="007353D3" w:rsidP="00FD046B">
      <w:pPr>
        <w:pStyle w:val="NumberList"/>
      </w:pPr>
      <w:r>
        <w:t xml:space="preserve">Go to </w:t>
      </w:r>
      <w:r w:rsidRPr="00FD046B">
        <w:rPr>
          <w:b/>
        </w:rPr>
        <w:t>Control Panel &gt; Programs and Features</w:t>
      </w:r>
      <w:r>
        <w:t xml:space="preserve">. </w:t>
      </w:r>
    </w:p>
    <w:p w14:paraId="4D9EA529" w14:textId="331DF1FC" w:rsidR="007353D3" w:rsidRPr="009F6F41" w:rsidRDefault="007353D3" w:rsidP="00FD046B">
      <w:pPr>
        <w:pStyle w:val="NumberList"/>
      </w:pPr>
      <w:r>
        <w:t xml:space="preserve">Right-click </w:t>
      </w:r>
      <w:r w:rsidR="00E83B20">
        <w:rPr>
          <w:b/>
        </w:rPr>
        <w:t xml:space="preserve">Microsoft </w:t>
      </w:r>
      <w:r w:rsidR="00563D49">
        <w:rPr>
          <w:b/>
        </w:rPr>
        <w:t>Threat Modeling Tool 2014</w:t>
      </w:r>
      <w:r>
        <w:t xml:space="preserve"> and select</w:t>
      </w:r>
      <w:r w:rsidRPr="006F225F">
        <w:t xml:space="preserve"> </w:t>
      </w:r>
      <w:r w:rsidRPr="00FD046B">
        <w:rPr>
          <w:b/>
        </w:rPr>
        <w:t>Uninstall</w:t>
      </w:r>
      <w:r w:rsidRPr="006F225F">
        <w:t>.</w:t>
      </w:r>
      <w:r>
        <w:t xml:space="preserve"> </w:t>
      </w:r>
    </w:p>
    <w:p w14:paraId="72BBA795" w14:textId="77777777" w:rsidR="003D015F" w:rsidRDefault="003D015F" w:rsidP="003D015F">
      <w:pPr>
        <w:pStyle w:val="Heading1"/>
      </w:pPr>
      <w:bookmarkStart w:id="16" w:name="_Toc346271832"/>
      <w:bookmarkStart w:id="17" w:name="_Toc372299040"/>
      <w:r w:rsidRPr="00D420EB">
        <w:lastRenderedPageBreak/>
        <w:t>Walkthrough</w:t>
      </w:r>
      <w:bookmarkEnd w:id="14"/>
      <w:bookmarkEnd w:id="16"/>
      <w:bookmarkEnd w:id="17"/>
    </w:p>
    <w:p w14:paraId="6BCF0B3B" w14:textId="6BF6ABA3" w:rsidR="00A0786C" w:rsidRDefault="00A0786C" w:rsidP="007353D3">
      <w:pPr>
        <w:pStyle w:val="BodyText"/>
      </w:pPr>
      <w:r>
        <w:t>This guide will provide basic guidance on how to create a new threat model</w:t>
      </w:r>
      <w:r w:rsidR="007353D3">
        <w:t xml:space="preserve">. </w:t>
      </w:r>
      <w:r>
        <w:t xml:space="preserve">This Getting Started Guide covers: </w:t>
      </w:r>
    </w:p>
    <w:p w14:paraId="00EEC123" w14:textId="77777777" w:rsidR="00A0786C" w:rsidRDefault="00A0786C" w:rsidP="00FD046B">
      <w:pPr>
        <w:pStyle w:val="NumberList"/>
        <w:numPr>
          <w:ilvl w:val="0"/>
          <w:numId w:val="29"/>
        </w:numPr>
      </w:pPr>
      <w:r w:rsidRPr="000944A8">
        <w:t>Creating a new threat model</w:t>
      </w:r>
    </w:p>
    <w:p w14:paraId="62740200" w14:textId="77777777" w:rsidR="00A0786C" w:rsidRDefault="00A0786C" w:rsidP="00A0786C">
      <w:pPr>
        <w:pStyle w:val="NumberList"/>
      </w:pPr>
      <w:r w:rsidRPr="000944A8">
        <w:t>Opening an existing threat model</w:t>
      </w:r>
    </w:p>
    <w:p w14:paraId="177DB33D" w14:textId="7E8CE295" w:rsidR="00A0786C" w:rsidRDefault="00A0786C" w:rsidP="00A0786C">
      <w:pPr>
        <w:pStyle w:val="NumberList"/>
      </w:pPr>
      <w:r w:rsidRPr="000944A8">
        <w:t xml:space="preserve">Converting a </w:t>
      </w:r>
      <w:r>
        <w:t xml:space="preserve">threat model from </w:t>
      </w:r>
      <w:r w:rsidR="007353D3">
        <w:t xml:space="preserve">TMT </w:t>
      </w:r>
      <w:r w:rsidR="00C54128">
        <w:t>3.1.8</w:t>
      </w:r>
      <w:r>
        <w:t xml:space="preserve"> format to </w:t>
      </w:r>
      <w:r w:rsidR="007B1578">
        <w:t xml:space="preserve">the </w:t>
      </w:r>
      <w:r w:rsidR="004159FC">
        <w:t xml:space="preserve">new </w:t>
      </w:r>
      <w:r w:rsidR="007353D3">
        <w:t xml:space="preserve">TMT </w:t>
      </w:r>
      <w:r w:rsidR="004159FC">
        <w:t>.</w:t>
      </w:r>
      <w:r w:rsidR="009F4712">
        <w:t>tm4</w:t>
      </w:r>
      <w:r w:rsidR="004159FC">
        <w:t xml:space="preserve"> format</w:t>
      </w:r>
    </w:p>
    <w:p w14:paraId="4C51E60E" w14:textId="12BE8980" w:rsidR="007353D3" w:rsidRDefault="007353D3" w:rsidP="007353D3">
      <w:pPr>
        <w:pStyle w:val="BodyText"/>
        <w:rPr>
          <w:lang w:val="en"/>
        </w:rPr>
      </w:pPr>
      <w:r>
        <w:t xml:space="preserve">For more details about TMT, see </w:t>
      </w:r>
      <w:r w:rsidR="00FD046B" w:rsidRPr="00FD046B">
        <w:rPr>
          <w:i/>
        </w:rPr>
        <w:t>Microsoft Threat Modeling Tool</w:t>
      </w:r>
      <w:r w:rsidR="00FD046B">
        <w:t xml:space="preserve"> </w:t>
      </w:r>
      <w:r w:rsidR="002F7785">
        <w:rPr>
          <w:i/>
        </w:rPr>
        <w:t>2014</w:t>
      </w:r>
      <w:r w:rsidRPr="007353D3">
        <w:rPr>
          <w:i/>
        </w:rPr>
        <w:t xml:space="preserve"> User Guide</w:t>
      </w:r>
      <w:r>
        <w:t>, available at</w:t>
      </w:r>
      <w:r w:rsidR="005A2705">
        <w:t xml:space="preserve"> </w:t>
      </w:r>
      <w:hyperlink r:id="rId10" w:history="1">
        <w:r w:rsidR="005A2705">
          <w:rPr>
            <w:rStyle w:val="Hyperlink"/>
          </w:rPr>
          <w:t>http://microsoft.com/security/sdl</w:t>
        </w:r>
      </w:hyperlink>
      <w:r>
        <w:t>.</w:t>
      </w:r>
    </w:p>
    <w:p w14:paraId="2352A508" w14:textId="4BB4CD70" w:rsidR="00E6315C" w:rsidRPr="004374FA" w:rsidRDefault="00150378" w:rsidP="00AD4CAA">
      <w:pPr>
        <w:pStyle w:val="Heading2"/>
      </w:pPr>
      <w:bookmarkStart w:id="18" w:name="_Toc346271833"/>
      <w:bookmarkStart w:id="19" w:name="_Toc372299041"/>
      <w:r>
        <w:t xml:space="preserve">Starting </w:t>
      </w:r>
      <w:r w:rsidR="00A0786C">
        <w:t xml:space="preserve">Threat Modeling Tool </w:t>
      </w:r>
      <w:bookmarkEnd w:id="18"/>
      <w:r w:rsidR="002F7785">
        <w:t>2014</w:t>
      </w:r>
      <w:bookmarkEnd w:id="19"/>
    </w:p>
    <w:p w14:paraId="3491F0DC" w14:textId="7DDD724D" w:rsidR="003E64C8" w:rsidRDefault="003E64C8" w:rsidP="003E64C8">
      <w:pPr>
        <w:pStyle w:val="BodyText"/>
      </w:pPr>
      <w:bookmarkStart w:id="20" w:name="_Toc346271834"/>
      <w:r>
        <w:t xml:space="preserve">To start TMT, click the TMT desktop shortcut. </w:t>
      </w:r>
    </w:p>
    <w:p w14:paraId="5DD1F04D" w14:textId="77777777" w:rsidR="003E64C8" w:rsidRDefault="003E64C8" w:rsidP="003E64C8">
      <w:pPr>
        <w:pStyle w:val="BodyText"/>
      </w:pPr>
      <w:r>
        <w:t xml:space="preserve">You can also start TMT from the command line. Open a command window and execute: </w:t>
      </w:r>
    </w:p>
    <w:p w14:paraId="59FCA5A5" w14:textId="19E54C4D" w:rsidR="003E64C8" w:rsidRPr="003E64C8" w:rsidRDefault="003E64C8" w:rsidP="003E64C8">
      <w:pPr>
        <w:ind w:left="360" w:hanging="360"/>
        <w:rPr>
          <w:b/>
        </w:rPr>
      </w:pPr>
      <w:r w:rsidRPr="003E64C8">
        <w:rPr>
          <w:b/>
        </w:rPr>
        <w:t xml:space="preserve">C:\Program Files (x86)\Microsoft Threat Modeling Tool </w:t>
      </w:r>
      <w:r w:rsidR="00942D35">
        <w:rPr>
          <w:b/>
        </w:rPr>
        <w:t>2014</w:t>
      </w:r>
      <w:r w:rsidRPr="003E64C8">
        <w:rPr>
          <w:b/>
        </w:rPr>
        <w:t>\TMT4.exe</w:t>
      </w:r>
    </w:p>
    <w:p w14:paraId="2DD8412B" w14:textId="77777777" w:rsidR="00A0786C" w:rsidRPr="00966BAE" w:rsidRDefault="00A0786C" w:rsidP="00A0786C">
      <w:pPr>
        <w:pStyle w:val="Heading2"/>
        <w:tabs>
          <w:tab w:val="left" w:pos="5880"/>
        </w:tabs>
      </w:pPr>
      <w:bookmarkStart w:id="21" w:name="_Starting_ASA_from"/>
      <w:bookmarkStart w:id="22" w:name="_Toc371932149"/>
      <w:bookmarkStart w:id="23" w:name="_Ref372014346"/>
      <w:bookmarkStart w:id="24" w:name="_Toc372299042"/>
      <w:bookmarkEnd w:id="20"/>
      <w:bookmarkEnd w:id="21"/>
      <w:r>
        <w:t>Creating a New Threat M</w:t>
      </w:r>
      <w:r w:rsidRPr="00966BAE">
        <w:t>odel</w:t>
      </w:r>
      <w:bookmarkEnd w:id="22"/>
      <w:bookmarkEnd w:id="23"/>
      <w:bookmarkEnd w:id="24"/>
      <w:r>
        <w:tab/>
      </w:r>
    </w:p>
    <w:p w14:paraId="5C48DE1E" w14:textId="77777777" w:rsidR="00FD046B" w:rsidRDefault="00A0786C" w:rsidP="003E64C8">
      <w:pPr>
        <w:pStyle w:val="BodyText"/>
      </w:pPr>
      <w:r w:rsidRPr="000944A8">
        <w:t xml:space="preserve">This section describes the steps to create a new threat model. </w:t>
      </w:r>
    </w:p>
    <w:p w14:paraId="727E1A62" w14:textId="77777777" w:rsidR="00FD046B" w:rsidRDefault="00FD046B" w:rsidP="00FD046B">
      <w:pPr>
        <w:pStyle w:val="NumberList"/>
        <w:numPr>
          <w:ilvl w:val="0"/>
          <w:numId w:val="27"/>
        </w:numPr>
      </w:pPr>
      <w:r>
        <w:t xml:space="preserve">Start TMT and from the Home screen, click </w:t>
      </w:r>
      <w:r w:rsidRPr="009D46DD">
        <w:rPr>
          <w:b/>
        </w:rPr>
        <w:t>Create a Model</w:t>
      </w:r>
      <w:r>
        <w:rPr>
          <w:b/>
        </w:rPr>
        <w:t xml:space="preserve">. </w:t>
      </w:r>
      <w:r w:rsidRPr="00FD046B">
        <w:t>This</w:t>
      </w:r>
      <w:r>
        <w:rPr>
          <w:b/>
        </w:rPr>
        <w:t xml:space="preserve"> </w:t>
      </w:r>
      <w:r>
        <w:t>brings up the drawing surface where you will create the data flow diagram.</w:t>
      </w:r>
      <w:r w:rsidRPr="007B768D">
        <w:t xml:space="preserve"> </w:t>
      </w:r>
    </w:p>
    <w:p w14:paraId="64AC9DDF" w14:textId="4629A11F" w:rsidR="00A0786C" w:rsidRDefault="00BD6546" w:rsidP="00A0786C">
      <w:pPr>
        <w:pStyle w:val="Caption"/>
      </w:pPr>
      <w:r>
        <w:rPr>
          <w:noProof/>
        </w:rPr>
        <w:lastRenderedPageBreak/>
        <w:drawing>
          <wp:inline distT="0" distB="0" distL="0" distR="0" wp14:anchorId="69E63671" wp14:editId="7DEB47AD">
            <wp:extent cx="5939790" cy="40671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6C">
        <w:br/>
        <w:t xml:space="preserve">Figure </w:t>
      </w:r>
      <w:fldSimple w:instr=" SEQ Figure \* ARABIC ">
        <w:r w:rsidR="004A5623">
          <w:rPr>
            <w:noProof/>
          </w:rPr>
          <w:t>1</w:t>
        </w:r>
      </w:fldSimple>
      <w:r w:rsidR="00A0786C">
        <w:t xml:space="preserve"> Threat Modeling Tool Drawing Surface</w:t>
      </w:r>
    </w:p>
    <w:p w14:paraId="4D316BAC" w14:textId="77777777" w:rsidR="00A0786C" w:rsidRPr="002C480C" w:rsidRDefault="00A0786C" w:rsidP="00A0786C">
      <w:pPr>
        <w:pStyle w:val="Heading3"/>
      </w:pPr>
      <w:bookmarkStart w:id="25" w:name="_Toc352061160"/>
      <w:bookmarkStart w:id="26" w:name="_Toc371932150"/>
      <w:r>
        <w:t>Drawing Your Model</w:t>
      </w:r>
      <w:bookmarkEnd w:id="25"/>
      <w:bookmarkEnd w:id="26"/>
    </w:p>
    <w:p w14:paraId="7BFC8264" w14:textId="461B06F0" w:rsidR="00A0786C" w:rsidRDefault="00A0786C" w:rsidP="00A0786C">
      <w:pPr>
        <w:pStyle w:val="BodyText"/>
      </w:pPr>
      <w:r>
        <w:t xml:space="preserve">Draw your data flow diagram </w:t>
      </w:r>
      <w:r w:rsidR="004E2945">
        <w:t xml:space="preserve">by selecting elements from the </w:t>
      </w:r>
      <w:r w:rsidR="004E2945" w:rsidRPr="004E2945">
        <w:rPr>
          <w:b/>
        </w:rPr>
        <w:t>Stencil</w:t>
      </w:r>
      <w:r w:rsidR="004E2945">
        <w:rPr>
          <w:b/>
        </w:rPr>
        <w:t>s</w:t>
      </w:r>
      <w:r w:rsidR="004E2945">
        <w:t xml:space="preserve"> pane. You can select p</w:t>
      </w:r>
      <w:r>
        <w:t>rocess</w:t>
      </w:r>
      <w:r w:rsidR="004E2945">
        <w:t>es</w:t>
      </w:r>
      <w:r>
        <w:t xml:space="preserve">, </w:t>
      </w:r>
      <w:r w:rsidR="004E2945">
        <w:t>e</w:t>
      </w:r>
      <w:r>
        <w:t xml:space="preserve">xternal entities, data </w:t>
      </w:r>
      <w:r w:rsidR="004E2945">
        <w:t>s</w:t>
      </w:r>
      <w:r>
        <w:t>tore</w:t>
      </w:r>
      <w:r w:rsidR="004E2945">
        <w:t>s</w:t>
      </w:r>
      <w:r>
        <w:t xml:space="preserve">, data </w:t>
      </w:r>
      <w:r w:rsidR="004E2945">
        <w:t>f</w:t>
      </w:r>
      <w:r>
        <w:t>low</w:t>
      </w:r>
      <w:r w:rsidR="004E2945">
        <w:t>s,</w:t>
      </w:r>
      <w:r>
        <w:t xml:space="preserve"> and trust </w:t>
      </w:r>
      <w:r w:rsidR="004E2945">
        <w:t>b</w:t>
      </w:r>
      <w:r>
        <w:t>oundar</w:t>
      </w:r>
      <w:r w:rsidR="004E2945">
        <w:t>ies</w:t>
      </w:r>
      <w:r>
        <w:t>.</w:t>
      </w:r>
    </w:p>
    <w:p w14:paraId="21233F86" w14:textId="3D54A0E8" w:rsidR="00A0786C" w:rsidRDefault="00A0786C" w:rsidP="009757E5">
      <w:pPr>
        <w:pStyle w:val="NumberList"/>
        <w:numPr>
          <w:ilvl w:val="0"/>
          <w:numId w:val="28"/>
        </w:numPr>
      </w:pPr>
      <w:r w:rsidRPr="002C480C">
        <w:t xml:space="preserve">To select an </w:t>
      </w:r>
      <w:r w:rsidR="006F7EA5">
        <w:t>element</w:t>
      </w:r>
      <w:r w:rsidRPr="002C480C">
        <w:t xml:space="preserve"> to draw, click on the corresponding icon</w:t>
      </w:r>
      <w:r w:rsidR="004E2945">
        <w:t xml:space="preserve"> in the </w:t>
      </w:r>
      <w:r w:rsidR="004E2945" w:rsidRPr="004E2945">
        <w:rPr>
          <w:b/>
        </w:rPr>
        <w:t>Stencils</w:t>
      </w:r>
      <w:r w:rsidR="004E2945">
        <w:t xml:space="preserve"> pane</w:t>
      </w:r>
      <w:r w:rsidRPr="002C480C">
        <w:t xml:space="preserve">. You can also </w:t>
      </w:r>
      <w:r>
        <w:t xml:space="preserve">select </w:t>
      </w:r>
      <w:r w:rsidR="004E2945">
        <w:t xml:space="preserve">an </w:t>
      </w:r>
      <w:r w:rsidR="006F7EA5">
        <w:t>element</w:t>
      </w:r>
      <w:r>
        <w:t xml:space="preserve"> from the </w:t>
      </w:r>
      <w:r w:rsidRPr="004E2945">
        <w:rPr>
          <w:b/>
        </w:rPr>
        <w:t>Stencils</w:t>
      </w:r>
      <w:r>
        <w:t xml:space="preserve"> </w:t>
      </w:r>
      <w:r w:rsidR="004E2945">
        <w:t xml:space="preserve">pane </w:t>
      </w:r>
      <w:r>
        <w:t>and drag it across the</w:t>
      </w:r>
      <w:r w:rsidRPr="002C480C">
        <w:t xml:space="preserve"> </w:t>
      </w:r>
      <w:r>
        <w:t>drawing</w:t>
      </w:r>
      <w:r w:rsidRPr="002C480C">
        <w:t xml:space="preserve"> surface.</w:t>
      </w:r>
    </w:p>
    <w:p w14:paraId="6048C1A2" w14:textId="6B36FFF2" w:rsidR="00A0786C" w:rsidRPr="002C480C" w:rsidRDefault="004E2945" w:rsidP="009757E5">
      <w:pPr>
        <w:pStyle w:val="NumberList"/>
      </w:pPr>
      <w:r>
        <w:t xml:space="preserve">Right-click on the drawing surface to bring </w:t>
      </w:r>
      <w:r w:rsidR="00A0786C">
        <w:t xml:space="preserve">up a context menu </w:t>
      </w:r>
      <w:r>
        <w:t xml:space="preserve">that allows you to add a generic element </w:t>
      </w:r>
      <w:r w:rsidR="00A0786C">
        <w:t xml:space="preserve">from each </w:t>
      </w:r>
      <w:r w:rsidRPr="004E2945">
        <w:rPr>
          <w:b/>
        </w:rPr>
        <w:t>S</w:t>
      </w:r>
      <w:r w:rsidR="00A0786C" w:rsidRPr="004E2945">
        <w:rPr>
          <w:b/>
        </w:rPr>
        <w:t>tencils</w:t>
      </w:r>
      <w:r w:rsidR="00A0786C">
        <w:t xml:space="preserve"> </w:t>
      </w:r>
      <w:r>
        <w:t>category</w:t>
      </w:r>
      <w:r w:rsidR="00F92431">
        <w:t>.</w:t>
      </w:r>
    </w:p>
    <w:p w14:paraId="62394867" w14:textId="373D7214" w:rsidR="00A0786C" w:rsidRDefault="00A0786C" w:rsidP="009757E5">
      <w:pPr>
        <w:pStyle w:val="NumberList"/>
      </w:pPr>
      <w:r w:rsidRPr="002C480C">
        <w:t xml:space="preserve">To </w:t>
      </w:r>
      <w:r>
        <w:t>add</w:t>
      </w:r>
      <w:r w:rsidRPr="002C480C">
        <w:t xml:space="preserve"> a data</w:t>
      </w:r>
      <w:r>
        <w:t xml:space="preserve"> </w:t>
      </w:r>
      <w:r w:rsidRPr="002C480C">
        <w:t xml:space="preserve">flow between the two most recently selected objects, right-click the </w:t>
      </w:r>
      <w:r>
        <w:t xml:space="preserve">drawing </w:t>
      </w:r>
      <w:r w:rsidRPr="002C480C">
        <w:t xml:space="preserve">surface and select </w:t>
      </w:r>
      <w:r w:rsidRPr="00DC082F">
        <w:rPr>
          <w:b/>
        </w:rPr>
        <w:t>Connect</w:t>
      </w:r>
      <w:r>
        <w:t xml:space="preserve"> or </w:t>
      </w:r>
      <w:r w:rsidRPr="00DC082F">
        <w:rPr>
          <w:b/>
        </w:rPr>
        <w:t>Bi-Directional Connect</w:t>
      </w:r>
      <w:r w:rsidR="004E2945">
        <w:t>.</w:t>
      </w:r>
      <w:r>
        <w:t xml:space="preserve"> </w:t>
      </w:r>
      <w:r w:rsidR="004E2945">
        <w:t xml:space="preserve">Alternatively, </w:t>
      </w:r>
      <w:r>
        <w:t xml:space="preserve">select the appropriate data flow from the </w:t>
      </w:r>
      <w:r w:rsidRPr="004E2945">
        <w:rPr>
          <w:b/>
        </w:rPr>
        <w:t>Flow</w:t>
      </w:r>
      <w:r>
        <w:t xml:space="preserve"> </w:t>
      </w:r>
      <w:r w:rsidR="004E2945">
        <w:t xml:space="preserve">tab in the </w:t>
      </w:r>
      <w:r w:rsidR="004E2945" w:rsidRPr="004E2945">
        <w:rPr>
          <w:b/>
        </w:rPr>
        <w:t>Stencils</w:t>
      </w:r>
      <w:r w:rsidR="004E2945">
        <w:t xml:space="preserve"> pane and place it on the drawing surface. </w:t>
      </w:r>
      <w:r>
        <w:t xml:space="preserve"> </w:t>
      </w:r>
    </w:p>
    <w:p w14:paraId="4A9B8E7B" w14:textId="2065E870" w:rsidR="00A0786C" w:rsidRDefault="00BD6546" w:rsidP="00A0786C">
      <w:pPr>
        <w:pStyle w:val="Caption"/>
      </w:pPr>
      <w:r>
        <w:rPr>
          <w:noProof/>
        </w:rPr>
        <w:lastRenderedPageBreak/>
        <w:drawing>
          <wp:inline distT="0" distB="0" distL="0" distR="0" wp14:anchorId="4DC7CF44" wp14:editId="5EACA5EA">
            <wp:extent cx="5932805" cy="400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6C">
        <w:br/>
        <w:t xml:space="preserve">Figure </w:t>
      </w:r>
      <w:fldSimple w:instr=" SEQ Figure \* ARABIC ">
        <w:r w:rsidR="004A5623">
          <w:rPr>
            <w:noProof/>
          </w:rPr>
          <w:t>2</w:t>
        </w:r>
      </w:fldSimple>
      <w:r w:rsidR="00A0786C">
        <w:t xml:space="preserve"> Sample Threat Model Showing a Data Flow</w:t>
      </w:r>
    </w:p>
    <w:p w14:paraId="335A30F8" w14:textId="0BCE5AAF" w:rsidR="00A0786C" w:rsidRPr="004E2945" w:rsidRDefault="009E2B7A" w:rsidP="009E2B7A">
      <w:pPr>
        <w:pStyle w:val="NumberList"/>
      </w:pPr>
      <w:r>
        <w:t>T</w:t>
      </w:r>
      <w:r w:rsidRPr="004E2945">
        <w:t>o more fully describe the data flow</w:t>
      </w:r>
      <w:r>
        <w:t xml:space="preserve">s in your system, </w:t>
      </w:r>
      <w:r w:rsidR="00A0786C" w:rsidRPr="004E2945">
        <w:t>specify attributes for the elements in your</w:t>
      </w:r>
      <w:r>
        <w:t xml:space="preserve"> diagram</w:t>
      </w:r>
      <w:r w:rsidR="00A0786C" w:rsidRPr="004E2945">
        <w:t>.</w:t>
      </w:r>
      <w:r w:rsidR="004E2945">
        <w:t xml:space="preserve"> </w:t>
      </w:r>
      <w:r>
        <w:t>R</w:t>
      </w:r>
      <w:r w:rsidR="00A0786C" w:rsidRPr="004E2945">
        <w:t xml:space="preserve">ight-clicking </w:t>
      </w:r>
      <w:r>
        <w:t xml:space="preserve">an </w:t>
      </w:r>
      <w:r w:rsidR="00EE54B6">
        <w:t>element</w:t>
      </w:r>
      <w:r>
        <w:t xml:space="preserve"> to convert it to </w:t>
      </w:r>
      <w:r w:rsidR="00A0786C" w:rsidRPr="004E2945">
        <w:t xml:space="preserve">another </w:t>
      </w:r>
      <w:r w:rsidR="006F7EA5">
        <w:t>element</w:t>
      </w:r>
      <w:r w:rsidR="00A0786C" w:rsidRPr="004E2945">
        <w:t xml:space="preserve"> type. If necessary, convert it from a generic element to a specific type of process, data flow, data store, external </w:t>
      </w:r>
      <w:r w:rsidR="006F7EA5">
        <w:t>element</w:t>
      </w:r>
      <w:r>
        <w:t>,</w:t>
      </w:r>
      <w:r w:rsidR="00A0786C" w:rsidRPr="004E2945">
        <w:t xml:space="preserve"> or trust boundary. For example, a generic data flow can be converted to HTTPS</w:t>
      </w:r>
      <w:r w:rsidR="008C37FB">
        <w:t>.</w:t>
      </w:r>
      <w:r w:rsidR="00A0786C" w:rsidRPr="004E2945">
        <w:t xml:space="preserve"> </w:t>
      </w:r>
      <w:r w:rsidR="004E2945">
        <w:t xml:space="preserve"> </w:t>
      </w:r>
      <w:r w:rsidR="00A0786C" w:rsidRPr="004E2945">
        <w:t xml:space="preserve">Additionally, you can edit the properties of the element directly in the </w:t>
      </w:r>
      <w:r w:rsidR="00A0786C" w:rsidRPr="009E2B7A">
        <w:rPr>
          <w:b/>
        </w:rPr>
        <w:t>Properties</w:t>
      </w:r>
      <w:r w:rsidR="00A0786C" w:rsidRPr="004E2945">
        <w:t xml:space="preserve"> pane.</w:t>
      </w:r>
    </w:p>
    <w:p w14:paraId="26156DA4" w14:textId="78C612EB" w:rsidR="00A0786C" w:rsidRDefault="00BD6546" w:rsidP="00A0786C">
      <w:pPr>
        <w:pStyle w:val="Caption"/>
      </w:pPr>
      <w:bookmarkStart w:id="27" w:name="_Ref372009725"/>
      <w:r>
        <w:rPr>
          <w:noProof/>
        </w:rPr>
        <w:lastRenderedPageBreak/>
        <w:drawing>
          <wp:inline distT="0" distB="0" distL="0" distR="0" wp14:anchorId="0495129F" wp14:editId="14A0D2DD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6C">
        <w:br/>
        <w:t xml:space="preserve">Figure </w:t>
      </w:r>
      <w:fldSimple w:instr=" SEQ Figure \* ARABIC ">
        <w:r w:rsidR="004A5623">
          <w:rPr>
            <w:noProof/>
          </w:rPr>
          <w:t>3</w:t>
        </w:r>
      </w:fldSimple>
      <w:r w:rsidR="00A0786C">
        <w:t xml:space="preserve"> Identifying a Data Flow as HTTPS</w:t>
      </w:r>
      <w:bookmarkEnd w:id="27"/>
    </w:p>
    <w:p w14:paraId="1F1BF45D" w14:textId="77777777" w:rsidR="00A0786C" w:rsidRDefault="00A0786C" w:rsidP="00A0786C">
      <w:pPr>
        <w:pStyle w:val="Heading3"/>
      </w:pPr>
      <w:bookmarkStart w:id="28" w:name="_Toc352061161"/>
      <w:bookmarkStart w:id="29" w:name="_Toc371932151"/>
      <w:r>
        <w:t>Analyzing Threats</w:t>
      </w:r>
      <w:bookmarkEnd w:id="28"/>
      <w:bookmarkEnd w:id="29"/>
    </w:p>
    <w:p w14:paraId="0E7A47B7" w14:textId="02D53E50" w:rsidR="00A0786C" w:rsidRDefault="00A0786C" w:rsidP="00A0786C">
      <w:pPr>
        <w:pStyle w:val="BodyText"/>
      </w:pPr>
      <w:r>
        <w:t xml:space="preserve">When </w:t>
      </w:r>
      <w:r w:rsidR="00662455">
        <w:t xml:space="preserve">you have completed your </w:t>
      </w:r>
      <w:r>
        <w:t xml:space="preserve">data flow diagram, switch to the </w:t>
      </w:r>
      <w:r w:rsidR="00662455">
        <w:t>A</w:t>
      </w:r>
      <w:r>
        <w:t xml:space="preserve">nalysis view by </w:t>
      </w:r>
      <w:r w:rsidR="00662455">
        <w:t xml:space="preserve">using </w:t>
      </w:r>
      <w:r>
        <w:t xml:space="preserve">one of </w:t>
      </w:r>
      <w:r w:rsidR="008C37FB">
        <w:t xml:space="preserve">the following </w:t>
      </w:r>
      <w:r>
        <w:t>methods:</w:t>
      </w:r>
    </w:p>
    <w:p w14:paraId="041DE63D" w14:textId="49C42FCB" w:rsidR="00A0786C" w:rsidRPr="000944A8" w:rsidRDefault="00A0786C" w:rsidP="00A0786C">
      <w:pPr>
        <w:pStyle w:val="ListParagraph"/>
      </w:pPr>
      <w:r w:rsidRPr="000944A8">
        <w:t xml:space="preserve">From the View menu, </w:t>
      </w:r>
      <w:r w:rsidR="009E2B7A">
        <w:t>select</w:t>
      </w:r>
      <w:r w:rsidRPr="000944A8">
        <w:t xml:space="preserve"> </w:t>
      </w:r>
      <w:r w:rsidRPr="000944A8">
        <w:rPr>
          <w:b/>
        </w:rPr>
        <w:t>Analysis View</w:t>
      </w:r>
      <w:r w:rsidRPr="000944A8">
        <w:t>.</w:t>
      </w:r>
      <w:r w:rsidR="009E2B7A">
        <w:t xml:space="preserve"> </w:t>
      </w:r>
    </w:p>
    <w:p w14:paraId="0A1672D4" w14:textId="5CE916CC" w:rsidR="00A0786C" w:rsidRPr="000944A8" w:rsidRDefault="00A0786C" w:rsidP="00A0786C">
      <w:pPr>
        <w:pStyle w:val="ListParagraph"/>
      </w:pPr>
      <w:r w:rsidRPr="000944A8">
        <w:t xml:space="preserve">Click the </w:t>
      </w:r>
      <w:r w:rsidRPr="000944A8">
        <w:rPr>
          <w:b/>
        </w:rPr>
        <w:t>Analysis View</w:t>
      </w:r>
      <w:r w:rsidRPr="000944A8">
        <w:t xml:space="preserve"> </w:t>
      </w:r>
      <w:r w:rsidR="009E2B7A">
        <w:t>button</w:t>
      </w:r>
      <w:r w:rsidR="009E2B7A" w:rsidRPr="000944A8">
        <w:t xml:space="preserve"> </w:t>
      </w:r>
      <w:r w:rsidRPr="000944A8">
        <w:t>on the toolbar</w:t>
      </w:r>
      <w:r w:rsidR="00B47C90">
        <w:t>.</w:t>
      </w:r>
    </w:p>
    <w:p w14:paraId="1A3FD921" w14:textId="35502C23" w:rsidR="00A0786C" w:rsidRDefault="00D00017" w:rsidP="00A0786C">
      <w:pPr>
        <w:keepNext/>
      </w:pPr>
      <w:r>
        <w:rPr>
          <w:noProof/>
        </w:rPr>
        <w:drawing>
          <wp:inline distT="0" distB="0" distL="0" distR="0" wp14:anchorId="44589791" wp14:editId="717F2234">
            <wp:extent cx="5939790" cy="906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7D9D" w14:textId="57FA6258" w:rsidR="00A0786C" w:rsidRDefault="00A0786C" w:rsidP="00A0786C">
      <w:pPr>
        <w:pStyle w:val="Caption"/>
      </w:pPr>
      <w:bookmarkStart w:id="30" w:name="_Ref372017171"/>
      <w:r>
        <w:t xml:space="preserve">Figure </w:t>
      </w:r>
      <w:fldSimple w:instr=" SEQ Figure \* ARABIC ">
        <w:r w:rsidR="004A5623">
          <w:rPr>
            <w:noProof/>
          </w:rPr>
          <w:t>4</w:t>
        </w:r>
      </w:fldSimple>
      <w:bookmarkEnd w:id="30"/>
      <w:r>
        <w:t xml:space="preserve"> Selecting Analysis </w:t>
      </w:r>
      <w:r w:rsidR="0095170E">
        <w:t xml:space="preserve">View </w:t>
      </w:r>
      <w:r>
        <w:t>from the Toolbar</w:t>
      </w:r>
    </w:p>
    <w:p w14:paraId="64D3C070" w14:textId="77777777" w:rsidR="00A0786C" w:rsidRDefault="00A0786C" w:rsidP="00A0786C">
      <w:pPr>
        <w:pStyle w:val="Heading3"/>
      </w:pPr>
      <w:bookmarkStart w:id="31" w:name="_Toc352061162"/>
      <w:bookmarkStart w:id="32" w:name="_Toc371932152"/>
      <w:r>
        <w:t>Entering Mitigation Information</w:t>
      </w:r>
      <w:bookmarkEnd w:id="31"/>
      <w:bookmarkEnd w:id="32"/>
    </w:p>
    <w:p w14:paraId="2A8A805A" w14:textId="77777777" w:rsidR="00A0786C" w:rsidRDefault="00A0786C" w:rsidP="00A0786C">
      <w:pPr>
        <w:pStyle w:val="BodyText"/>
      </w:pPr>
      <w:r>
        <w:t>For each of your threats, enter information about how to mitigate the threat:</w:t>
      </w:r>
    </w:p>
    <w:p w14:paraId="7E6B345A" w14:textId="4107B577" w:rsidR="00D51CD9" w:rsidRDefault="00A0786C" w:rsidP="001450CC">
      <w:pPr>
        <w:pStyle w:val="NumberList"/>
        <w:numPr>
          <w:ilvl w:val="0"/>
          <w:numId w:val="30"/>
        </w:numPr>
      </w:pPr>
      <w:r>
        <w:t xml:space="preserve">Determine if the threat requires mitigation and categorize the mitigation by selecting one of the </w:t>
      </w:r>
      <w:r w:rsidR="00D51CD9">
        <w:t xml:space="preserve">following </w:t>
      </w:r>
      <w:r>
        <w:t xml:space="preserve">options </w:t>
      </w:r>
      <w:r w:rsidR="00BB697E">
        <w:t xml:space="preserve">from </w:t>
      </w:r>
      <w:r>
        <w:t xml:space="preserve">the </w:t>
      </w:r>
      <w:r w:rsidR="00BB697E" w:rsidRPr="00BB697E">
        <w:t>T</w:t>
      </w:r>
      <w:r w:rsidRPr="00BB697E">
        <w:t xml:space="preserve">hreat </w:t>
      </w:r>
      <w:r w:rsidR="00BB697E" w:rsidRPr="00BB697E">
        <w:t>S</w:t>
      </w:r>
      <w:r w:rsidRPr="00BB697E">
        <w:t>tate</w:t>
      </w:r>
      <w:r>
        <w:t xml:space="preserve"> dropdown list</w:t>
      </w:r>
      <w:r w:rsidR="00D51CD9">
        <w:t>.</w:t>
      </w:r>
    </w:p>
    <w:p w14:paraId="1361E4ED" w14:textId="715F88D3" w:rsidR="00D51CD9" w:rsidRDefault="00A0786C" w:rsidP="001450CC">
      <w:pPr>
        <w:pStyle w:val="NumberList"/>
        <w:numPr>
          <w:ilvl w:val="1"/>
          <w:numId w:val="30"/>
        </w:numPr>
      </w:pPr>
      <w:r>
        <w:t>Not Started</w:t>
      </w:r>
    </w:p>
    <w:p w14:paraId="3E59C88E" w14:textId="7910ECDA" w:rsidR="00D51CD9" w:rsidRDefault="00A0786C" w:rsidP="001450CC">
      <w:pPr>
        <w:pStyle w:val="NumberList"/>
        <w:numPr>
          <w:ilvl w:val="1"/>
          <w:numId w:val="30"/>
        </w:numPr>
      </w:pPr>
      <w:r>
        <w:t>Needs Investigation</w:t>
      </w:r>
    </w:p>
    <w:p w14:paraId="7D1EE5CD" w14:textId="195B5E1C" w:rsidR="00D51CD9" w:rsidRDefault="00A0786C" w:rsidP="001450CC">
      <w:pPr>
        <w:pStyle w:val="NumberList"/>
        <w:numPr>
          <w:ilvl w:val="1"/>
          <w:numId w:val="30"/>
        </w:numPr>
      </w:pPr>
      <w:r>
        <w:t>Not Applicable</w:t>
      </w:r>
    </w:p>
    <w:p w14:paraId="2562DAFE" w14:textId="77777777" w:rsidR="00D51CD9" w:rsidRDefault="00A0786C" w:rsidP="001450CC">
      <w:pPr>
        <w:pStyle w:val="NumberList"/>
        <w:numPr>
          <w:ilvl w:val="1"/>
          <w:numId w:val="30"/>
        </w:numPr>
      </w:pPr>
      <w:r>
        <w:lastRenderedPageBreak/>
        <w:t>Mitigated</w:t>
      </w:r>
    </w:p>
    <w:p w14:paraId="2A224621" w14:textId="6DD2098C" w:rsidR="007B1578" w:rsidRDefault="00D00017" w:rsidP="007B1578">
      <w:pPr>
        <w:pStyle w:val="Caption"/>
        <w:keepNext/>
      </w:pPr>
      <w:r>
        <w:rPr>
          <w:noProof/>
        </w:rPr>
        <w:drawing>
          <wp:inline distT="0" distB="0" distL="0" distR="0" wp14:anchorId="5E86E25F" wp14:editId="09752325">
            <wp:extent cx="5918200" cy="38404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8D05" w14:textId="35A7CFB5" w:rsidR="008C37FB" w:rsidRPr="008C37FB" w:rsidRDefault="007B1578" w:rsidP="008C37FB">
      <w:pPr>
        <w:pStyle w:val="Caption"/>
      </w:pPr>
      <w:r>
        <w:t xml:space="preserve">Figure </w:t>
      </w:r>
      <w:fldSimple w:instr=" SEQ Figure \* ARABIC ">
        <w:r w:rsidR="004A5623">
          <w:rPr>
            <w:noProof/>
          </w:rPr>
          <w:t>5</w:t>
        </w:r>
      </w:fldSimple>
      <w:r>
        <w:t xml:space="preserve"> </w:t>
      </w:r>
      <w:r w:rsidRPr="006443D9">
        <w:t>Selecting Mitigation Information</w:t>
      </w:r>
    </w:p>
    <w:p w14:paraId="5C77FCF1" w14:textId="0B52963E" w:rsidR="00A0786C" w:rsidRDefault="00A0786C" w:rsidP="00D51CD9">
      <w:pPr>
        <w:pStyle w:val="NumberList"/>
      </w:pPr>
      <w:r>
        <w:t xml:space="preserve">Select </w:t>
      </w:r>
      <w:r w:rsidR="00D51CD9">
        <w:t xml:space="preserve">one of the following </w:t>
      </w:r>
      <w:r>
        <w:t>t</w:t>
      </w:r>
      <w:r w:rsidR="00D51CD9">
        <w:t xml:space="preserve">hreat priorities </w:t>
      </w:r>
      <w:r>
        <w:t xml:space="preserve">from the </w:t>
      </w:r>
      <w:r w:rsidR="00BB697E" w:rsidRPr="00BB697E">
        <w:t>Threat Category</w:t>
      </w:r>
      <w:r w:rsidR="00BB697E">
        <w:t xml:space="preserve"> </w:t>
      </w:r>
      <w:r>
        <w:t>dropdown list</w:t>
      </w:r>
      <w:r w:rsidR="00D51CD9">
        <w:t xml:space="preserve">. </w:t>
      </w:r>
    </w:p>
    <w:p w14:paraId="022F8C03" w14:textId="77777777" w:rsidR="00D51CD9" w:rsidRDefault="00D51CD9" w:rsidP="00D51CD9">
      <w:pPr>
        <w:pStyle w:val="NumberList"/>
        <w:numPr>
          <w:ilvl w:val="1"/>
          <w:numId w:val="11"/>
        </w:numPr>
      </w:pPr>
      <w:r>
        <w:t>High (default)</w:t>
      </w:r>
    </w:p>
    <w:p w14:paraId="751AF620" w14:textId="77777777" w:rsidR="00D51CD9" w:rsidRDefault="00D51CD9" w:rsidP="00D51CD9">
      <w:pPr>
        <w:pStyle w:val="NumberList"/>
        <w:numPr>
          <w:ilvl w:val="1"/>
          <w:numId w:val="11"/>
        </w:numPr>
      </w:pPr>
      <w:r>
        <w:t>Medium</w:t>
      </w:r>
    </w:p>
    <w:p w14:paraId="26611BD2" w14:textId="77777777" w:rsidR="00D51CD9" w:rsidRPr="00D51CD9" w:rsidRDefault="00D51CD9" w:rsidP="001450CC">
      <w:pPr>
        <w:pStyle w:val="NumberList"/>
        <w:numPr>
          <w:ilvl w:val="1"/>
          <w:numId w:val="11"/>
        </w:numPr>
      </w:pPr>
      <w:r>
        <w:t>Low</w:t>
      </w:r>
    </w:p>
    <w:p w14:paraId="0331E6F2" w14:textId="2DE29939" w:rsidR="00A0786C" w:rsidRPr="00D51CD9" w:rsidRDefault="00A0786C" w:rsidP="00D51CD9">
      <w:pPr>
        <w:pStyle w:val="NumberList"/>
      </w:pPr>
      <w:r w:rsidRPr="00D51CD9">
        <w:t xml:space="preserve">Click the expand/collapse control on the left of each threat to view description and </w:t>
      </w:r>
      <w:r w:rsidR="00FC18C0">
        <w:t xml:space="preserve">enter </w:t>
      </w:r>
      <w:r w:rsidRPr="00D51CD9">
        <w:t>mitigation information for each threat</w:t>
      </w:r>
      <w:r w:rsidR="00D51CD9">
        <w:t>.</w:t>
      </w:r>
      <w:r w:rsidR="00BF14CF">
        <w:br/>
      </w:r>
      <w:r w:rsidR="00BF14CF" w:rsidRPr="009F4712">
        <w:rPr>
          <w:b/>
        </w:rPr>
        <w:t>NOTE</w:t>
      </w:r>
      <w:r w:rsidR="00BF14CF">
        <w:t xml:space="preserve">: Justification is required for threats </w:t>
      </w:r>
      <w:r w:rsidR="007B1578">
        <w:t xml:space="preserve">in the </w:t>
      </w:r>
      <w:r w:rsidR="00BF14CF" w:rsidRPr="007B1578">
        <w:rPr>
          <w:b/>
        </w:rPr>
        <w:t>Mitigated</w:t>
      </w:r>
      <w:r w:rsidR="00BF14CF">
        <w:t xml:space="preserve"> </w:t>
      </w:r>
      <w:r w:rsidR="007B1578">
        <w:t>or</w:t>
      </w:r>
      <w:r w:rsidR="00BF14CF">
        <w:t xml:space="preserve"> </w:t>
      </w:r>
      <w:r w:rsidR="00BF14CF" w:rsidRPr="007B1578">
        <w:rPr>
          <w:b/>
        </w:rPr>
        <w:t>Not Applicable</w:t>
      </w:r>
      <w:r w:rsidR="00BF14CF">
        <w:t xml:space="preserve"> state</w:t>
      </w:r>
      <w:r w:rsidR="007B1578">
        <w:t>s</w:t>
      </w:r>
      <w:r w:rsidR="00BF14CF">
        <w:t xml:space="preserve">. </w:t>
      </w:r>
    </w:p>
    <w:p w14:paraId="3254ACF8" w14:textId="3417A916" w:rsidR="00A0786C" w:rsidRPr="00D51CD9" w:rsidRDefault="00A0786C" w:rsidP="008C37FB">
      <w:pPr>
        <w:pStyle w:val="NumberList"/>
        <w:keepNext/>
      </w:pPr>
      <w:r w:rsidRPr="00D51CD9">
        <w:lastRenderedPageBreak/>
        <w:t xml:space="preserve">Enter your mitigation information in the </w:t>
      </w:r>
      <w:r w:rsidR="00BB697E" w:rsidRPr="00BB697E">
        <w:rPr>
          <w:b/>
        </w:rPr>
        <w:t>J</w:t>
      </w:r>
      <w:r w:rsidRPr="00BB697E">
        <w:rPr>
          <w:b/>
        </w:rPr>
        <w:t xml:space="preserve">ustification </w:t>
      </w:r>
      <w:r w:rsidR="00BB697E" w:rsidRPr="00BB697E">
        <w:rPr>
          <w:b/>
        </w:rPr>
        <w:t>for threat state change</w:t>
      </w:r>
      <w:r w:rsidR="00BB697E">
        <w:t xml:space="preserve"> </w:t>
      </w:r>
      <w:r w:rsidRPr="00D51CD9">
        <w:t>text box</w:t>
      </w:r>
      <w:r w:rsidR="00BB697E">
        <w:t>.</w:t>
      </w:r>
      <w:r w:rsidRPr="00D51CD9">
        <w:t xml:space="preserve"> </w:t>
      </w:r>
      <w:r w:rsidR="00BB697E">
        <w:t xml:space="preserve"> </w:t>
      </w:r>
    </w:p>
    <w:p w14:paraId="3B171BC0" w14:textId="0EDCF809" w:rsidR="007B1578" w:rsidRDefault="00D00017" w:rsidP="007B1578">
      <w:pPr>
        <w:pStyle w:val="Caption"/>
        <w:keepNext/>
      </w:pPr>
      <w:r>
        <w:rPr>
          <w:noProof/>
        </w:rPr>
        <w:drawing>
          <wp:inline distT="0" distB="0" distL="0" distR="0" wp14:anchorId="507EFD0D" wp14:editId="37F6B726">
            <wp:extent cx="5939790" cy="386270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8733" w14:textId="65252030" w:rsidR="00A0786C" w:rsidRDefault="007B1578" w:rsidP="00A0786C">
      <w:pPr>
        <w:pStyle w:val="Caption"/>
      </w:pPr>
      <w:r>
        <w:t xml:space="preserve">Figure </w:t>
      </w:r>
      <w:fldSimple w:instr=" SEQ Figure \* ARABIC ">
        <w:r w:rsidR="004A5623">
          <w:rPr>
            <w:noProof/>
          </w:rPr>
          <w:t>6</w:t>
        </w:r>
      </w:fldSimple>
      <w:r>
        <w:t xml:space="preserve"> </w:t>
      </w:r>
      <w:r w:rsidRPr="00014E58">
        <w:t>Enter Justification for Threat State Change</w:t>
      </w:r>
      <w:r w:rsidR="00A0786C">
        <w:br/>
      </w:r>
    </w:p>
    <w:p w14:paraId="660791FE" w14:textId="63C27FEE" w:rsidR="00A0786C" w:rsidRPr="003410B4" w:rsidRDefault="00A0786C" w:rsidP="00A0786C">
      <w:pPr>
        <w:pStyle w:val="Heading3"/>
      </w:pPr>
      <w:bookmarkStart w:id="33" w:name="_Toc352061163"/>
      <w:bookmarkStart w:id="34" w:name="_Toc371932153"/>
      <w:r>
        <w:t>Finish and Create a Report</w:t>
      </w:r>
      <w:bookmarkEnd w:id="33"/>
      <w:bookmarkEnd w:id="34"/>
    </w:p>
    <w:p w14:paraId="4B78B6CF" w14:textId="77777777" w:rsidR="00A0786C" w:rsidRDefault="00A0786C" w:rsidP="00A0786C">
      <w:pPr>
        <w:pStyle w:val="BodyText"/>
      </w:pPr>
      <w:r>
        <w:t>After all threats have been addressed, finish your threat model:</w:t>
      </w:r>
    </w:p>
    <w:p w14:paraId="7109EE80" w14:textId="77E94D05" w:rsidR="00A0786C" w:rsidRDefault="00A0786C" w:rsidP="00104887">
      <w:pPr>
        <w:pStyle w:val="NumberList"/>
        <w:numPr>
          <w:ilvl w:val="0"/>
          <w:numId w:val="31"/>
        </w:numPr>
      </w:pPr>
      <w:r>
        <w:t xml:space="preserve">If you have not done so already, </w:t>
      </w:r>
      <w:r w:rsidR="00104887">
        <w:t xml:space="preserve">enter </w:t>
      </w:r>
      <w:r w:rsidR="0095170E">
        <w:t xml:space="preserve">general </w:t>
      </w:r>
      <w:r>
        <w:t xml:space="preserve">information about the threat model </w:t>
      </w:r>
      <w:r w:rsidR="00104887">
        <w:t xml:space="preserve">by selecting </w:t>
      </w:r>
      <w:r w:rsidR="00104887" w:rsidRPr="00104887">
        <w:rPr>
          <w:b/>
        </w:rPr>
        <w:t>Model Info</w:t>
      </w:r>
      <w:r w:rsidR="00104887">
        <w:t xml:space="preserve"> from the main menu. </w:t>
      </w:r>
      <w:r>
        <w:t>This information includes:</w:t>
      </w:r>
    </w:p>
    <w:p w14:paraId="250F9365" w14:textId="77777777" w:rsidR="00A0786C" w:rsidRDefault="00A0786C" w:rsidP="00104887">
      <w:pPr>
        <w:pStyle w:val="NumberList"/>
        <w:numPr>
          <w:ilvl w:val="1"/>
          <w:numId w:val="11"/>
        </w:numPr>
      </w:pPr>
      <w:r>
        <w:t>Review participants</w:t>
      </w:r>
    </w:p>
    <w:p w14:paraId="61965CEF" w14:textId="77777777" w:rsidR="00A0786C" w:rsidRDefault="00A0786C" w:rsidP="00104887">
      <w:pPr>
        <w:pStyle w:val="NumberList"/>
        <w:numPr>
          <w:ilvl w:val="1"/>
          <w:numId w:val="11"/>
        </w:numPr>
      </w:pPr>
      <w:r>
        <w:t>A brief description</w:t>
      </w:r>
    </w:p>
    <w:p w14:paraId="60783575" w14:textId="4C3CB0A0" w:rsidR="00A0786C" w:rsidRDefault="00A0786C" w:rsidP="00104887">
      <w:pPr>
        <w:pStyle w:val="NumberList"/>
        <w:numPr>
          <w:ilvl w:val="1"/>
          <w:numId w:val="11"/>
        </w:numPr>
      </w:pPr>
      <w:r>
        <w:t xml:space="preserve">Answers to the security questions </w:t>
      </w:r>
      <w:r w:rsidR="00104887">
        <w:t xml:space="preserve">that </w:t>
      </w:r>
      <w:r>
        <w:t>address any additional risks and assumptions about the system being modeled.</w:t>
      </w:r>
    </w:p>
    <w:p w14:paraId="7EA7B446" w14:textId="046675BC" w:rsidR="00A0786C" w:rsidRPr="003410B4" w:rsidRDefault="00104887" w:rsidP="00104887">
      <w:pPr>
        <w:pStyle w:val="NumberList"/>
      </w:pPr>
      <w:r>
        <w:t>To s</w:t>
      </w:r>
      <w:r w:rsidR="00A0786C">
        <w:t>ave the model</w:t>
      </w:r>
      <w:r>
        <w:t xml:space="preserve">, select </w:t>
      </w:r>
      <w:r w:rsidR="00A0786C" w:rsidRPr="003410B4">
        <w:rPr>
          <w:b/>
        </w:rPr>
        <w:t>File &gt;Save As</w:t>
      </w:r>
      <w:r w:rsidR="00A0786C">
        <w:t>.</w:t>
      </w:r>
      <w:r w:rsidR="00A0786C" w:rsidRPr="003410B4">
        <w:t xml:space="preserve"> </w:t>
      </w:r>
    </w:p>
    <w:p w14:paraId="02BBDB6B" w14:textId="366CA3C8" w:rsidR="00A0786C" w:rsidRDefault="00104887" w:rsidP="00104887">
      <w:pPr>
        <w:pStyle w:val="NumberList"/>
      </w:pPr>
      <w:r>
        <w:t>To c</w:t>
      </w:r>
      <w:r w:rsidR="00A0786C">
        <w:t>reate a report</w:t>
      </w:r>
      <w:r>
        <w:t xml:space="preserve">, select </w:t>
      </w:r>
      <w:r w:rsidR="00A0786C" w:rsidRPr="003410B4">
        <w:rPr>
          <w:b/>
        </w:rPr>
        <w:t>Reports</w:t>
      </w:r>
      <w:r w:rsidR="00A0786C">
        <w:t xml:space="preserve"> </w:t>
      </w:r>
      <w:r w:rsidR="00A0786C" w:rsidRPr="003410B4">
        <w:rPr>
          <w:b/>
        </w:rPr>
        <w:t>&gt;Full Report</w:t>
      </w:r>
      <w:r w:rsidR="00A0786C">
        <w:t>.</w:t>
      </w:r>
    </w:p>
    <w:p w14:paraId="12546917" w14:textId="77777777" w:rsidR="007B1578" w:rsidRDefault="00A0786C" w:rsidP="007B1578">
      <w:pPr>
        <w:keepNext/>
      </w:pPr>
      <w:r>
        <w:rPr>
          <w:noProof/>
        </w:rPr>
        <w:lastRenderedPageBreak/>
        <w:drawing>
          <wp:inline distT="0" distB="0" distL="0" distR="0" wp14:anchorId="7D31DC5C" wp14:editId="0B419887">
            <wp:extent cx="4829175" cy="5153025"/>
            <wp:effectExtent l="0" t="0" r="9525" b="9525"/>
            <wp:docPr id="15" name="Picture 15" descr="To create a Threat Modeling Report report, select Reports &gt;Full Report." title="Sample Threat Modeling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041" w14:textId="04105E31" w:rsidR="00A0786C" w:rsidRDefault="007B1578" w:rsidP="007B1578">
      <w:pPr>
        <w:pStyle w:val="Caption"/>
      </w:pPr>
      <w:r>
        <w:t xml:space="preserve">Figure </w:t>
      </w:r>
      <w:fldSimple w:instr=" SEQ Figure \* ARABIC ">
        <w:r w:rsidR="004A5623">
          <w:rPr>
            <w:noProof/>
          </w:rPr>
          <w:t>7</w:t>
        </w:r>
      </w:fldSimple>
      <w:r>
        <w:t xml:space="preserve"> </w:t>
      </w:r>
      <w:r w:rsidRPr="00582EF7">
        <w:t>Sample Threat Modeling Report</w:t>
      </w:r>
    </w:p>
    <w:p w14:paraId="2AE74A04" w14:textId="77777777" w:rsidR="009757E5" w:rsidRPr="00966BAE" w:rsidRDefault="009757E5" w:rsidP="009757E5">
      <w:pPr>
        <w:pStyle w:val="Heading2"/>
      </w:pPr>
      <w:bookmarkStart w:id="35" w:name="_Toc372299043"/>
      <w:r>
        <w:t>Opening an Existing Threat M</w:t>
      </w:r>
      <w:r w:rsidRPr="00966BAE">
        <w:t>odel</w:t>
      </w:r>
      <w:bookmarkEnd w:id="35"/>
    </w:p>
    <w:p w14:paraId="060F3693" w14:textId="77777777" w:rsidR="00104887" w:rsidRDefault="009757E5" w:rsidP="00104887">
      <w:pPr>
        <w:pStyle w:val="NumberList"/>
        <w:numPr>
          <w:ilvl w:val="0"/>
          <w:numId w:val="32"/>
        </w:numPr>
      </w:pPr>
      <w:r>
        <w:t xml:space="preserve">Start TMT, </w:t>
      </w:r>
      <w:r w:rsidR="00104887">
        <w:t xml:space="preserve">and from the Start screen, select the model you want under </w:t>
      </w:r>
      <w:r w:rsidR="00104887" w:rsidRPr="00104887">
        <w:rPr>
          <w:b/>
        </w:rPr>
        <w:t>Recently Opened Models</w:t>
      </w:r>
      <w:r w:rsidR="00104887">
        <w:t xml:space="preserve">. If the model is not shown, select </w:t>
      </w:r>
      <w:r w:rsidR="00104887" w:rsidRPr="00104887">
        <w:rPr>
          <w:b/>
        </w:rPr>
        <w:t>Open A Model</w:t>
      </w:r>
      <w:r w:rsidR="00104887">
        <w:t xml:space="preserve"> and browse to the file.</w:t>
      </w:r>
    </w:p>
    <w:p w14:paraId="2FA02F07" w14:textId="49DF7379" w:rsidR="00A0786C" w:rsidRDefault="00A67327" w:rsidP="00D5181A">
      <w:pPr>
        <w:pStyle w:val="NumberList"/>
        <w:numPr>
          <w:ilvl w:val="0"/>
          <w:numId w:val="32"/>
        </w:numPr>
      </w:pPr>
      <w:r>
        <w:t>To update the model, follow the steps described in “</w:t>
      </w:r>
      <w:r>
        <w:fldChar w:fldCharType="begin"/>
      </w:r>
      <w:r>
        <w:instrText xml:space="preserve"> REF _Ref372014346 \h </w:instrText>
      </w:r>
      <w:r>
        <w:fldChar w:fldCharType="separate"/>
      </w:r>
      <w:r w:rsidR="004A5623">
        <w:t>Creating a New Threat M</w:t>
      </w:r>
      <w:r w:rsidR="004A5623" w:rsidRPr="00966BAE">
        <w:t>odel</w:t>
      </w:r>
      <w:r>
        <w:fldChar w:fldCharType="end"/>
      </w:r>
      <w:r>
        <w:t>”.</w:t>
      </w:r>
      <w:bookmarkStart w:id="36" w:name="_Toc346271839"/>
    </w:p>
    <w:p w14:paraId="5160B25C" w14:textId="77777777" w:rsidR="007B1578" w:rsidRDefault="00A0786C" w:rsidP="007B1578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74E88621" wp14:editId="14BE05C4">
            <wp:extent cx="5943600" cy="3519170"/>
            <wp:effectExtent l="0" t="0" r="0" b="5080"/>
            <wp:docPr id="7" name="Picture 7" descr="Start TMT, and from the Start screen, select the model you want under Recently Opened Models. If the model is not shown, select Open A Model and browse to the file." title="Initial screen showing Recently Opened Models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E53A" w14:textId="22B59C55" w:rsidR="00A0786C" w:rsidRDefault="007B1578" w:rsidP="00A0786C">
      <w:pPr>
        <w:pStyle w:val="Caption"/>
      </w:pPr>
      <w:r>
        <w:t xml:space="preserve">Figure </w:t>
      </w:r>
      <w:fldSimple w:instr=" SEQ Figure \* ARABIC ">
        <w:r w:rsidR="004A5623">
          <w:rPr>
            <w:noProof/>
          </w:rPr>
          <w:t>8</w:t>
        </w:r>
      </w:fldSimple>
      <w:r>
        <w:t xml:space="preserve"> Initial screen showing Recently Opened Models selected</w:t>
      </w:r>
      <w:r w:rsidR="00A0786C">
        <w:br/>
      </w:r>
    </w:p>
    <w:p w14:paraId="34BEB910" w14:textId="12A72DA5" w:rsidR="00A0786C" w:rsidRDefault="00A0786C" w:rsidP="00A0786C">
      <w:pPr>
        <w:pStyle w:val="Heading2"/>
      </w:pPr>
      <w:bookmarkStart w:id="37" w:name="_Converting_a_Threat"/>
      <w:bookmarkStart w:id="38" w:name="_Toc352061165"/>
      <w:bookmarkStart w:id="39" w:name="_Toc371932155"/>
      <w:bookmarkStart w:id="40" w:name="_Toc372299044"/>
      <w:bookmarkEnd w:id="37"/>
      <w:r>
        <w:t xml:space="preserve">Converting a Threat Model from </w:t>
      </w:r>
      <w:r w:rsidR="005B7BF8">
        <w:t>.</w:t>
      </w:r>
      <w:r w:rsidR="007B1578">
        <w:t>tms</w:t>
      </w:r>
      <w:r w:rsidR="00023EAE">
        <w:t xml:space="preserve"> (</w:t>
      </w:r>
      <w:r w:rsidR="009757E5">
        <w:t xml:space="preserve">TMT </w:t>
      </w:r>
      <w:r>
        <w:t>3</w:t>
      </w:r>
      <w:r w:rsidR="00087F3E">
        <w:t>.1.8</w:t>
      </w:r>
      <w:r w:rsidR="00023EAE">
        <w:t>)</w:t>
      </w:r>
      <w:r>
        <w:t xml:space="preserve"> Format to </w:t>
      </w:r>
      <w:r w:rsidR="005B7BF8">
        <w:t>.</w:t>
      </w:r>
      <w:r w:rsidR="007B1578">
        <w:t>tm4</w:t>
      </w:r>
      <w:r w:rsidR="005B7BF8">
        <w:t xml:space="preserve"> (</w:t>
      </w:r>
      <w:r>
        <w:t xml:space="preserve">TMT </w:t>
      </w:r>
      <w:r w:rsidR="002F7785">
        <w:t>2014</w:t>
      </w:r>
      <w:r w:rsidR="005B7BF8">
        <w:t>)</w:t>
      </w:r>
      <w:r>
        <w:t xml:space="preserve"> F</w:t>
      </w:r>
      <w:r w:rsidRPr="00966BAE">
        <w:t>ormat</w:t>
      </w:r>
      <w:bookmarkEnd w:id="38"/>
      <w:bookmarkEnd w:id="39"/>
      <w:bookmarkEnd w:id="40"/>
    </w:p>
    <w:p w14:paraId="13CE703C" w14:textId="649145E0" w:rsidR="00A0786C" w:rsidRPr="00931E99" w:rsidRDefault="00A0786C" w:rsidP="00A0786C">
      <w:pPr>
        <w:pStyle w:val="BodyText"/>
        <w:rPr>
          <w:b/>
        </w:rPr>
      </w:pPr>
      <w:r w:rsidRPr="00931E99">
        <w:rPr>
          <w:b/>
        </w:rPr>
        <w:t>IMPORTANT</w:t>
      </w:r>
      <w:r>
        <w:rPr>
          <w:b/>
        </w:rPr>
        <w:t xml:space="preserve">: Threat models </w:t>
      </w:r>
      <w:r w:rsidR="0095170E">
        <w:rPr>
          <w:b/>
        </w:rPr>
        <w:t xml:space="preserve">created </w:t>
      </w:r>
      <w:r>
        <w:rPr>
          <w:b/>
        </w:rPr>
        <w:t>with TMT 3</w:t>
      </w:r>
      <w:r w:rsidR="009F4712">
        <w:rPr>
          <w:b/>
        </w:rPr>
        <w:t>.1.8</w:t>
      </w:r>
      <w:r>
        <w:rPr>
          <w:b/>
        </w:rPr>
        <w:t xml:space="preserve"> can only be converted if you have Visio 2007 or later installed on your machine!</w:t>
      </w:r>
    </w:p>
    <w:p w14:paraId="71B463F8" w14:textId="0A2D8726" w:rsidR="00A0786C" w:rsidRDefault="001450CC" w:rsidP="00A0786C">
      <w:pPr>
        <w:pStyle w:val="BodyText"/>
      </w:pPr>
      <w:r>
        <w:t xml:space="preserve">To </w:t>
      </w:r>
      <w:r w:rsidR="00A0786C">
        <w:t xml:space="preserve">convert </w:t>
      </w:r>
      <w:r>
        <w:t xml:space="preserve">a </w:t>
      </w:r>
      <w:r w:rsidR="00A0786C">
        <w:t>TMT 3</w:t>
      </w:r>
      <w:r w:rsidR="00087F3E">
        <w:t>.1.8</w:t>
      </w:r>
      <w:r w:rsidR="00A0786C">
        <w:t xml:space="preserve"> model</w:t>
      </w:r>
      <w:r>
        <w:t xml:space="preserve"> (.tms </w:t>
      </w:r>
      <w:r w:rsidR="004E7C62">
        <w:t>file</w:t>
      </w:r>
      <w:r>
        <w:t xml:space="preserve">) by using the </w:t>
      </w:r>
      <w:r w:rsidR="00BD6236">
        <w:t xml:space="preserve">TMT </w:t>
      </w:r>
      <w:r>
        <w:t xml:space="preserve">GUI: </w:t>
      </w:r>
    </w:p>
    <w:p w14:paraId="306C0772" w14:textId="621957F0" w:rsidR="001450CC" w:rsidRPr="001450CC" w:rsidRDefault="00A0786C" w:rsidP="001450CC">
      <w:pPr>
        <w:pStyle w:val="NumberList"/>
        <w:numPr>
          <w:ilvl w:val="0"/>
          <w:numId w:val="33"/>
        </w:numPr>
      </w:pPr>
      <w:r>
        <w:t xml:space="preserve">Start </w:t>
      </w:r>
      <w:r w:rsidR="001450CC">
        <w:t xml:space="preserve">TMT, </w:t>
      </w:r>
      <w:r>
        <w:t xml:space="preserve">and from the Home </w:t>
      </w:r>
      <w:r w:rsidR="00977684">
        <w:t>s</w:t>
      </w:r>
      <w:r>
        <w:t xml:space="preserve">creen select </w:t>
      </w:r>
      <w:r w:rsidRPr="001450CC">
        <w:rPr>
          <w:b/>
        </w:rPr>
        <w:t>Open</w:t>
      </w:r>
      <w:r w:rsidR="001450CC" w:rsidRPr="001450CC">
        <w:rPr>
          <w:b/>
        </w:rPr>
        <w:t xml:space="preserve"> A Model</w:t>
      </w:r>
      <w:r w:rsidR="001450CC">
        <w:rPr>
          <w:b/>
        </w:rPr>
        <w:t>.</w:t>
      </w:r>
    </w:p>
    <w:p w14:paraId="3B667F0D" w14:textId="559A95F2" w:rsidR="00A0786C" w:rsidRDefault="001450CC" w:rsidP="001450CC">
      <w:pPr>
        <w:pStyle w:val="NumberList"/>
        <w:numPr>
          <w:ilvl w:val="0"/>
          <w:numId w:val="33"/>
        </w:numPr>
      </w:pPr>
      <w:r>
        <w:t xml:space="preserve">In </w:t>
      </w:r>
      <w:r w:rsidR="00A0786C">
        <w:t xml:space="preserve">the file type combo box select </w:t>
      </w:r>
      <w:r w:rsidR="00A0786C" w:rsidRPr="001450CC">
        <w:rPr>
          <w:b/>
        </w:rPr>
        <w:t>TMS(v3) files (*.tms).</w:t>
      </w:r>
    </w:p>
    <w:p w14:paraId="6624D902" w14:textId="4BB7355B" w:rsidR="00A0786C" w:rsidRDefault="00A0786C" w:rsidP="001450CC">
      <w:pPr>
        <w:pStyle w:val="NumberList"/>
      </w:pPr>
      <w:r>
        <w:t>Browse to a .</w:t>
      </w:r>
      <w:r w:rsidRPr="005F0BF3">
        <w:rPr>
          <w:b/>
        </w:rPr>
        <w:t>tms</w:t>
      </w:r>
      <w:r>
        <w:t xml:space="preserve"> file and click </w:t>
      </w:r>
      <w:r w:rsidRPr="005F0BF3">
        <w:rPr>
          <w:b/>
        </w:rPr>
        <w:t>Open</w:t>
      </w:r>
      <w:r w:rsidR="001450CC">
        <w:rPr>
          <w:b/>
        </w:rPr>
        <w:t>.</w:t>
      </w:r>
      <w:r>
        <w:t xml:space="preserve"> </w:t>
      </w:r>
    </w:p>
    <w:p w14:paraId="2EA5FFEA" w14:textId="1E1C36BC" w:rsidR="00A0786C" w:rsidRDefault="00A0786C" w:rsidP="001450CC">
      <w:pPr>
        <w:pStyle w:val="NumberList"/>
      </w:pPr>
      <w:r>
        <w:t xml:space="preserve">The tool will prompt </w:t>
      </w:r>
      <w:r w:rsidR="001450CC">
        <w:t xml:space="preserve">you to convert the file. Click </w:t>
      </w:r>
      <w:r w:rsidRPr="005F0BF3">
        <w:rPr>
          <w:b/>
        </w:rPr>
        <w:t>Yes.</w:t>
      </w:r>
    </w:p>
    <w:p w14:paraId="315773D9" w14:textId="77777777" w:rsidR="00A0786C" w:rsidRDefault="00A0786C" w:rsidP="001450CC">
      <w:pPr>
        <w:pStyle w:val="NumberList"/>
      </w:pPr>
      <w:r>
        <w:t>Your model will be converted and opened immediately in the same instance of TMT</w:t>
      </w:r>
      <w:r w:rsidR="001450CC">
        <w:t>.</w:t>
      </w:r>
    </w:p>
    <w:p w14:paraId="4EA99123" w14:textId="035B559D" w:rsidR="00A0786C" w:rsidRDefault="001450CC" w:rsidP="001450CC">
      <w:pPr>
        <w:pStyle w:val="BodyText"/>
      </w:pPr>
      <w:r>
        <w:t xml:space="preserve">To </w:t>
      </w:r>
      <w:r w:rsidR="00BD6236">
        <w:t xml:space="preserve">convert one or more </w:t>
      </w:r>
      <w:r>
        <w:t>TMT 3</w:t>
      </w:r>
      <w:r w:rsidR="00087F3E">
        <w:t>.1.8</w:t>
      </w:r>
      <w:r>
        <w:t xml:space="preserve"> model</w:t>
      </w:r>
      <w:r w:rsidR="00BD6236">
        <w:t>s</w:t>
      </w:r>
      <w:r>
        <w:t xml:space="preserve"> (.tms </w:t>
      </w:r>
      <w:r w:rsidR="00BD6236">
        <w:t>file</w:t>
      </w:r>
      <w:r w:rsidR="005C7A8D">
        <w:t>s</w:t>
      </w:r>
      <w:r>
        <w:t xml:space="preserve">) by using the </w:t>
      </w:r>
      <w:r w:rsidR="00A0786C">
        <w:t>stand-alone TMT converter tool:</w:t>
      </w:r>
    </w:p>
    <w:p w14:paraId="5A31DC55" w14:textId="375BF125" w:rsidR="00BD6236" w:rsidRDefault="00A0786C" w:rsidP="00BD6236">
      <w:pPr>
        <w:pStyle w:val="NumberList"/>
        <w:numPr>
          <w:ilvl w:val="0"/>
          <w:numId w:val="34"/>
        </w:numPr>
      </w:pPr>
      <w:r w:rsidRPr="00BD6236">
        <w:t xml:space="preserve">Open </w:t>
      </w:r>
      <w:r w:rsidR="00BD6236">
        <w:t>a c</w:t>
      </w:r>
      <w:r w:rsidRPr="00BD6236">
        <w:t xml:space="preserve">ommand </w:t>
      </w:r>
      <w:r w:rsidR="00BD6236">
        <w:t xml:space="preserve">window </w:t>
      </w:r>
      <w:r w:rsidRPr="00BD6236">
        <w:t xml:space="preserve">and change </w:t>
      </w:r>
      <w:r w:rsidR="00BD6236">
        <w:t xml:space="preserve">the </w:t>
      </w:r>
      <w:r w:rsidRPr="00BD6236">
        <w:t>path to</w:t>
      </w:r>
      <w:r w:rsidR="00BD6236">
        <w:t>:</w:t>
      </w:r>
    </w:p>
    <w:p w14:paraId="45DE82F1" w14:textId="3D8FE468" w:rsidR="00BD6236" w:rsidRPr="00BD6236" w:rsidRDefault="00A0786C" w:rsidP="00BD6236">
      <w:pPr>
        <w:pStyle w:val="NumberList"/>
        <w:numPr>
          <w:ilvl w:val="0"/>
          <w:numId w:val="0"/>
        </w:numPr>
        <w:ind w:left="720"/>
        <w:rPr>
          <w:b/>
        </w:rPr>
      </w:pPr>
      <w:r w:rsidRPr="00BD6236">
        <w:rPr>
          <w:b/>
        </w:rPr>
        <w:t xml:space="preserve">C:\Program Files (x86)\Microsoft Threat Modeling Tool </w:t>
      </w:r>
      <w:r w:rsidR="00942D35">
        <w:rPr>
          <w:b/>
        </w:rPr>
        <w:t>2014</w:t>
      </w:r>
      <w:r w:rsidR="005B7BF8" w:rsidRPr="00BD6236">
        <w:rPr>
          <w:b/>
        </w:rPr>
        <w:t xml:space="preserve"> </w:t>
      </w:r>
    </w:p>
    <w:p w14:paraId="04523E22" w14:textId="70ED279D" w:rsidR="00A0786C" w:rsidRPr="00BD6236" w:rsidRDefault="00BD6236" w:rsidP="00BD6236">
      <w:pPr>
        <w:pStyle w:val="NumberList"/>
        <w:rPr>
          <w:b/>
        </w:rPr>
      </w:pPr>
      <w:r>
        <w:t xml:space="preserve">Enter: </w:t>
      </w:r>
      <w:r w:rsidR="00A0786C" w:rsidRPr="00BD6236">
        <w:rPr>
          <w:b/>
        </w:rPr>
        <w:t xml:space="preserve">TMTConvert.exe /o &lt;full path </w:t>
      </w:r>
      <w:r>
        <w:rPr>
          <w:b/>
        </w:rPr>
        <w:t>to</w:t>
      </w:r>
      <w:r w:rsidRPr="00BD6236">
        <w:rPr>
          <w:b/>
        </w:rPr>
        <w:t xml:space="preserve"> </w:t>
      </w:r>
      <w:r>
        <w:rPr>
          <w:b/>
        </w:rPr>
        <w:t xml:space="preserve">.tms file </w:t>
      </w:r>
      <w:r w:rsidR="00A0786C" w:rsidRPr="00BD6236">
        <w:rPr>
          <w:b/>
        </w:rPr>
        <w:t>to be converted&gt;</w:t>
      </w:r>
    </w:p>
    <w:p w14:paraId="439F4C6B" w14:textId="368DEB59" w:rsidR="00BD6236" w:rsidRPr="00BD6236" w:rsidRDefault="00BD6236" w:rsidP="00BD6236">
      <w:pPr>
        <w:pStyle w:val="NumberList"/>
        <w:rPr>
          <w:b/>
        </w:rPr>
      </w:pPr>
      <w:r>
        <w:t>To c</w:t>
      </w:r>
      <w:r w:rsidR="00A0786C">
        <w:t xml:space="preserve">onvert multiple </w:t>
      </w:r>
      <w:r>
        <w:t xml:space="preserve">.tms files </w:t>
      </w:r>
      <w:r w:rsidR="00A0786C">
        <w:t>located in same directory</w:t>
      </w:r>
      <w:r>
        <w:t xml:space="preserve">, enter: </w:t>
      </w:r>
      <w:r w:rsidR="00A0786C">
        <w:t xml:space="preserve"> </w:t>
      </w:r>
    </w:p>
    <w:p w14:paraId="5143890D" w14:textId="7D8A96CF" w:rsidR="00A0786C" w:rsidRPr="002624F5" w:rsidRDefault="00A0786C" w:rsidP="00BD6236">
      <w:pPr>
        <w:pStyle w:val="NumberList"/>
        <w:numPr>
          <w:ilvl w:val="0"/>
          <w:numId w:val="0"/>
        </w:numPr>
        <w:ind w:left="720"/>
        <w:rPr>
          <w:b/>
        </w:rPr>
      </w:pPr>
      <w:r w:rsidRPr="002624F5">
        <w:rPr>
          <w:b/>
        </w:rPr>
        <w:t xml:space="preserve">TMTConvert.exe </w:t>
      </w:r>
      <w:r w:rsidRPr="00BD6236">
        <w:rPr>
          <w:b/>
        </w:rPr>
        <w:t xml:space="preserve">/r &lt;full path </w:t>
      </w:r>
      <w:r w:rsidR="00BD6236" w:rsidRPr="00BD6236">
        <w:rPr>
          <w:b/>
        </w:rPr>
        <w:t xml:space="preserve">to .tms files </w:t>
      </w:r>
      <w:r w:rsidRPr="00BD6236">
        <w:rPr>
          <w:b/>
        </w:rPr>
        <w:t>to be converted&gt;</w:t>
      </w:r>
    </w:p>
    <w:p w14:paraId="26ED8BF2" w14:textId="2C6D7946" w:rsidR="00A0786C" w:rsidRPr="005C7A8D" w:rsidRDefault="00A0786C" w:rsidP="00A0786C">
      <w:pPr>
        <w:pStyle w:val="BodyText"/>
        <w:rPr>
          <w:lang w:val="ru-RU"/>
        </w:rPr>
      </w:pPr>
      <w:r w:rsidRPr="00684AF7">
        <w:rPr>
          <w:b/>
        </w:rPr>
        <w:lastRenderedPageBreak/>
        <w:t>Note</w:t>
      </w:r>
      <w:r>
        <w:t xml:space="preserve">: Your </w:t>
      </w:r>
      <w:r w:rsidR="005C7A8D">
        <w:t xml:space="preserve">converted </w:t>
      </w:r>
      <w:r>
        <w:t xml:space="preserve">diagram may not look exactly the same as the </w:t>
      </w:r>
      <w:r w:rsidR="0095170E">
        <w:t>original diagram</w:t>
      </w:r>
      <w:r>
        <w:t xml:space="preserve">, but all the elements should be present and connected correctly. </w:t>
      </w:r>
      <w:r w:rsidRPr="005C7A8D">
        <w:t>Automatic threat generation is disabled for converted threat models</w:t>
      </w:r>
      <w:r w:rsidR="005C7A8D">
        <w:t>. H</w:t>
      </w:r>
      <w:r w:rsidRPr="005C7A8D">
        <w:t>owever</w:t>
      </w:r>
      <w:r w:rsidR="005C7A8D">
        <w:t>,</w:t>
      </w:r>
      <w:r w:rsidRPr="005C7A8D">
        <w:t xml:space="preserve"> you can enable automatic threat generation through the </w:t>
      </w:r>
      <w:r w:rsidRPr="005C7A8D">
        <w:rPr>
          <w:b/>
        </w:rPr>
        <w:t>Settings</w:t>
      </w:r>
      <w:r w:rsidRPr="005C7A8D">
        <w:t xml:space="preserve"> menu.</w:t>
      </w:r>
    </w:p>
    <w:p w14:paraId="021E7CB0" w14:textId="1D97CEC1" w:rsidR="00A0786C" w:rsidRDefault="00A0786C" w:rsidP="00A0786C">
      <w:pPr>
        <w:pStyle w:val="BodyText"/>
      </w:pPr>
      <w:r>
        <w:t xml:space="preserve">Note that the threats are listed as </w:t>
      </w:r>
      <w:r w:rsidRPr="00A67327">
        <w:rPr>
          <w:b/>
        </w:rPr>
        <w:t>Migrated Categories</w:t>
      </w:r>
      <w:r>
        <w:t xml:space="preserve"> instead of </w:t>
      </w:r>
      <w:r w:rsidRPr="00A67327">
        <w:rPr>
          <w:b/>
        </w:rPr>
        <w:t>By Category</w:t>
      </w:r>
      <w:r>
        <w:t xml:space="preserve"> or </w:t>
      </w:r>
      <w:r w:rsidRPr="00A67327">
        <w:rPr>
          <w:b/>
        </w:rPr>
        <w:t>By Interaction</w:t>
      </w:r>
      <w:r>
        <w:t xml:space="preserve"> in Analysis </w:t>
      </w:r>
      <w:r w:rsidR="00A67327">
        <w:t>v</w:t>
      </w:r>
      <w:r>
        <w:t>iew.</w:t>
      </w:r>
    </w:p>
    <w:p w14:paraId="66A22122" w14:textId="77777777" w:rsidR="00893E40" w:rsidRDefault="00893E40" w:rsidP="00893E40">
      <w:pPr>
        <w:pStyle w:val="Heading1"/>
      </w:pPr>
      <w:bookmarkStart w:id="41" w:name="_Toc372299045"/>
      <w:r>
        <w:t>Support</w:t>
      </w:r>
      <w:bookmarkEnd w:id="36"/>
      <w:bookmarkEnd w:id="41"/>
    </w:p>
    <w:p w14:paraId="7B487485" w14:textId="77777777" w:rsidR="00087F3E" w:rsidRDefault="001B1F54" w:rsidP="002367D0">
      <w:pPr>
        <w:pStyle w:val="BodyText"/>
      </w:pPr>
      <w:r>
        <w:t xml:space="preserve">For support, </w:t>
      </w:r>
      <w:r w:rsidR="00087F3E">
        <w:t xml:space="preserve">please visit the following links: </w:t>
      </w:r>
    </w:p>
    <w:p w14:paraId="6AC448BC" w14:textId="339253ED" w:rsidR="00087F3E" w:rsidRDefault="00527F22" w:rsidP="00087F3E">
      <w:pPr>
        <w:pStyle w:val="ListParagraph"/>
      </w:pPr>
      <w:hyperlink r:id="rId19" w:history="1">
        <w:r w:rsidR="00087F3E" w:rsidRPr="00087F3E">
          <w:rPr>
            <w:rStyle w:val="Hyperlink"/>
          </w:rPr>
          <w:t>Microsoft Security Development Lifecycle</w:t>
        </w:r>
      </w:hyperlink>
      <w:r w:rsidR="00087F3E">
        <w:t xml:space="preserve"> </w:t>
      </w:r>
    </w:p>
    <w:p w14:paraId="072737E1" w14:textId="51CE2A37" w:rsidR="00087F3E" w:rsidRDefault="00527F22" w:rsidP="00087F3E">
      <w:pPr>
        <w:pStyle w:val="ListParagraph"/>
      </w:pPr>
      <w:hyperlink r:id="rId20" w:history="1">
        <w:r w:rsidR="00087F3E" w:rsidRPr="00087F3E">
          <w:rPr>
            <w:rStyle w:val="Hyperlink"/>
          </w:rPr>
          <w:t>Microsoft Trustworthy Computing Blog</w:t>
        </w:r>
      </w:hyperlink>
      <w:r w:rsidR="00087F3E">
        <w:t xml:space="preserve"> </w:t>
      </w:r>
    </w:p>
    <w:p w14:paraId="2FB5C145" w14:textId="1C7E3411" w:rsidR="00087F3E" w:rsidRDefault="00527F22" w:rsidP="00087F3E">
      <w:pPr>
        <w:pStyle w:val="ListParagraph"/>
      </w:pPr>
      <w:hyperlink r:id="rId21" w:history="1">
        <w:r w:rsidR="00087F3E" w:rsidRPr="00087F3E">
          <w:rPr>
            <w:rStyle w:val="Hyperlink"/>
          </w:rPr>
          <w:t>MSDN Forums for SDL</w:t>
        </w:r>
      </w:hyperlink>
      <w:r w:rsidR="00087F3E">
        <w:t xml:space="preserve"> </w:t>
      </w:r>
    </w:p>
    <w:p w14:paraId="188B7D21" w14:textId="77777777" w:rsidR="00F35225" w:rsidRDefault="00F35225">
      <w:pPr>
        <w:spacing w:after="200"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A4C13A2" w14:textId="1AADA629" w:rsidR="00A5108B" w:rsidRPr="000D6177" w:rsidRDefault="00A5108B" w:rsidP="00A5108B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Copyright © 201</w:t>
      </w:r>
      <w:r w:rsidR="00311E9E">
        <w:rPr>
          <w:sz w:val="16"/>
          <w:szCs w:val="16"/>
        </w:rPr>
        <w:t>4</w:t>
      </w:r>
      <w:bookmarkStart w:id="42" w:name="_GoBack"/>
      <w:bookmarkEnd w:id="42"/>
      <w:r w:rsidRPr="004507A6">
        <w:rPr>
          <w:sz w:val="16"/>
          <w:szCs w:val="16"/>
        </w:rPr>
        <w:t xml:space="preserve"> Microsoft C</w:t>
      </w:r>
      <w:r>
        <w:rPr>
          <w:sz w:val="16"/>
          <w:szCs w:val="16"/>
        </w:rPr>
        <w:t xml:space="preserve">orporation. </w:t>
      </w:r>
      <w:r w:rsidRPr="000D6177">
        <w:rPr>
          <w:sz w:val="16"/>
          <w:szCs w:val="16"/>
        </w:rPr>
        <w:t xml:space="preserve">All rights reserved.  This document is provided "as-is." Information and views expressed in this document, including URL and other Internet Web site references, may change without notice. You bear the risk of using it. </w:t>
      </w:r>
    </w:p>
    <w:p w14:paraId="139A13FB" w14:textId="77777777" w:rsidR="00A5108B" w:rsidRPr="000D6177" w:rsidRDefault="00A5108B" w:rsidP="00A5108B">
      <w:pPr>
        <w:rPr>
          <w:sz w:val="16"/>
          <w:szCs w:val="16"/>
        </w:rPr>
      </w:pPr>
      <w:r w:rsidRPr="000D6177">
        <w:rPr>
          <w:sz w:val="16"/>
          <w:szCs w:val="16"/>
        </w:rPr>
        <w:t xml:space="preserve">Some examples are for illustration only and are fictitious. No real association is intended or inferred. </w:t>
      </w:r>
    </w:p>
    <w:p w14:paraId="18FD4DC4" w14:textId="77777777" w:rsidR="00A5108B" w:rsidRDefault="00A5108B" w:rsidP="00A5108B">
      <w:pPr>
        <w:rPr>
          <w:sz w:val="16"/>
          <w:szCs w:val="16"/>
        </w:rPr>
      </w:pPr>
      <w:r w:rsidRPr="000D6177">
        <w:rPr>
          <w:sz w:val="16"/>
          <w:szCs w:val="16"/>
        </w:rPr>
        <w:t>This document does not provide you with any legal rights to any intellectual property in any Microsoft product. You may copy and use this document for your internal, reference purposes</w:t>
      </w:r>
      <w:r>
        <w:rPr>
          <w:sz w:val="16"/>
          <w:szCs w:val="16"/>
        </w:rPr>
        <w:t>.</w:t>
      </w:r>
    </w:p>
    <w:sectPr w:rsidR="00A5108B" w:rsidSect="00F703ED">
      <w:footerReference w:type="default" r:id="rId22"/>
      <w:pgSz w:w="12240" w:h="15840"/>
      <w:pgMar w:top="1224" w:right="1440" w:bottom="1440" w:left="1440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849A2" w14:textId="77777777" w:rsidR="00527F22" w:rsidRDefault="00527F22" w:rsidP="003C2492">
      <w:r>
        <w:separator/>
      </w:r>
    </w:p>
  </w:endnote>
  <w:endnote w:type="continuationSeparator" w:id="0">
    <w:p w14:paraId="71AEB8EF" w14:textId="77777777" w:rsidR="00527F22" w:rsidRDefault="00527F22" w:rsidP="003C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 Light">
    <w:altName w:val="Segoe UI Semilight"/>
    <w:charset w:val="00"/>
    <w:family w:val="swiss"/>
    <w:pitch w:val="variable"/>
    <w:sig w:usb0="00000287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1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8"/>
      <w:gridCol w:w="2430"/>
      <w:gridCol w:w="4362"/>
    </w:tblGrid>
    <w:tr w:rsidR="001450CC" w:rsidRPr="00A5108B" w14:paraId="6349BAD7" w14:textId="77777777" w:rsidTr="00AA39E6">
      <w:tc>
        <w:tcPr>
          <w:tcW w:w="4518" w:type="dxa"/>
        </w:tcPr>
        <w:p w14:paraId="05F1ABC7" w14:textId="0D2236C0" w:rsidR="001450CC" w:rsidRPr="00A5108B" w:rsidRDefault="001450CC" w:rsidP="004374FA">
          <w:pPr>
            <w:pStyle w:val="Footer"/>
            <w:tabs>
              <w:tab w:val="clear" w:pos="4680"/>
              <w:tab w:val="clear" w:pos="9360"/>
            </w:tabs>
            <w:rPr>
              <w:szCs w:val="18"/>
            </w:rPr>
          </w:pPr>
          <w:r w:rsidRPr="00A5108B">
            <w:rPr>
              <w:sz w:val="18"/>
              <w:szCs w:val="18"/>
            </w:rPr>
            <w:t xml:space="preserve">Trustworthy Computing </w:t>
          </w:r>
          <w:r w:rsidRPr="004374FA">
            <w:rPr>
              <w:sz w:val="18"/>
              <w:szCs w:val="18"/>
            </w:rPr>
            <w:t>|</w:t>
          </w:r>
          <w:r>
            <w:rPr>
              <w:sz w:val="18"/>
              <w:szCs w:val="18"/>
            </w:rPr>
            <w:t xml:space="preserve"> </w:t>
          </w:r>
          <w:r w:rsidR="002F7785">
            <w:rPr>
              <w:sz w:val="18"/>
              <w:szCs w:val="18"/>
            </w:rPr>
            <w:t>Microsoft Threat Modeling Tool 2014 Getting Started Guide</w:t>
          </w:r>
        </w:p>
      </w:tc>
      <w:tc>
        <w:tcPr>
          <w:tcW w:w="2430" w:type="dxa"/>
        </w:tcPr>
        <w:p w14:paraId="2357999B" w14:textId="6569D247" w:rsidR="001450CC" w:rsidRPr="00A5108B" w:rsidRDefault="001450CC" w:rsidP="004374FA">
          <w:pPr>
            <w:pStyle w:val="Footer"/>
            <w:tabs>
              <w:tab w:val="clear" w:pos="4680"/>
              <w:tab w:val="clear" w:pos="9360"/>
            </w:tabs>
            <w:jc w:val="center"/>
            <w:rPr>
              <w:szCs w:val="18"/>
            </w:rPr>
          </w:pPr>
        </w:p>
      </w:tc>
      <w:tc>
        <w:tcPr>
          <w:tcW w:w="4362" w:type="dxa"/>
        </w:tcPr>
        <w:p w14:paraId="72AC9E81" w14:textId="77777777" w:rsidR="001450CC" w:rsidRPr="00E30C63" w:rsidRDefault="001450CC" w:rsidP="004374FA">
          <w:pPr>
            <w:pStyle w:val="Footer"/>
            <w:tabs>
              <w:tab w:val="clear" w:pos="4680"/>
              <w:tab w:val="clear" w:pos="9360"/>
            </w:tabs>
            <w:jc w:val="right"/>
            <w:rPr>
              <w:sz w:val="18"/>
              <w:szCs w:val="18"/>
            </w:rPr>
          </w:pPr>
          <w:r w:rsidRPr="00E30C63">
            <w:rPr>
              <w:sz w:val="18"/>
              <w:szCs w:val="18"/>
            </w:rPr>
            <w:fldChar w:fldCharType="begin"/>
          </w:r>
          <w:r w:rsidRPr="00E30C63">
            <w:rPr>
              <w:sz w:val="18"/>
              <w:szCs w:val="18"/>
            </w:rPr>
            <w:instrText xml:space="preserve"> PAGE   \* MERGEFORMAT </w:instrText>
          </w:r>
          <w:r w:rsidRPr="00E30C63">
            <w:rPr>
              <w:sz w:val="18"/>
              <w:szCs w:val="18"/>
            </w:rPr>
            <w:fldChar w:fldCharType="separate"/>
          </w:r>
          <w:r w:rsidR="00311E9E">
            <w:rPr>
              <w:noProof/>
              <w:sz w:val="18"/>
              <w:szCs w:val="18"/>
            </w:rPr>
            <w:t>12</w:t>
          </w:r>
          <w:r w:rsidRPr="00E30C63">
            <w:rPr>
              <w:noProof/>
              <w:sz w:val="18"/>
              <w:szCs w:val="18"/>
            </w:rPr>
            <w:fldChar w:fldCharType="end"/>
          </w:r>
        </w:p>
      </w:tc>
    </w:tr>
  </w:tbl>
  <w:p w14:paraId="1E91AD3D" w14:textId="77777777" w:rsidR="001450CC" w:rsidRPr="00747E14" w:rsidRDefault="001450CC" w:rsidP="001531ED">
    <w:pPr>
      <w:pStyle w:val="Footer"/>
      <w:tabs>
        <w:tab w:val="clear" w:pos="9360"/>
      </w:tabs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22740" w14:textId="77777777" w:rsidR="00527F22" w:rsidRDefault="00527F22" w:rsidP="003C2492">
      <w:r>
        <w:separator/>
      </w:r>
    </w:p>
  </w:footnote>
  <w:footnote w:type="continuationSeparator" w:id="0">
    <w:p w14:paraId="052A3B8F" w14:textId="77777777" w:rsidR="00527F22" w:rsidRDefault="00527F22" w:rsidP="003C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47D"/>
    <w:multiLevelType w:val="hybridMultilevel"/>
    <w:tmpl w:val="071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8FF"/>
    <w:multiLevelType w:val="hybridMultilevel"/>
    <w:tmpl w:val="A2342538"/>
    <w:lvl w:ilvl="0" w:tplc="44C21E3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3134"/>
    <w:multiLevelType w:val="multilevel"/>
    <w:tmpl w:val="3ADEA338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hint="default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AF256B"/>
    <w:multiLevelType w:val="multilevel"/>
    <w:tmpl w:val="04707D26"/>
    <w:styleLink w:val="Styl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" w:hAnsi="Segoe UI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Segoe UI" w:hAnsi="Segoe UI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Segoe UI" w:hAnsi="Segoe UI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CA2D1C"/>
    <w:multiLevelType w:val="multilevel"/>
    <w:tmpl w:val="C58ABD06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213B035B"/>
    <w:multiLevelType w:val="hybridMultilevel"/>
    <w:tmpl w:val="B2BC7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ED6E1A"/>
    <w:multiLevelType w:val="hybridMultilevel"/>
    <w:tmpl w:val="3D36A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3D69A9"/>
    <w:multiLevelType w:val="multilevel"/>
    <w:tmpl w:val="95FC4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0DE6913"/>
    <w:multiLevelType w:val="hybridMultilevel"/>
    <w:tmpl w:val="B2A4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36618"/>
    <w:multiLevelType w:val="multilevel"/>
    <w:tmpl w:val="0409001D"/>
    <w:styleLink w:val="BulletsLevel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egoe UI" w:hAnsi="Segoe U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egoe UI" w:hAnsi="Segoe UI" w:hint="default"/>
        <w:sz w:val="18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ascii="Segoe UI" w:hAnsi="Segoe UI"/>
        <w:sz w:val="18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Segoe UI" w:hAnsi="Segoe UI"/>
        <w:sz w:val="18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ascii="Segoe UI" w:hAnsi="Segoe UI"/>
        <w:sz w:val="18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ascii="Segoe UI" w:hAnsi="Segoe UI"/>
        <w:sz w:val="18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ascii="Segoe UI" w:hAnsi="Segoe UI"/>
        <w:sz w:val="18"/>
      </w:rPr>
    </w:lvl>
  </w:abstractNum>
  <w:abstractNum w:abstractNumId="10">
    <w:nsid w:val="4536771E"/>
    <w:multiLevelType w:val="hybridMultilevel"/>
    <w:tmpl w:val="F3521272"/>
    <w:lvl w:ilvl="0" w:tplc="8A80C026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C50D0"/>
    <w:multiLevelType w:val="hybridMultilevel"/>
    <w:tmpl w:val="3328E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87D61"/>
    <w:multiLevelType w:val="multilevel"/>
    <w:tmpl w:val="0409001D"/>
    <w:styleLink w:val="ListStyle1"/>
    <w:lvl w:ilvl="0">
      <w:start w:val="1"/>
      <w:numFmt w:val="decimal"/>
      <w:lvlText w:val="%1)"/>
      <w:lvlJc w:val="left"/>
      <w:pPr>
        <w:ind w:left="360" w:hanging="360"/>
      </w:pPr>
      <w:rPr>
        <w:rFonts w:ascii="Segoe UI" w:hAnsi="Segoe UI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EDF100B"/>
    <w:multiLevelType w:val="hybridMultilevel"/>
    <w:tmpl w:val="4746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B6B18"/>
    <w:multiLevelType w:val="hybridMultilevel"/>
    <w:tmpl w:val="76BE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03F4"/>
    <w:multiLevelType w:val="multilevel"/>
    <w:tmpl w:val="95FC4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F4A73DF"/>
    <w:multiLevelType w:val="multilevel"/>
    <w:tmpl w:val="0409001D"/>
    <w:styleLink w:val="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A422A4E"/>
    <w:multiLevelType w:val="hybridMultilevel"/>
    <w:tmpl w:val="CC64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04900"/>
    <w:multiLevelType w:val="hybridMultilevel"/>
    <w:tmpl w:val="76FA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A7F7B"/>
    <w:multiLevelType w:val="hybridMultilevel"/>
    <w:tmpl w:val="F868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7E01"/>
    <w:multiLevelType w:val="multilevel"/>
    <w:tmpl w:val="047C7EDA"/>
    <w:lvl w:ilvl="0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>
    <w:nsid w:val="73001A06"/>
    <w:multiLevelType w:val="hybridMultilevel"/>
    <w:tmpl w:val="0E2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5154C"/>
    <w:multiLevelType w:val="hybridMultilevel"/>
    <w:tmpl w:val="6A7C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F77752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" w:hAnsi="Segoe UI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C36582"/>
    <w:multiLevelType w:val="multilevel"/>
    <w:tmpl w:val="04707D26"/>
    <w:numStyleLink w:val="Style3"/>
  </w:abstractNum>
  <w:abstractNum w:abstractNumId="25">
    <w:nsid w:val="7F7E5523"/>
    <w:multiLevelType w:val="hybridMultilevel"/>
    <w:tmpl w:val="83C24C22"/>
    <w:lvl w:ilvl="0" w:tplc="3C306F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4"/>
  </w:num>
  <w:num w:numId="5">
    <w:abstractNumId w:val="12"/>
  </w:num>
  <w:num w:numId="6">
    <w:abstractNumId w:val="2"/>
  </w:num>
  <w:num w:numId="7">
    <w:abstractNumId w:val="23"/>
  </w:num>
  <w:num w:numId="8">
    <w:abstractNumId w:val="24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3"/>
  </w:num>
  <w:num w:numId="10">
    <w:abstractNumId w:val="9"/>
  </w:num>
  <w:num w:numId="11">
    <w:abstractNumId w:val="20"/>
  </w:num>
  <w:num w:numId="12">
    <w:abstractNumId w:val="7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14"/>
  </w:num>
  <w:num w:numId="18">
    <w:abstractNumId w:val="25"/>
  </w:num>
  <w:num w:numId="19">
    <w:abstractNumId w:val="18"/>
  </w:num>
  <w:num w:numId="20">
    <w:abstractNumId w:val="6"/>
  </w:num>
  <w:num w:numId="21">
    <w:abstractNumId w:val="1"/>
  </w:num>
  <w:num w:numId="22">
    <w:abstractNumId w:val="8"/>
  </w:num>
  <w:num w:numId="23">
    <w:abstractNumId w:val="19"/>
  </w:num>
  <w:num w:numId="24">
    <w:abstractNumId w:val="13"/>
  </w:num>
  <w:num w:numId="25">
    <w:abstractNumId w:val="10"/>
  </w:num>
  <w:num w:numId="26">
    <w:abstractNumId w:val="2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NotTrackFormatting/>
  <w:defaultTabStop w:val="720"/>
  <w:clickAndTypeStyle w:val="BodyText"/>
  <w:drawingGridHorizontalSpacing w:val="187"/>
  <w:drawingGridVerticalSpacing w:val="187"/>
  <w:doNotUseMarginsForDrawingGridOrigin/>
  <w:drawingGridHorizontalOrigin w:val="144"/>
  <w:drawingGridVerticalOrigin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FD"/>
    <w:rsid w:val="00016839"/>
    <w:rsid w:val="00020A40"/>
    <w:rsid w:val="00020E6F"/>
    <w:rsid w:val="00023EAE"/>
    <w:rsid w:val="00024F97"/>
    <w:rsid w:val="000278EE"/>
    <w:rsid w:val="0003435A"/>
    <w:rsid w:val="00036C49"/>
    <w:rsid w:val="0003730F"/>
    <w:rsid w:val="00046525"/>
    <w:rsid w:val="00051198"/>
    <w:rsid w:val="00055BBD"/>
    <w:rsid w:val="00055E1E"/>
    <w:rsid w:val="000670F9"/>
    <w:rsid w:val="0007384A"/>
    <w:rsid w:val="000748DB"/>
    <w:rsid w:val="00084C45"/>
    <w:rsid w:val="00086283"/>
    <w:rsid w:val="00087F3E"/>
    <w:rsid w:val="00091CCB"/>
    <w:rsid w:val="00097985"/>
    <w:rsid w:val="000A2C0A"/>
    <w:rsid w:val="000A49CB"/>
    <w:rsid w:val="000A5979"/>
    <w:rsid w:val="000B1408"/>
    <w:rsid w:val="000B1D21"/>
    <w:rsid w:val="000B5B69"/>
    <w:rsid w:val="000B6056"/>
    <w:rsid w:val="000C1A0F"/>
    <w:rsid w:val="000C7FA3"/>
    <w:rsid w:val="000D6701"/>
    <w:rsid w:val="000E169C"/>
    <w:rsid w:val="000E2E4E"/>
    <w:rsid w:val="000F6958"/>
    <w:rsid w:val="00104887"/>
    <w:rsid w:val="001265C6"/>
    <w:rsid w:val="0013296D"/>
    <w:rsid w:val="0013346A"/>
    <w:rsid w:val="00136355"/>
    <w:rsid w:val="001425C0"/>
    <w:rsid w:val="00142F54"/>
    <w:rsid w:val="001450CC"/>
    <w:rsid w:val="0014592E"/>
    <w:rsid w:val="00150378"/>
    <w:rsid w:val="001531ED"/>
    <w:rsid w:val="00180221"/>
    <w:rsid w:val="001843B3"/>
    <w:rsid w:val="001B024A"/>
    <w:rsid w:val="001B1F54"/>
    <w:rsid w:val="001C379B"/>
    <w:rsid w:val="001C63B8"/>
    <w:rsid w:val="001D2E9C"/>
    <w:rsid w:val="001D53A3"/>
    <w:rsid w:val="001D6D80"/>
    <w:rsid w:val="001D7EB3"/>
    <w:rsid w:val="001E0468"/>
    <w:rsid w:val="001E115E"/>
    <w:rsid w:val="001E320C"/>
    <w:rsid w:val="001E46FE"/>
    <w:rsid w:val="001E6C02"/>
    <w:rsid w:val="00201434"/>
    <w:rsid w:val="00205D73"/>
    <w:rsid w:val="00214862"/>
    <w:rsid w:val="00216B8E"/>
    <w:rsid w:val="00224C20"/>
    <w:rsid w:val="00224CA1"/>
    <w:rsid w:val="0023639B"/>
    <w:rsid w:val="002367D0"/>
    <w:rsid w:val="00242F4C"/>
    <w:rsid w:val="00247F77"/>
    <w:rsid w:val="00257943"/>
    <w:rsid w:val="00264CB7"/>
    <w:rsid w:val="00266414"/>
    <w:rsid w:val="00272B6E"/>
    <w:rsid w:val="002802B5"/>
    <w:rsid w:val="002828C9"/>
    <w:rsid w:val="00285FB1"/>
    <w:rsid w:val="00286B12"/>
    <w:rsid w:val="002969FA"/>
    <w:rsid w:val="002B3F61"/>
    <w:rsid w:val="002D460E"/>
    <w:rsid w:val="002E1E5F"/>
    <w:rsid w:val="002E2429"/>
    <w:rsid w:val="002E3D8C"/>
    <w:rsid w:val="002F1C13"/>
    <w:rsid w:val="002F75B5"/>
    <w:rsid w:val="002F7785"/>
    <w:rsid w:val="00311185"/>
    <w:rsid w:val="00311E9E"/>
    <w:rsid w:val="003169FB"/>
    <w:rsid w:val="00316E19"/>
    <w:rsid w:val="00323809"/>
    <w:rsid w:val="00324D40"/>
    <w:rsid w:val="00327849"/>
    <w:rsid w:val="00331B44"/>
    <w:rsid w:val="0033556F"/>
    <w:rsid w:val="00347B22"/>
    <w:rsid w:val="003526E0"/>
    <w:rsid w:val="003538EA"/>
    <w:rsid w:val="00364A22"/>
    <w:rsid w:val="00372A81"/>
    <w:rsid w:val="00382216"/>
    <w:rsid w:val="0038542A"/>
    <w:rsid w:val="00393CC1"/>
    <w:rsid w:val="00395AA2"/>
    <w:rsid w:val="003A160C"/>
    <w:rsid w:val="003A3BF7"/>
    <w:rsid w:val="003B220A"/>
    <w:rsid w:val="003B7941"/>
    <w:rsid w:val="003C2492"/>
    <w:rsid w:val="003C6183"/>
    <w:rsid w:val="003C7D0D"/>
    <w:rsid w:val="003C7EB9"/>
    <w:rsid w:val="003D015F"/>
    <w:rsid w:val="003D2256"/>
    <w:rsid w:val="003D3032"/>
    <w:rsid w:val="003D42D2"/>
    <w:rsid w:val="003E3B86"/>
    <w:rsid w:val="003E610F"/>
    <w:rsid w:val="003E64C8"/>
    <w:rsid w:val="0041303C"/>
    <w:rsid w:val="004159FC"/>
    <w:rsid w:val="00426695"/>
    <w:rsid w:val="00427040"/>
    <w:rsid w:val="00433258"/>
    <w:rsid w:val="0043326C"/>
    <w:rsid w:val="004342A4"/>
    <w:rsid w:val="00436E08"/>
    <w:rsid w:val="004374DF"/>
    <w:rsid w:val="004374FA"/>
    <w:rsid w:val="00441D5D"/>
    <w:rsid w:val="004476A9"/>
    <w:rsid w:val="004509AD"/>
    <w:rsid w:val="00451787"/>
    <w:rsid w:val="004652E8"/>
    <w:rsid w:val="00470DFD"/>
    <w:rsid w:val="00471FB6"/>
    <w:rsid w:val="00483324"/>
    <w:rsid w:val="004860D5"/>
    <w:rsid w:val="00494025"/>
    <w:rsid w:val="004A42AD"/>
    <w:rsid w:val="004A5623"/>
    <w:rsid w:val="004A6A35"/>
    <w:rsid w:val="004A72D1"/>
    <w:rsid w:val="004A76F6"/>
    <w:rsid w:val="004C116C"/>
    <w:rsid w:val="004C20AA"/>
    <w:rsid w:val="004C34E4"/>
    <w:rsid w:val="004C509D"/>
    <w:rsid w:val="004C5366"/>
    <w:rsid w:val="004D3A6A"/>
    <w:rsid w:val="004E0036"/>
    <w:rsid w:val="004E0EF9"/>
    <w:rsid w:val="004E2945"/>
    <w:rsid w:val="004E2B9D"/>
    <w:rsid w:val="004E5243"/>
    <w:rsid w:val="004E5AC7"/>
    <w:rsid w:val="004E7C62"/>
    <w:rsid w:val="004F1067"/>
    <w:rsid w:val="004F1953"/>
    <w:rsid w:val="0050459D"/>
    <w:rsid w:val="00511CC4"/>
    <w:rsid w:val="0052012C"/>
    <w:rsid w:val="00520C4D"/>
    <w:rsid w:val="005229A2"/>
    <w:rsid w:val="00522D77"/>
    <w:rsid w:val="005250B2"/>
    <w:rsid w:val="00525E9E"/>
    <w:rsid w:val="0052662A"/>
    <w:rsid w:val="00527F22"/>
    <w:rsid w:val="0053568C"/>
    <w:rsid w:val="005465F7"/>
    <w:rsid w:val="005514A8"/>
    <w:rsid w:val="00554047"/>
    <w:rsid w:val="0056242F"/>
    <w:rsid w:val="005637ED"/>
    <w:rsid w:val="00563C2D"/>
    <w:rsid w:val="00563D49"/>
    <w:rsid w:val="00566763"/>
    <w:rsid w:val="0057370F"/>
    <w:rsid w:val="00577485"/>
    <w:rsid w:val="0058439C"/>
    <w:rsid w:val="005A0C37"/>
    <w:rsid w:val="005A2705"/>
    <w:rsid w:val="005B3A98"/>
    <w:rsid w:val="005B7BF8"/>
    <w:rsid w:val="005C22AE"/>
    <w:rsid w:val="005C366B"/>
    <w:rsid w:val="005C5892"/>
    <w:rsid w:val="005C7A8D"/>
    <w:rsid w:val="005D38E2"/>
    <w:rsid w:val="005D5E06"/>
    <w:rsid w:val="005E0FC8"/>
    <w:rsid w:val="005E163C"/>
    <w:rsid w:val="005E3DAB"/>
    <w:rsid w:val="005E4309"/>
    <w:rsid w:val="005E797B"/>
    <w:rsid w:val="005F1409"/>
    <w:rsid w:val="005F4193"/>
    <w:rsid w:val="005F51A4"/>
    <w:rsid w:val="005F5E7B"/>
    <w:rsid w:val="006011C9"/>
    <w:rsid w:val="00607EFB"/>
    <w:rsid w:val="00610E72"/>
    <w:rsid w:val="00620CD3"/>
    <w:rsid w:val="00626BA2"/>
    <w:rsid w:val="0063027E"/>
    <w:rsid w:val="00632D43"/>
    <w:rsid w:val="006371F3"/>
    <w:rsid w:val="00640076"/>
    <w:rsid w:val="00647F63"/>
    <w:rsid w:val="006528A8"/>
    <w:rsid w:val="00654367"/>
    <w:rsid w:val="006607AE"/>
    <w:rsid w:val="00660D34"/>
    <w:rsid w:val="00661322"/>
    <w:rsid w:val="00662455"/>
    <w:rsid w:val="00667DDC"/>
    <w:rsid w:val="0067309B"/>
    <w:rsid w:val="006909F2"/>
    <w:rsid w:val="0069657E"/>
    <w:rsid w:val="006B4EDE"/>
    <w:rsid w:val="006C1B33"/>
    <w:rsid w:val="006C7D88"/>
    <w:rsid w:val="006D52F1"/>
    <w:rsid w:val="006D5C6E"/>
    <w:rsid w:val="006D6A2C"/>
    <w:rsid w:val="006E3556"/>
    <w:rsid w:val="006F7EA5"/>
    <w:rsid w:val="0070408E"/>
    <w:rsid w:val="00704F17"/>
    <w:rsid w:val="007124AD"/>
    <w:rsid w:val="00724A46"/>
    <w:rsid w:val="007353D3"/>
    <w:rsid w:val="0074425D"/>
    <w:rsid w:val="00747E14"/>
    <w:rsid w:val="00752B96"/>
    <w:rsid w:val="00753C1D"/>
    <w:rsid w:val="00757F50"/>
    <w:rsid w:val="00772893"/>
    <w:rsid w:val="007735A4"/>
    <w:rsid w:val="0077522D"/>
    <w:rsid w:val="00791962"/>
    <w:rsid w:val="00797019"/>
    <w:rsid w:val="007A39F8"/>
    <w:rsid w:val="007A7EB3"/>
    <w:rsid w:val="007B1578"/>
    <w:rsid w:val="007B7116"/>
    <w:rsid w:val="007C4BE9"/>
    <w:rsid w:val="007C7600"/>
    <w:rsid w:val="007D36CE"/>
    <w:rsid w:val="007D583B"/>
    <w:rsid w:val="007D7E1E"/>
    <w:rsid w:val="007F1950"/>
    <w:rsid w:val="007F4966"/>
    <w:rsid w:val="00802D50"/>
    <w:rsid w:val="00803258"/>
    <w:rsid w:val="008037C9"/>
    <w:rsid w:val="00807324"/>
    <w:rsid w:val="008075EF"/>
    <w:rsid w:val="00817990"/>
    <w:rsid w:val="00825F14"/>
    <w:rsid w:val="00834F83"/>
    <w:rsid w:val="0084740F"/>
    <w:rsid w:val="00860F74"/>
    <w:rsid w:val="008610B3"/>
    <w:rsid w:val="00884A05"/>
    <w:rsid w:val="008854E4"/>
    <w:rsid w:val="00887834"/>
    <w:rsid w:val="00893364"/>
    <w:rsid w:val="00893E40"/>
    <w:rsid w:val="00897F13"/>
    <w:rsid w:val="008A128E"/>
    <w:rsid w:val="008A1536"/>
    <w:rsid w:val="008A3F1F"/>
    <w:rsid w:val="008C37FB"/>
    <w:rsid w:val="008D3033"/>
    <w:rsid w:val="008D3590"/>
    <w:rsid w:val="008D5387"/>
    <w:rsid w:val="008D64C7"/>
    <w:rsid w:val="008E787A"/>
    <w:rsid w:val="008F0076"/>
    <w:rsid w:val="008F390A"/>
    <w:rsid w:val="008F778C"/>
    <w:rsid w:val="00902473"/>
    <w:rsid w:val="00903097"/>
    <w:rsid w:val="00914C54"/>
    <w:rsid w:val="009204E7"/>
    <w:rsid w:val="0092241E"/>
    <w:rsid w:val="009332BB"/>
    <w:rsid w:val="00942D35"/>
    <w:rsid w:val="0095170E"/>
    <w:rsid w:val="00952144"/>
    <w:rsid w:val="00953E05"/>
    <w:rsid w:val="00964697"/>
    <w:rsid w:val="009757E5"/>
    <w:rsid w:val="00976B95"/>
    <w:rsid w:val="00977684"/>
    <w:rsid w:val="00990D45"/>
    <w:rsid w:val="0099714F"/>
    <w:rsid w:val="009A39BA"/>
    <w:rsid w:val="009A68D6"/>
    <w:rsid w:val="009B4BD7"/>
    <w:rsid w:val="009B6E08"/>
    <w:rsid w:val="009C7DD9"/>
    <w:rsid w:val="009D6DA6"/>
    <w:rsid w:val="009E2782"/>
    <w:rsid w:val="009E2B7A"/>
    <w:rsid w:val="009E5FF1"/>
    <w:rsid w:val="009E64D3"/>
    <w:rsid w:val="009E6682"/>
    <w:rsid w:val="009F4712"/>
    <w:rsid w:val="009F4F09"/>
    <w:rsid w:val="009F662E"/>
    <w:rsid w:val="009F6AE2"/>
    <w:rsid w:val="009F6C13"/>
    <w:rsid w:val="009F740D"/>
    <w:rsid w:val="00A011BD"/>
    <w:rsid w:val="00A073FF"/>
    <w:rsid w:val="00A0786C"/>
    <w:rsid w:val="00A13833"/>
    <w:rsid w:val="00A152A5"/>
    <w:rsid w:val="00A174FA"/>
    <w:rsid w:val="00A175A0"/>
    <w:rsid w:val="00A25AC5"/>
    <w:rsid w:val="00A32608"/>
    <w:rsid w:val="00A42960"/>
    <w:rsid w:val="00A5108B"/>
    <w:rsid w:val="00A6012A"/>
    <w:rsid w:val="00A601CC"/>
    <w:rsid w:val="00A67327"/>
    <w:rsid w:val="00A70D2E"/>
    <w:rsid w:val="00A76ACA"/>
    <w:rsid w:val="00A8235C"/>
    <w:rsid w:val="00A9359C"/>
    <w:rsid w:val="00A94810"/>
    <w:rsid w:val="00A96D6B"/>
    <w:rsid w:val="00AA39E6"/>
    <w:rsid w:val="00AA59B4"/>
    <w:rsid w:val="00AB5A24"/>
    <w:rsid w:val="00AD1CE2"/>
    <w:rsid w:val="00AD25E6"/>
    <w:rsid w:val="00AD2B64"/>
    <w:rsid w:val="00AD4CAA"/>
    <w:rsid w:val="00AD6243"/>
    <w:rsid w:val="00AE1606"/>
    <w:rsid w:val="00AE1B9F"/>
    <w:rsid w:val="00AE58EB"/>
    <w:rsid w:val="00AF723B"/>
    <w:rsid w:val="00B02D8C"/>
    <w:rsid w:val="00B03BD1"/>
    <w:rsid w:val="00B072F4"/>
    <w:rsid w:val="00B13645"/>
    <w:rsid w:val="00B13E32"/>
    <w:rsid w:val="00B15ECF"/>
    <w:rsid w:val="00B2058B"/>
    <w:rsid w:val="00B2372B"/>
    <w:rsid w:val="00B26901"/>
    <w:rsid w:val="00B3241A"/>
    <w:rsid w:val="00B3715D"/>
    <w:rsid w:val="00B4140D"/>
    <w:rsid w:val="00B45D7D"/>
    <w:rsid w:val="00B47102"/>
    <w:rsid w:val="00B47C90"/>
    <w:rsid w:val="00B51687"/>
    <w:rsid w:val="00B631AE"/>
    <w:rsid w:val="00B64F8D"/>
    <w:rsid w:val="00B65270"/>
    <w:rsid w:val="00B66572"/>
    <w:rsid w:val="00B70603"/>
    <w:rsid w:val="00B733E4"/>
    <w:rsid w:val="00B863C4"/>
    <w:rsid w:val="00B922E3"/>
    <w:rsid w:val="00BA1641"/>
    <w:rsid w:val="00BA3A48"/>
    <w:rsid w:val="00BA5384"/>
    <w:rsid w:val="00BA61B6"/>
    <w:rsid w:val="00BB697E"/>
    <w:rsid w:val="00BC7038"/>
    <w:rsid w:val="00BD6236"/>
    <w:rsid w:val="00BD6546"/>
    <w:rsid w:val="00BD6797"/>
    <w:rsid w:val="00BD6B6B"/>
    <w:rsid w:val="00BD77E0"/>
    <w:rsid w:val="00BD7F81"/>
    <w:rsid w:val="00BF14CF"/>
    <w:rsid w:val="00C05010"/>
    <w:rsid w:val="00C057E1"/>
    <w:rsid w:val="00C173AE"/>
    <w:rsid w:val="00C2448B"/>
    <w:rsid w:val="00C2473C"/>
    <w:rsid w:val="00C26819"/>
    <w:rsid w:val="00C30DAA"/>
    <w:rsid w:val="00C42EC3"/>
    <w:rsid w:val="00C44419"/>
    <w:rsid w:val="00C47998"/>
    <w:rsid w:val="00C47ED4"/>
    <w:rsid w:val="00C52E5E"/>
    <w:rsid w:val="00C53257"/>
    <w:rsid w:val="00C54128"/>
    <w:rsid w:val="00C5537F"/>
    <w:rsid w:val="00C57F86"/>
    <w:rsid w:val="00C72DAD"/>
    <w:rsid w:val="00C76E54"/>
    <w:rsid w:val="00C9107A"/>
    <w:rsid w:val="00C96365"/>
    <w:rsid w:val="00CA0D98"/>
    <w:rsid w:val="00CA22DE"/>
    <w:rsid w:val="00CB2EC3"/>
    <w:rsid w:val="00CC2375"/>
    <w:rsid w:val="00CC4778"/>
    <w:rsid w:val="00CC4FEA"/>
    <w:rsid w:val="00CC78C4"/>
    <w:rsid w:val="00CD603F"/>
    <w:rsid w:val="00CD6976"/>
    <w:rsid w:val="00CD6C47"/>
    <w:rsid w:val="00CD79F8"/>
    <w:rsid w:val="00CE1936"/>
    <w:rsid w:val="00CF3FD4"/>
    <w:rsid w:val="00D00017"/>
    <w:rsid w:val="00D01792"/>
    <w:rsid w:val="00D03DA7"/>
    <w:rsid w:val="00D04B26"/>
    <w:rsid w:val="00D156E7"/>
    <w:rsid w:val="00D16E95"/>
    <w:rsid w:val="00D23C16"/>
    <w:rsid w:val="00D27C3B"/>
    <w:rsid w:val="00D33E9C"/>
    <w:rsid w:val="00D41277"/>
    <w:rsid w:val="00D51CD9"/>
    <w:rsid w:val="00D547AD"/>
    <w:rsid w:val="00D554C9"/>
    <w:rsid w:val="00D55A51"/>
    <w:rsid w:val="00D7072A"/>
    <w:rsid w:val="00D716E0"/>
    <w:rsid w:val="00D73576"/>
    <w:rsid w:val="00D774F0"/>
    <w:rsid w:val="00D83802"/>
    <w:rsid w:val="00D86C5A"/>
    <w:rsid w:val="00DA06F5"/>
    <w:rsid w:val="00DA0B04"/>
    <w:rsid w:val="00DA7772"/>
    <w:rsid w:val="00DD1AFA"/>
    <w:rsid w:val="00DE4DDA"/>
    <w:rsid w:val="00DE767B"/>
    <w:rsid w:val="00E07DDE"/>
    <w:rsid w:val="00E105F9"/>
    <w:rsid w:val="00E15CF1"/>
    <w:rsid w:val="00E16BE1"/>
    <w:rsid w:val="00E258F9"/>
    <w:rsid w:val="00E26BDF"/>
    <w:rsid w:val="00E27A86"/>
    <w:rsid w:val="00E30C63"/>
    <w:rsid w:val="00E32BA0"/>
    <w:rsid w:val="00E50C7F"/>
    <w:rsid w:val="00E52E39"/>
    <w:rsid w:val="00E538A5"/>
    <w:rsid w:val="00E57952"/>
    <w:rsid w:val="00E6315C"/>
    <w:rsid w:val="00E63A89"/>
    <w:rsid w:val="00E749C2"/>
    <w:rsid w:val="00E83B20"/>
    <w:rsid w:val="00E83B62"/>
    <w:rsid w:val="00E84F35"/>
    <w:rsid w:val="00E851B3"/>
    <w:rsid w:val="00E96261"/>
    <w:rsid w:val="00E968DA"/>
    <w:rsid w:val="00EA0052"/>
    <w:rsid w:val="00EA110E"/>
    <w:rsid w:val="00EA2156"/>
    <w:rsid w:val="00EA5385"/>
    <w:rsid w:val="00EA57A4"/>
    <w:rsid w:val="00EC2D65"/>
    <w:rsid w:val="00ED0A39"/>
    <w:rsid w:val="00EE54B6"/>
    <w:rsid w:val="00EF0A6B"/>
    <w:rsid w:val="00EF0D0C"/>
    <w:rsid w:val="00EF320C"/>
    <w:rsid w:val="00EF69F3"/>
    <w:rsid w:val="00F00613"/>
    <w:rsid w:val="00F04A2A"/>
    <w:rsid w:val="00F05D69"/>
    <w:rsid w:val="00F0676F"/>
    <w:rsid w:val="00F06B64"/>
    <w:rsid w:val="00F06FF4"/>
    <w:rsid w:val="00F322AB"/>
    <w:rsid w:val="00F33817"/>
    <w:rsid w:val="00F35225"/>
    <w:rsid w:val="00F45560"/>
    <w:rsid w:val="00F45F94"/>
    <w:rsid w:val="00F53B5B"/>
    <w:rsid w:val="00F54FFE"/>
    <w:rsid w:val="00F56FF8"/>
    <w:rsid w:val="00F703ED"/>
    <w:rsid w:val="00F74C40"/>
    <w:rsid w:val="00F75908"/>
    <w:rsid w:val="00F77A4F"/>
    <w:rsid w:val="00F83143"/>
    <w:rsid w:val="00F86C50"/>
    <w:rsid w:val="00F92431"/>
    <w:rsid w:val="00FB22B2"/>
    <w:rsid w:val="00FB4E33"/>
    <w:rsid w:val="00FB72EA"/>
    <w:rsid w:val="00FC18C0"/>
    <w:rsid w:val="00FD046B"/>
    <w:rsid w:val="00FD3441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D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E968DA"/>
    <w:pPr>
      <w:spacing w:after="240" w:line="240" w:lineRule="auto"/>
    </w:pPr>
    <w:rPr>
      <w:rFonts w:ascii="Segoe UI" w:hAnsi="Segoe UI"/>
      <w:color w:val="575757"/>
    </w:rPr>
  </w:style>
  <w:style w:type="paragraph" w:styleId="Heading1">
    <w:name w:val="heading 1"/>
    <w:next w:val="BodyText"/>
    <w:link w:val="Heading1Char"/>
    <w:uiPriority w:val="9"/>
    <w:qFormat/>
    <w:rsid w:val="00A5108B"/>
    <w:pPr>
      <w:keepNext/>
      <w:spacing w:before="240" w:line="560" w:lineRule="exact"/>
      <w:contextualSpacing/>
      <w:outlineLvl w:val="0"/>
    </w:pPr>
    <w:rPr>
      <w:rFonts w:ascii="Segoe UI" w:eastAsiaTheme="majorEastAsia" w:hAnsi="Segoe UI" w:cstheme="majorBidi"/>
      <w:bCs/>
      <w:color w:val="0072C6"/>
      <w:kern w:val="36"/>
      <w:sz w:val="48"/>
      <w:szCs w:val="28"/>
    </w:rPr>
  </w:style>
  <w:style w:type="paragraph" w:styleId="Heading2">
    <w:name w:val="heading 2"/>
    <w:next w:val="BodyText"/>
    <w:link w:val="Heading2Char"/>
    <w:uiPriority w:val="9"/>
    <w:unhideWhenUsed/>
    <w:qFormat/>
    <w:rsid w:val="004374FA"/>
    <w:pPr>
      <w:spacing w:before="240" w:after="240" w:line="360" w:lineRule="exact"/>
      <w:outlineLvl w:val="1"/>
    </w:pPr>
    <w:rPr>
      <w:rFonts w:asciiTheme="majorHAnsi" w:eastAsiaTheme="majorEastAsia" w:hAnsiTheme="majorHAnsi" w:cstheme="majorBidi"/>
      <w:bCs/>
      <w:color w:val="0072C6"/>
      <w:kern w:val="36"/>
      <w:sz w:val="36"/>
      <w:szCs w:val="26"/>
    </w:rPr>
  </w:style>
  <w:style w:type="paragraph" w:styleId="Heading3">
    <w:name w:val="heading 3"/>
    <w:next w:val="BodyText"/>
    <w:link w:val="Heading3Char"/>
    <w:uiPriority w:val="9"/>
    <w:unhideWhenUsed/>
    <w:qFormat/>
    <w:rsid w:val="004374FA"/>
    <w:pPr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72C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1F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F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F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F3"/>
    <w:pPr>
      <w:outlineLvl w:val="6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F3"/>
    <w:pPr>
      <w:outlineLvl w:val="7"/>
    </w:pPr>
    <w:rPr>
      <w:rFonts w:asciiTheme="majorHAnsi" w:eastAsiaTheme="majorEastAsia" w:hAnsiTheme="majorHAnsi" w:cstheme="majorBidi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F3"/>
    <w:pPr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8B"/>
    <w:rPr>
      <w:rFonts w:ascii="Segoe UI" w:eastAsiaTheme="majorEastAsia" w:hAnsi="Segoe UI" w:cstheme="majorBidi"/>
      <w:bCs/>
      <w:color w:val="0072C6"/>
      <w:kern w:val="36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4FA"/>
    <w:rPr>
      <w:rFonts w:asciiTheme="majorHAnsi" w:eastAsiaTheme="majorEastAsia" w:hAnsiTheme="majorHAnsi" w:cstheme="majorBidi"/>
      <w:bCs/>
      <w:color w:val="0072C6"/>
      <w:kern w:val="36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1F3"/>
    <w:pPr>
      <w:keepNext/>
      <w:contextualSpacing/>
    </w:pPr>
    <w:rPr>
      <w:rFonts w:asciiTheme="majorHAnsi" w:eastAsiaTheme="majorEastAsia" w:hAnsiTheme="majorHAnsi" w:cstheme="majorBidi"/>
      <w:color w:val="511C74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1F3"/>
    <w:rPr>
      <w:rFonts w:asciiTheme="majorHAnsi" w:eastAsiaTheme="majorEastAsia" w:hAnsiTheme="majorHAnsi" w:cstheme="majorBidi"/>
      <w:color w:val="511C74"/>
      <w:spacing w:val="5"/>
      <w:sz w:val="52"/>
      <w:szCs w:val="52"/>
    </w:rPr>
  </w:style>
  <w:style w:type="numbering" w:customStyle="1" w:styleId="Bullets">
    <w:name w:val="Bullets"/>
    <w:uiPriority w:val="99"/>
    <w:rsid w:val="003D2256"/>
    <w:pPr>
      <w:numPr>
        <w:numId w:val="3"/>
      </w:numPr>
    </w:pPr>
  </w:style>
  <w:style w:type="table" w:styleId="TableGrid">
    <w:name w:val="Table Grid"/>
    <w:basedOn w:val="TableNormal"/>
    <w:uiPriority w:val="59"/>
    <w:rsid w:val="00712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F195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1950"/>
    <w:rPr>
      <w:rFonts w:ascii="Consolas" w:hAnsi="Consolas" w:cs="Consolas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6371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74FA"/>
    <w:rPr>
      <w:rFonts w:asciiTheme="majorHAnsi" w:eastAsiaTheme="majorEastAsia" w:hAnsiTheme="majorHAnsi" w:cstheme="majorBidi"/>
      <w:b/>
      <w:bCs/>
      <w:color w:val="0072C6"/>
    </w:rPr>
  </w:style>
  <w:style w:type="character" w:styleId="IntenseReference">
    <w:name w:val="Intense Reference"/>
    <w:uiPriority w:val="32"/>
    <w:qFormat/>
    <w:rsid w:val="006371F3"/>
    <w:rPr>
      <w:smallCaps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1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F3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1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20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F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F3"/>
    <w:rPr>
      <w:b/>
      <w:bCs/>
      <w:i/>
      <w:iCs/>
    </w:rPr>
  </w:style>
  <w:style w:type="character" w:styleId="SubtleReference">
    <w:name w:val="Subtle Reference"/>
    <w:uiPriority w:val="31"/>
    <w:qFormat/>
    <w:rsid w:val="006371F3"/>
    <w:rPr>
      <w:smallCap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0C"/>
    <w:rPr>
      <w:rFonts w:ascii="Tahoma" w:hAnsi="Tahoma" w:cs="Tahoma"/>
      <w:color w:val="000000" w:themeColor="tex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371F3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unhideWhenUsed/>
    <w:rsid w:val="003D015F"/>
    <w:rPr>
      <w:rFonts w:eastAsiaTheme="minorHAnsi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5F"/>
    <w:rPr>
      <w:rFonts w:ascii="Segoe UI" w:eastAsiaTheme="minorHAnsi" w:hAnsi="Segoe UI"/>
      <w:color w:val="000000" w:themeColor="text1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3D01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01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998"/>
    <w:pPr>
      <w:tabs>
        <w:tab w:val="right" w:leader="dot" w:pos="6480"/>
      </w:tabs>
      <w:spacing w:after="60"/>
      <w:ind w:right="288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B3A98"/>
    <w:pPr>
      <w:tabs>
        <w:tab w:val="right" w:leader="dot" w:pos="5314"/>
      </w:tabs>
      <w:spacing w:after="100"/>
      <w:ind w:left="400"/>
    </w:pPr>
  </w:style>
  <w:style w:type="character" w:styleId="Emphasis">
    <w:name w:val="Emphasis"/>
    <w:uiPriority w:val="20"/>
    <w:qFormat/>
    <w:rsid w:val="006371F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BookTitle">
    <w:name w:val="Book Title"/>
    <w:uiPriority w:val="33"/>
    <w:qFormat/>
    <w:rsid w:val="006371F3"/>
    <w:rPr>
      <w:i/>
      <w:i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C47998"/>
    <w:pPr>
      <w:tabs>
        <w:tab w:val="right" w:leader="dot" w:pos="6480"/>
      </w:tabs>
      <w:spacing w:after="100"/>
      <w:ind w:left="720" w:right="2880"/>
    </w:pPr>
    <w:rPr>
      <w:noProof/>
    </w:rPr>
  </w:style>
  <w:style w:type="table" w:customStyle="1" w:styleId="TableGrid1">
    <w:name w:val="Table Grid1"/>
    <w:basedOn w:val="TableNormal"/>
    <w:next w:val="TableGrid"/>
    <w:uiPriority w:val="59"/>
    <w:rsid w:val="00B26901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374FA"/>
    <w:pPr>
      <w:spacing w:after="200"/>
    </w:pPr>
    <w:rPr>
      <w:bCs/>
      <w:i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67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09B"/>
    <w:rPr>
      <w:rFonts w:ascii="Segoe UI" w:hAnsi="Segoe UI"/>
      <w:color w:val="000000" w:themeColor="text1"/>
      <w:sz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371F3"/>
    <w:pPr>
      <w:numPr>
        <w:numId w:val="18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9359C"/>
    <w:rPr>
      <w:color w:val="808080"/>
    </w:rPr>
  </w:style>
  <w:style w:type="character" w:styleId="Strong">
    <w:name w:val="Strong"/>
    <w:uiPriority w:val="22"/>
    <w:qFormat/>
    <w:rsid w:val="006371F3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371F3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371F3"/>
    <w:rPr>
      <w:rFonts w:ascii="Segoe UI" w:hAnsi="Segoe UI"/>
      <w:color w:val="000000" w:themeColor="tex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371F3"/>
    <w:pPr>
      <w:spacing w:before="200"/>
      <w:ind w:left="360" w:right="360"/>
    </w:pPr>
    <w:rPr>
      <w:rFonts w:asciiTheme="minorHAnsi" w:hAnsiTheme="min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371F3"/>
    <w:rPr>
      <w:i/>
      <w:iCs/>
    </w:rPr>
  </w:style>
  <w:style w:type="character" w:styleId="SubtleEmphasis">
    <w:name w:val="Subtle Emphasis"/>
    <w:uiPriority w:val="19"/>
    <w:qFormat/>
    <w:rsid w:val="006371F3"/>
    <w:rPr>
      <w:i/>
      <w:iCs/>
    </w:rPr>
  </w:style>
  <w:style w:type="numbering" w:customStyle="1" w:styleId="Style1">
    <w:name w:val="Style1"/>
    <w:uiPriority w:val="99"/>
    <w:rsid w:val="007D583B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7941"/>
    <w:rPr>
      <w:rFonts w:ascii="Segoe UI" w:hAnsi="Segoe UI"/>
      <w:color w:val="000000" w:themeColor="text1"/>
      <w:sz w:val="18"/>
    </w:rPr>
  </w:style>
  <w:style w:type="numbering" w:customStyle="1" w:styleId="Style2">
    <w:name w:val="Style2"/>
    <w:uiPriority w:val="99"/>
    <w:rsid w:val="0057370F"/>
    <w:pPr>
      <w:numPr>
        <w:numId w:val="6"/>
      </w:numPr>
    </w:pPr>
  </w:style>
  <w:style w:type="numbering" w:customStyle="1" w:styleId="ListStyle1">
    <w:name w:val="List Style 1"/>
    <w:uiPriority w:val="99"/>
    <w:rsid w:val="0057370F"/>
    <w:pPr>
      <w:numPr>
        <w:numId w:val="5"/>
      </w:numPr>
    </w:pPr>
  </w:style>
  <w:style w:type="numbering" w:customStyle="1" w:styleId="NumberedList">
    <w:name w:val="Numbered List"/>
    <w:uiPriority w:val="99"/>
    <w:rsid w:val="0057370F"/>
    <w:pPr>
      <w:numPr>
        <w:numId w:val="7"/>
      </w:numPr>
    </w:pPr>
  </w:style>
  <w:style w:type="numbering" w:customStyle="1" w:styleId="Style3">
    <w:name w:val="Style3"/>
    <w:uiPriority w:val="99"/>
    <w:rsid w:val="0057370F"/>
    <w:pPr>
      <w:numPr>
        <w:numId w:val="9"/>
      </w:numPr>
    </w:pPr>
  </w:style>
  <w:style w:type="paragraph" w:customStyle="1" w:styleId="NumberList">
    <w:name w:val="Number List"/>
    <w:basedOn w:val="ListParagraph"/>
    <w:next w:val="Normal"/>
    <w:link w:val="NumberListChar"/>
    <w:qFormat/>
    <w:rsid w:val="002367D0"/>
    <w:pPr>
      <w:numPr>
        <w:numId w:val="11"/>
      </w:numPr>
      <w:spacing w:before="120"/>
    </w:pPr>
  </w:style>
  <w:style w:type="numbering" w:customStyle="1" w:styleId="BulletsLevels">
    <w:name w:val="Bullets Levels"/>
    <w:uiPriority w:val="99"/>
    <w:rsid w:val="003B7941"/>
    <w:pPr>
      <w:numPr>
        <w:numId w:val="10"/>
      </w:numPr>
    </w:pPr>
  </w:style>
  <w:style w:type="character" w:customStyle="1" w:styleId="NumberListChar">
    <w:name w:val="Number List Char"/>
    <w:basedOn w:val="ListParagraphChar"/>
    <w:link w:val="NumberList"/>
    <w:rsid w:val="00286B12"/>
    <w:rPr>
      <w:rFonts w:ascii="Segoe UI" w:hAnsi="Segoe UI"/>
      <w:color w:val="000000" w:themeColor="text1"/>
      <w:sz w:val="18"/>
    </w:rPr>
  </w:style>
  <w:style w:type="paragraph" w:styleId="Footer">
    <w:name w:val="footer"/>
    <w:basedOn w:val="Normal"/>
    <w:link w:val="FooterChar"/>
    <w:uiPriority w:val="99"/>
    <w:unhideWhenUsed/>
    <w:rsid w:val="0079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62"/>
  </w:style>
  <w:style w:type="character" w:styleId="CommentReference">
    <w:name w:val="annotation reference"/>
    <w:basedOn w:val="DefaultParagraphFont"/>
    <w:uiPriority w:val="99"/>
    <w:semiHidden/>
    <w:unhideWhenUsed/>
    <w:rsid w:val="009A6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8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8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8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332BB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Subtitledata">
    <w:name w:val="Subtitle data"/>
    <w:uiPriority w:val="1"/>
    <w:rsid w:val="005B3A98"/>
    <w:pPr>
      <w:spacing w:after="0" w:line="240" w:lineRule="auto"/>
    </w:pPr>
    <w:rPr>
      <w:rFonts w:ascii="Segoe Pro Light" w:eastAsiaTheme="minorHAnsi" w:hAnsi="Segoe Pro Light"/>
      <w:b/>
    </w:rPr>
  </w:style>
  <w:style w:type="paragraph" w:customStyle="1" w:styleId="Documenttitle">
    <w:name w:val="Document title"/>
    <w:rsid w:val="005B3A98"/>
    <w:pPr>
      <w:spacing w:after="0" w:line="600" w:lineRule="exact"/>
    </w:pPr>
    <w:rPr>
      <w:rFonts w:ascii="Segoe Pro Light" w:eastAsia="Times New Roman" w:hAnsi="Segoe Pro Light" w:cs="Times New Roman"/>
      <w:color w:val="FFFFFF"/>
      <w:sz w:val="48"/>
      <w:szCs w:val="20"/>
    </w:rPr>
  </w:style>
  <w:style w:type="paragraph" w:customStyle="1" w:styleId="Contentshdg">
    <w:name w:val="Contents hdg"/>
    <w:uiPriority w:val="2"/>
    <w:rsid w:val="00C47998"/>
    <w:pPr>
      <w:spacing w:before="640" w:after="0" w:line="240" w:lineRule="auto"/>
    </w:pPr>
    <w:rPr>
      <w:rFonts w:ascii="Segoe Pro Light" w:eastAsia="Times New Roman" w:hAnsi="Segoe Pro Light" w:cs="Times New Roman"/>
      <w:color w:val="4F81BD" w:themeColor="accent1"/>
      <w:kern w:val="36"/>
      <w:sz w:val="36"/>
      <w:szCs w:val="39"/>
    </w:rPr>
  </w:style>
  <w:style w:type="paragraph" w:styleId="BodyText">
    <w:name w:val="Body Text"/>
    <w:link w:val="BodyTextChar"/>
    <w:qFormat/>
    <w:rsid w:val="00D04B26"/>
    <w:pPr>
      <w:tabs>
        <w:tab w:val="left" w:pos="360"/>
      </w:tabs>
      <w:spacing w:after="120" w:line="240" w:lineRule="auto"/>
    </w:pPr>
    <w:rPr>
      <w:rFonts w:eastAsia="Times New Roman" w:cs="Times New Roman"/>
      <w:color w:val="575757"/>
      <w:lang w:eastAsia="zh-CN"/>
    </w:rPr>
  </w:style>
  <w:style w:type="character" w:customStyle="1" w:styleId="BodyTextChar">
    <w:name w:val="Body Text Char"/>
    <w:basedOn w:val="DefaultParagraphFont"/>
    <w:link w:val="BodyText"/>
    <w:rsid w:val="00D04B26"/>
    <w:rPr>
      <w:rFonts w:eastAsia="Times New Roman" w:cs="Times New Roman"/>
      <w:color w:val="575757"/>
      <w:lang w:eastAsia="zh-CN"/>
    </w:rPr>
  </w:style>
  <w:style w:type="character" w:customStyle="1" w:styleId="zBoilerplateChar">
    <w:name w:val="z_Boilerplate Char"/>
    <w:basedOn w:val="DefaultParagraphFont"/>
    <w:link w:val="zBoilerplate"/>
    <w:locked/>
    <w:rsid w:val="003C7EB9"/>
    <w:rPr>
      <w:rFonts w:cs="Tahoma"/>
      <w:b/>
      <w:i/>
      <w:color w:val="575757"/>
      <w:lang w:eastAsia="ja-JP"/>
    </w:rPr>
  </w:style>
  <w:style w:type="paragraph" w:customStyle="1" w:styleId="zBoilerplate">
    <w:name w:val="z_Boilerplate"/>
    <w:basedOn w:val="Normal"/>
    <w:next w:val="BodyText"/>
    <w:link w:val="zBoilerplateChar"/>
    <w:qFormat/>
    <w:rsid w:val="003C7EB9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120" w:after="120"/>
    </w:pPr>
    <w:rPr>
      <w:rFonts w:asciiTheme="minorHAnsi" w:hAnsiTheme="minorHAnsi" w:cs="Tahoma"/>
      <w:b/>
      <w:i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57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social.msdn.microsoft.com/Forums/en-US/home?forum=sdlproce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blogs.technet.com/b/trustworthycompu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microsoft.com/security/sdl" TargetMode="External"/><Relationship Id="rId19" Type="http://schemas.openxmlformats.org/officeDocument/2006/relationships/hyperlink" Target="http://www.microsoft.com/security/sdl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rosoft.com/security/sd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ACE75-242E-40DF-A6A7-FCB6A0DC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2014-03-24T22:20:00Z</dcterms:created>
  <dcterms:modified xsi:type="dcterms:W3CDTF">2014-03-24T22:20:00Z</dcterms:modified>
  <cp:contentStatus/>
</cp:coreProperties>
</file>