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Garamond" w:hAnsi="Garamond"/>
          <w:sz w:val="20"/>
          <w:szCs w:val="20"/>
        </w:rPr>
      </w:pPr>
      <w:r>
        <w:rPr>
          <w:rFonts w:ascii="Garamond" w:hAnsi="Garamond"/>
          <w:sz w:val="20"/>
          <w:szCs w:val="20"/>
        </w:rPr>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477"/>
        <w:gridCol w:w="548"/>
        <w:gridCol w:w="7329"/>
      </w:tblGrid>
      <w:tr>
        <w:trPr/>
        <w:tc>
          <w:tcPr>
            <w:tcW w:w="8025" w:type="dxa"/>
            <w:gridSpan w:val="2"/>
            <w:tcBorders>
              <w:top w:val="nil"/>
              <w:left w:val="nil"/>
              <w:bottom w:val="nil"/>
              <w:right w:val="nil"/>
            </w:tcBorders>
          </w:tcPr>
          <w:p>
            <w:pPr>
              <w:pStyle w:val="Normal"/>
              <w:jc w:val="center"/>
              <w:rPr>
                <w:rFonts w:ascii="Garamond" w:hAnsi="Garamond"/>
                <w:sz w:val="20"/>
                <w:szCs w:val="20"/>
              </w:rPr>
            </w:pPr>
            <w:r>
              <w:rPr/>
              <w:drawing>
                <wp:inline distT="0" distB="0" distL="0" distR="0">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2"/>
                          <a:stretch>
                            <a:fillRect/>
                          </a:stretch>
                        </pic:blipFill>
                        <pic:spPr bwMode="auto">
                          <a:xfrm>
                            <a:off x="0" y="0"/>
                            <a:ext cx="2717800" cy="673100"/>
                          </a:xfrm>
                          <a:prstGeom prst="rect">
                            <a:avLst/>
                          </a:prstGeom>
                        </pic:spPr>
                      </pic:pic>
                    </a:graphicData>
                  </a:graphic>
                </wp:inline>
              </w:drawing>
            </w:r>
          </w:p>
          <w:p>
            <w:pPr>
              <w:pStyle w:val="Normal"/>
              <w:spacing w:before="0" w:after="120"/>
              <w:rPr>
                <w:rFonts w:ascii="Garamond" w:hAnsi="Garamond"/>
                <w:sz w:val="20"/>
                <w:szCs w:val="20"/>
              </w:rPr>
            </w:pPr>
            <w:r>
              <w:rPr>
                <w:rFonts w:ascii="Garamond" w:hAnsi="Garamond"/>
                <w:sz w:val="20"/>
                <w:szCs w:val="20"/>
              </w:rPr>
            </w:r>
          </w:p>
          <w:p>
            <w:pPr>
              <w:pStyle w:val="Normal"/>
              <w:jc w:val="center"/>
              <w:rPr>
                <w:rFonts w:ascii="Garamond" w:hAnsi="Garamond"/>
                <w:b/>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pPr>
              <w:pStyle w:val="Normal"/>
              <w:jc w:val="center"/>
              <w:rPr>
                <w:rFonts w:ascii="Garamond" w:hAnsi="Garamond"/>
                <w:b/>
                <w:b/>
                <w:color w:val="000090"/>
                <w:sz w:val="32"/>
                <w:szCs w:val="32"/>
              </w:rPr>
            </w:pPr>
            <w:r>
              <w:rPr>
                <w:rFonts w:ascii="Garamond" w:hAnsi="Garamond"/>
                <w:b/>
                <w:color w:val="000090"/>
                <w:sz w:val="32"/>
                <w:szCs w:val="32"/>
              </w:rPr>
              <w:t>Ecommerce Website Edition v1.21-EN</w:t>
            </w:r>
          </w:p>
          <w:p>
            <w:pPr>
              <w:pStyle w:val="Normal"/>
              <w:jc w:val="center"/>
              <w:rPr>
                <w:rFonts w:ascii="Garamond" w:hAnsi="Garamond"/>
                <w:sz w:val="20"/>
                <w:szCs w:val="20"/>
              </w:rPr>
            </w:pPr>
            <w:r>
              <w:rPr>
                <w:rFonts w:ascii="Garamond" w:hAnsi="Garamond"/>
                <w:sz w:val="20"/>
                <w:szCs w:val="20"/>
              </w:rPr>
            </w:r>
          </w:p>
          <w:p>
            <w:pPr>
              <w:pStyle w:val="Normal"/>
              <w:ind w:left="720" w:right="567" w:hanging="0"/>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Author</w:t>
            </w:r>
          </w:p>
          <w:p>
            <w:pPr>
              <w:pStyle w:val="Normal"/>
              <w:spacing w:before="0" w:after="120"/>
              <w:jc w:val="center"/>
              <w:rPr>
                <w:rFonts w:ascii="Garamond" w:hAnsi="Garamond"/>
                <w:sz w:val="20"/>
                <w:szCs w:val="20"/>
              </w:rPr>
            </w:pPr>
            <w:r>
              <w:rPr>
                <w:rFonts w:ascii="Garamond" w:hAnsi="Garamond"/>
                <w:sz w:val="20"/>
                <w:szCs w:val="20"/>
              </w:rPr>
              <w:t>Colin Watson</w:t>
            </w:r>
          </w:p>
          <w:p>
            <w:pPr>
              <w:pStyle w:val="Normal"/>
              <w:spacing w:before="120" w:after="20"/>
              <w:jc w:val="center"/>
              <w:rPr>
                <w:rFonts w:ascii="Garamond" w:hAnsi="Garamond"/>
                <w:sz w:val="18"/>
                <w:szCs w:val="18"/>
              </w:rPr>
            </w:pPr>
            <w:r>
              <w:rPr>
                <w:rFonts w:ascii="Garamond" w:hAnsi="Garamond"/>
                <w:sz w:val="18"/>
                <w:szCs w:val="18"/>
              </w:rPr>
              <w:t xml:space="preserve">Project Leaders </w:t>
            </w:r>
          </w:p>
          <w:p>
            <w:pPr>
              <w:pStyle w:val="Normal"/>
              <w:spacing w:before="0" w:after="120"/>
              <w:jc w:val="center"/>
              <w:rPr>
                <w:rFonts w:ascii="Garamond" w:hAnsi="Garamond"/>
                <w:sz w:val="20"/>
                <w:szCs w:val="20"/>
              </w:rPr>
            </w:pPr>
            <w:r>
              <w:rPr>
                <w:rFonts w:ascii="Garamond" w:hAnsi="Garamond"/>
                <w:sz w:val="20"/>
                <w:szCs w:val="20"/>
              </w:rPr>
              <w:t>Colin Watson and Grant Ongers</w:t>
            </w:r>
          </w:p>
          <w:p>
            <w:pPr>
              <w:pStyle w:val="Normal"/>
              <w:spacing w:before="120" w:after="20"/>
              <w:jc w:val="center"/>
              <w:rPr>
                <w:rFonts w:ascii="Garamond" w:hAnsi="Garamond" w:eastAsia="ＭＳ ゴシック" w:cs="" w:cstheme="majorBidi" w:eastAsiaTheme="majorEastAsia"/>
                <w:b/>
                <w:b/>
                <w:bCs/>
                <w:color w:val="4F81BD" w:themeColor="accent1"/>
                <w:sz w:val="18"/>
                <w:szCs w:val="18"/>
              </w:rPr>
            </w:pPr>
            <w:r>
              <w:rPr>
                <w:rFonts w:ascii="Garamond" w:hAnsi="Garamond"/>
                <w:sz w:val="18"/>
                <w:szCs w:val="18"/>
              </w:rPr>
              <w:t>Reviewers</w:t>
            </w:r>
          </w:p>
          <w:p>
            <w:pPr>
              <w:pStyle w:val="Normal"/>
              <w:spacing w:before="0" w:after="120"/>
              <w:jc w:val="center"/>
              <w:rPr>
                <w:rFonts w:ascii="Garamond" w:hAnsi="Garamond"/>
                <w:sz w:val="20"/>
                <w:szCs w:val="20"/>
              </w:rPr>
            </w:pPr>
            <w:r>
              <w:rPr>
                <w:rFonts w:ascii="Garamond" w:hAnsi="Garamond"/>
                <w:sz w:val="20"/>
                <w:szCs w:val="20"/>
              </w:rPr>
              <w:t>Tom Brennan, Johanna Curiel, Darío De Filippis and Timo Goosen</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20"/>
                <w:szCs w:val="20"/>
              </w:rPr>
            </w:pPr>
            <w:r>
              <w:rPr>
                <w:rFonts w:ascii="Garamond" w:hAnsi="Garamond"/>
                <w:sz w:val="20"/>
                <w:szCs w:val="20"/>
              </w:rPr>
              <w:t>Acknowledgments</w:t>
            </w:r>
          </w:p>
          <w:p>
            <w:pPr>
              <w:pStyle w:val="Normal"/>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pPr>
              <w:pStyle w:val="Normal"/>
              <w:rPr>
                <w:rFonts w:ascii="Garamond" w:hAnsi="Garamond"/>
                <w:sz w:val="18"/>
                <w:szCs w:val="18"/>
              </w:rPr>
            </w:pPr>
            <w:r>
              <w:rPr>
                <w:rFonts w:ascii="Garamond" w:hAnsi="Garamond"/>
                <w:sz w:val="18"/>
                <w:szCs w:val="18"/>
              </w:rPr>
            </w:r>
          </w:p>
          <w:p>
            <w:pPr>
              <w:pStyle w:val="Normal"/>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pPr>
              <w:pStyle w:val="Normal"/>
              <w:rPr>
                <w:rFonts w:ascii="Garamond" w:hAnsi="Garamond"/>
                <w:sz w:val="18"/>
                <w:szCs w:val="18"/>
              </w:rPr>
            </w:pPr>
            <w:r>
              <w:rPr>
                <w:rFonts w:ascii="Garamond" w:hAnsi="Garamond"/>
                <w:sz w:val="18"/>
                <w:szCs w:val="18"/>
              </w:rPr>
            </w:r>
          </w:p>
          <w:p>
            <w:pPr>
              <w:pStyle w:val="Normal"/>
              <w:jc w:val="center"/>
              <w:rPr>
                <w:rFonts w:ascii="Garamond" w:hAnsi="Garamond"/>
                <w:sz w:val="18"/>
                <w:szCs w:val="18"/>
              </w:rPr>
            </w:pPr>
            <w:r>
              <w:rPr>
                <w:rFonts w:ascii="Garamond" w:hAnsi="Garamond"/>
                <w:sz w:val="18"/>
                <w:szCs w:val="18"/>
              </w:rPr>
              <w:t>OWASP does not endorse or recommend commercial products or services © 2012-2016 OWASP Foundation This document is licensed under the Creative Commons Attribution-ShareAlike 3.0 license</w:t>
            </w:r>
          </w:p>
          <w:p>
            <w:pPr>
              <w:pStyle w:val="Normal"/>
              <w:jc w:val="center"/>
              <w:rPr>
                <w:rFonts w:ascii="Garamond" w:hAnsi="Garamond"/>
                <w:sz w:val="20"/>
                <w:szCs w:val="20"/>
              </w:rPr>
            </w:pPr>
            <w:r>
              <w:rPr>
                <w:rFonts w:ascii="Garamond" w:hAnsi="Garamond"/>
                <w:sz w:val="20"/>
                <w:szCs w:val="20"/>
              </w:rPr>
            </w:r>
          </w:p>
          <w:p>
            <w:pPr>
              <w:pStyle w:val="Normal"/>
              <w:tabs>
                <w:tab w:val="clear" w:pos="720"/>
                <w:tab w:val="left" w:pos="4550" w:leader="none"/>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0880" cy="6586220"/>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3"/>
                          <a:stretch>
                            <a:fillRect/>
                          </a:stretch>
                        </pic:blipFill>
                        <pic:spPr bwMode="auto">
                          <a:xfrm>
                            <a:off x="0" y="0"/>
                            <a:ext cx="4500880" cy="6586220"/>
                          </a:xfrm>
                          <a:prstGeom prst="rect">
                            <a:avLst/>
                          </a:prstGeom>
                        </pic:spPr>
                      </pic:pic>
                    </a:graphicData>
                  </a:graphic>
                </wp:inline>
              </w:drawing>
            </w:r>
          </w:p>
        </w:tc>
      </w:tr>
      <w:tr>
        <w:trPr/>
        <w:tc>
          <w:tcPr>
            <w:tcW w:w="7477" w:type="dxa"/>
            <w:tcBorders>
              <w:top w:val="nil"/>
              <w:left w:val="nil"/>
              <w:bottom w:val="nil"/>
              <w:right w:val="nil"/>
            </w:tcBorders>
          </w:tcPr>
          <w:p>
            <w:pPr>
              <w:pStyle w:val="CHeadTop"/>
              <w:rPr/>
            </w:pPr>
            <w:r>
              <w:rPr/>
              <w:t>Introduction</w:t>
            </w:r>
          </w:p>
          <w:p>
            <w:pPr>
              <w:pStyle w:val="Normal"/>
              <w:spacing w:before="0"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pPr>
              <w:pStyle w:val="Normal"/>
              <w:spacing w:before="0"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pPr>
              <w:pStyle w:val="Normal"/>
              <w:spacing w:before="0"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pPr>
              <w:pStyle w:val="Normal"/>
              <w:spacing w:before="0"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pPr>
              <w:pStyle w:val="CHeadMiddle"/>
              <w:rPr/>
            </w:pPr>
            <w:r>
              <w:rPr/>
              <w:t>The card deck (pack)</w:t>
            </w:r>
          </w:p>
          <w:p>
            <w:pPr>
              <w:pStyle w:val="Normal"/>
              <w:spacing w:before="0"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Data validation and encoding (VE)</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Authentication (AT)</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Session Management (SM)</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Authorization (AZ)</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Cryptography (CR)</w:t>
            </w:r>
          </w:p>
          <w:p>
            <w:pPr>
              <w:pStyle w:val="ListParagraph"/>
              <w:numPr>
                <w:ilvl w:val="0"/>
                <w:numId w:val="2"/>
              </w:numPr>
              <w:spacing w:before="0" w:after="120"/>
              <w:contextualSpacing/>
              <w:rPr>
                <w:rFonts w:ascii="Garamond" w:hAnsi="Garamond"/>
                <w:sz w:val="20"/>
                <w:szCs w:val="20"/>
              </w:rPr>
            </w:pPr>
            <w:r>
              <w:rPr>
                <w:rFonts w:ascii="Garamond" w:hAnsi="Garamond"/>
                <w:sz w:val="20"/>
                <w:szCs w:val="20"/>
              </w:rPr>
              <w:t>Cornucopia (C)</w:t>
            </w:r>
          </w:p>
          <w:p>
            <w:pPr>
              <w:pStyle w:val="Normal"/>
              <w:spacing w:before="0"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p>
            <w:pPr>
              <w:pStyle w:val="CHeadMiddle"/>
              <w:rPr/>
            </w:pPr>
            <w:r>
              <w:rPr/>
              <w:t>Mappings</w:t>
            </w:r>
          </w:p>
          <w:p>
            <w:pPr>
              <w:pStyle w:val="Normal"/>
              <w:spacing w:before="0" w:after="120"/>
              <w:rPr>
                <w:rFonts w:ascii="Garamond" w:hAnsi="Garamond"/>
                <w:sz w:val="20"/>
                <w:szCs w:val="20"/>
              </w:rPr>
            </w:pPr>
            <w:r>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v3.0.1 and AppSensor (application attack detection and response) to help teams create their own security-related stories for use in Agile processes.</w:t>
            </w:r>
          </w:p>
        </w:tc>
        <w:tc>
          <w:tcPr>
            <w:tcW w:w="548" w:type="dxa"/>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329" w:type="dxa"/>
            <w:tcBorders>
              <w:top w:val="nil"/>
              <w:left w:val="nil"/>
              <w:bottom w:val="nil"/>
              <w:right w:val="nil"/>
            </w:tcBorders>
          </w:tcPr>
          <w:p>
            <w:pPr>
              <w:pStyle w:val="CHeadTop"/>
              <w:rPr/>
            </w:pPr>
            <w:r>
              <w:rPr/>
              <w:t>Game strategy</w:t>
            </w:r>
          </w:p>
          <w:p>
            <w:pPr>
              <w:pStyle w:val="Normal"/>
              <w:spacing w:before="0" w:after="120"/>
              <w:rPr>
                <w:rFonts w:ascii="Garamond" w:hAnsi="Garamond"/>
                <w:sz w:val="20"/>
                <w:szCs w:val="20"/>
              </w:rPr>
            </w:pPr>
            <w:r>
              <w:rPr>
                <w:rFonts w:ascii="Garamond" w:hAnsi="Garamond"/>
                <w:sz w:val="20"/>
                <w:szCs w:val="20"/>
              </w:rPr>
              <w:t>Apart from the content differences, the game rules are virtually identical to those for EoP.</w:t>
            </w:r>
          </w:p>
          <w:p>
            <w:pPr>
              <w:pStyle w:val="CHeadMiddle"/>
              <w:rPr/>
            </w:pPr>
            <w:r>
              <w:rPr/>
              <w:t>Printing the cards</w:t>
            </w:r>
          </w:p>
          <w:p>
            <w:pPr>
              <w:pStyle w:val="Normal"/>
              <w:spacing w:before="0" w:after="120"/>
              <w:rPr>
                <w:rFonts w:ascii="Garamond" w:hAnsi="Garamond"/>
                <w:sz w:val="20"/>
                <w:szCs w:val="20"/>
              </w:rPr>
            </w:pPr>
            <w:r>
              <w:rPr>
                <w:rFonts w:ascii="Garamond" w:hAnsi="Garamond"/>
                <w:sz w:val="20"/>
                <w:szCs w:val="20"/>
              </w:rPr>
              <w:t xml:space="preserve">Check the Cornucopia project page for how to obtain pre-printed decks on glossy card. </w:t>
            </w:r>
          </w:p>
          <w:p>
            <w:pPr>
              <w:pStyle w:val="Normal"/>
              <w:spacing w:before="0"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pPr>
              <w:pStyle w:val="Normal"/>
              <w:spacing w:before="0"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pPr>
              <w:pStyle w:val="Normal"/>
              <w:spacing w:before="0"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pPr>
              <w:pStyle w:val="CHeadMiddle"/>
              <w:rPr/>
            </w:pPr>
            <w:r>
              <w:rPr/>
              <w:t>Customization</w:t>
            </w:r>
          </w:p>
          <w:p>
            <w:pPr>
              <w:pStyle w:val="Normal"/>
              <w:spacing w:before="0"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p>
            <w:pPr>
              <w:pStyle w:val="CHeadMiddle"/>
              <w:rPr/>
            </w:pPr>
            <w:r>
              <w:rPr/>
              <w:t>Provide feedback</w:t>
            </w:r>
          </w:p>
          <w:p>
            <w:pPr>
              <w:pStyle w:val="Normal"/>
              <w:spacing w:before="0"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pPr>
              <w:pStyle w:val="Normal"/>
              <w:spacing w:before="0" w:after="120"/>
              <w:rPr>
                <w:rFonts w:ascii="Garamond" w:hAnsi="Garamond"/>
                <w:sz w:val="20"/>
                <w:szCs w:val="20"/>
              </w:rPr>
            </w:pPr>
            <w:r>
              <w:rPr>
                <w:rFonts w:ascii="Garamond" w:hAnsi="Garamond"/>
                <w:sz w:val="20"/>
                <w:szCs w:val="20"/>
              </w:rPr>
              <w:t>The best place to use to discuss or contribute is the mailing list for the OWASP project:</w:t>
            </w:r>
          </w:p>
          <w:p>
            <w:pPr>
              <w:pStyle w:val="ListParagraph"/>
              <w:numPr>
                <w:ilvl w:val="0"/>
                <w:numId w:val="1"/>
              </w:numPr>
              <w:spacing w:before="0" w:after="120"/>
              <w:contextualSpacing/>
              <w:rPr>
                <w:rFonts w:ascii="Garamond" w:hAnsi="Garamond"/>
                <w:sz w:val="20"/>
                <w:szCs w:val="20"/>
              </w:rPr>
            </w:pPr>
            <w:r>
              <w:rPr>
                <w:rFonts w:ascii="Garamond" w:hAnsi="Garamond"/>
                <w:sz w:val="20"/>
                <w:szCs w:val="20"/>
              </w:rPr>
              <w:t>•Mailing list</w:t>
              <w:br/>
            </w:r>
            <w:hyperlink r:id="rId4">
              <w:r>
                <w:rPr>
                  <w:rStyle w:val="InternetLink"/>
                  <w:rFonts w:ascii="Garamond" w:hAnsi="Garamond"/>
                  <w:sz w:val="20"/>
                  <w:szCs w:val="20"/>
                </w:rPr>
                <w:t>https://lists.owasp.org/mailman/listinfo/owasp_cornucopia</w:t>
              </w:r>
            </w:hyperlink>
          </w:p>
          <w:p>
            <w:pPr>
              <w:pStyle w:val="ListParagraph"/>
              <w:numPr>
                <w:ilvl w:val="0"/>
                <w:numId w:val="1"/>
              </w:numPr>
              <w:spacing w:before="0" w:after="120"/>
              <w:contextualSpacing/>
              <w:rPr>
                <w:rFonts w:ascii="Garamond" w:hAnsi="Garamond"/>
                <w:sz w:val="20"/>
                <w:szCs w:val="20"/>
              </w:rPr>
            </w:pPr>
            <w:r>
              <w:rPr>
                <w:rFonts w:ascii="Garamond" w:hAnsi="Garamond"/>
                <w:sz w:val="20"/>
                <w:szCs w:val="20"/>
              </w:rPr>
              <w:t>•Project home page</w:t>
              <w:br/>
            </w:r>
            <w:hyperlink r:id="rId5">
              <w:r>
                <w:rPr>
                  <w:rStyle w:val="InternetLink"/>
                  <w:rFonts w:ascii="Garamond" w:hAnsi="Garamond"/>
                  <w:sz w:val="20"/>
                  <w:szCs w:val="20"/>
                </w:rPr>
                <w:t>https://www.owasp.org/index.php/OWASP_Cornucopia</w:t>
              </w:r>
            </w:hyperlink>
          </w:p>
          <w:p>
            <w:pPr>
              <w:pStyle w:val="Normal"/>
              <w:spacing w:before="0" w:after="120"/>
              <w:rPr>
                <w:rFonts w:ascii="Garamond" w:hAnsi="Garamond"/>
                <w:sz w:val="20"/>
                <w:szCs w:val="20"/>
              </w:rPr>
            </w:pPr>
            <w:r>
              <w:rPr>
                <w:rFonts w:ascii="Garamond" w:hAnsi="Garamond"/>
                <w:sz w:val="20"/>
                <w:szCs w:val="20"/>
              </w:rPr>
              <w:t>All OWASP documents and tools are free to download and use. OWASP Cornucopia is licensed under the Creative Commons Attribution-ShareAlike 3.0 license.</w:t>
            </w:r>
          </w:p>
        </w:tc>
      </w:tr>
    </w:tbl>
    <w:p>
      <w:pPr>
        <w:pStyle w:val="Normal"/>
        <w:rPr>
          <w:rFonts w:ascii="Garamond" w:hAnsi="Garamond"/>
          <w:sz w:val="20"/>
          <w:szCs w:val="20"/>
        </w:rPr>
      </w:pPr>
      <w:r>
        <w:rPr>
          <w:rFonts w:ascii="Garamond" w:hAnsi="Garamond"/>
          <w:sz w:val="20"/>
          <w:szCs w:val="20"/>
        </w:rPr>
      </w:r>
      <w:r>
        <w:br w:type="page"/>
      </w:r>
    </w:p>
    <w:tbl>
      <w:tblPr>
        <w:tblStyle w:val="TableGrid"/>
        <w:tblW w:w="15355" w:type="dxa"/>
        <w:jc w:val="left"/>
        <w:tblInd w:w="0" w:type="dxa"/>
        <w:tblCellMar>
          <w:top w:w="0" w:type="dxa"/>
          <w:left w:w="108" w:type="dxa"/>
          <w:bottom w:w="0" w:type="dxa"/>
          <w:right w:w="108" w:type="dxa"/>
        </w:tblCellMar>
        <w:tblLook w:val="04a0" w:noHBand="0" w:noVBand="1" w:firstColumn="1" w:lastRow="0" w:lastColumn="0" w:firstRow="1"/>
      </w:tblPr>
      <w:tblGrid>
        <w:gridCol w:w="109"/>
        <w:gridCol w:w="737"/>
        <w:gridCol w:w="792"/>
        <w:gridCol w:w="2581"/>
        <w:gridCol w:w="851"/>
        <w:gridCol w:w="2458"/>
        <w:gridCol w:w="123"/>
        <w:gridCol w:w="121"/>
        <w:gridCol w:w="703"/>
        <w:gridCol w:w="2580"/>
        <w:gridCol w:w="828"/>
        <w:gridCol w:w="2579"/>
        <w:gridCol w:w="891"/>
      </w:tblGrid>
      <w:tr>
        <w:trPr/>
        <w:tc>
          <w:tcPr>
            <w:tcW w:w="7528" w:type="dxa"/>
            <w:gridSpan w:val="6"/>
            <w:tcBorders>
              <w:top w:val="nil"/>
              <w:left w:val="nil"/>
              <w:bottom w:val="nil"/>
              <w:right w:val="nil"/>
            </w:tcBorders>
          </w:tcPr>
          <w:p>
            <w:pPr>
              <w:pStyle w:val="CHeadTop"/>
              <w:pageBreakBefore/>
              <w:rPr/>
            </w:pPr>
            <w:r>
              <w:rPr/>
              <w:t>Instructions</w:t>
            </w:r>
          </w:p>
          <w:p>
            <w:pPr>
              <w:pStyle w:val="Normal"/>
              <w:spacing w:before="0" w:after="120"/>
              <w:rPr>
                <w:rFonts w:ascii="Garamond" w:hAnsi="Garamond"/>
                <w:sz w:val="20"/>
                <w:szCs w:val="20"/>
              </w:rPr>
            </w:pPr>
            <w:r>
              <w:rPr>
                <w:rFonts w:ascii="Garamond" w:hAnsi="Garamond"/>
                <w:sz w:val="20"/>
                <w:szCs w:val="20"/>
              </w:rPr>
              <w:t>The text on each card describes an attack, but the attacker is given a name, which are unique across all the cards. The name can represent a computer system (e.g. the database, the file system, another application, a related service, a botnet), an individual person (e.g. a citizen, a customer, a client, an employee, a criminal, a spy), or even a group of people (e.g. a competitive organization, activists with a common cause). The attacker might be remote in some other device/location, or local/internal with access to the same device, host or network as the application is running on. The attacker is always named at the start of each description An example is:</w:t>
            </w:r>
          </w:p>
          <w:p>
            <w:pPr>
              <w:pStyle w:val="Normal"/>
              <w:jc w:val="center"/>
              <w:rPr>
                <w:rFonts w:ascii="Garamond" w:hAnsi="Garamond"/>
                <w:i/>
                <w:i/>
                <w:sz w:val="20"/>
                <w:szCs w:val="20"/>
              </w:rPr>
            </w:pPr>
            <w:r>
              <w:rPr>
                <w:rFonts w:ascii="Garamond" w:hAnsi="Garamond"/>
                <w:i/>
                <w:sz w:val="20"/>
                <w:szCs w:val="20"/>
              </w:rPr>
              <w:t>William has control over the generation of session identifiers.</w:t>
            </w:r>
          </w:p>
          <w:p>
            <w:pPr>
              <w:pStyle w:val="Normal"/>
              <w:spacing w:before="0" w:after="120"/>
              <w:rPr>
                <w:rFonts w:ascii="Garamond" w:hAnsi="Garamond"/>
                <w:sz w:val="20"/>
                <w:szCs w:val="20"/>
              </w:rPr>
            </w:pPr>
            <w:r>
              <w:rPr>
                <w:rFonts w:ascii="Garamond" w:hAnsi="Garamond"/>
                <w:sz w:val="20"/>
                <w:szCs w:val="20"/>
              </w:rPr>
              <w:t>This means the attacker (William) can create new session identifiers that the application accepts. The attacks were primarily drawn from the security requirements listed in the SCP, v2 but then supplemented with verification objectives from the OWASP “Application Security Verification Standard for Web Applications”, the security focused stories in SAFECode’s “Practical Security Stories and Security Tasks for Agile Development Environments”, and finally a review of the cards in EOP.</w:t>
            </w:r>
          </w:p>
          <w:p>
            <w:pPr>
              <w:pStyle w:val="Normal"/>
              <w:spacing w:before="0" w:after="120"/>
              <w:rPr>
                <w:rFonts w:ascii="Garamond" w:hAnsi="Garamond"/>
                <w:sz w:val="20"/>
                <w:szCs w:val="20"/>
              </w:rPr>
            </w:pPr>
            <w:r>
              <w:rPr>
                <w:rFonts w:ascii="Garamond" w:hAnsi="Garamond"/>
                <w:sz w:val="20"/>
                <w:szCs w:val="20"/>
              </w:rPr>
              <w:t xml:space="preserve">Further guidance about each card is available in the online Wiki Deck at </w:t>
            </w:r>
          </w:p>
          <w:p>
            <w:pPr>
              <w:pStyle w:val="Normal"/>
              <w:spacing w:before="0" w:after="120"/>
              <w:rPr/>
            </w:pPr>
            <w:hyperlink r:id="rId6">
              <w:r>
                <w:rPr>
                  <w:rStyle w:val="InternetLink"/>
                  <w:rFonts w:ascii="Garamond" w:hAnsi="Garamond"/>
                  <w:spacing w:val="-7"/>
                  <w:sz w:val="20"/>
                  <w:szCs w:val="20"/>
                </w:rPr>
                <w:t>https://w</w:t>
              </w:r>
              <w:r>
                <w:rPr>
                  <w:rStyle w:val="InternetLink"/>
                  <w:rFonts w:ascii="Garamond" w:hAnsi="Garamond"/>
                  <w:spacing w:val="-7"/>
                  <w:sz w:val="20"/>
                  <w:szCs w:val="20"/>
                </w:rPr>
                <w:t>iki</w:t>
              </w:r>
              <w:r>
                <w:rPr>
                  <w:rStyle w:val="InternetLink"/>
                  <w:rFonts w:ascii="Garamond" w:hAnsi="Garamond"/>
                  <w:spacing w:val="-7"/>
                  <w:sz w:val="20"/>
                  <w:szCs w:val="20"/>
                </w:rPr>
                <w:t>.owasp.org/index.php/Cornucopia_-_Ecommerce_Website_Edition_-_Wiki_Deck</w:t>
              </w:r>
            </w:hyperlink>
          </w:p>
          <w:p>
            <w:pPr>
              <w:pStyle w:val="Normal"/>
              <w:spacing w:before="0" w:after="120"/>
              <w:rPr>
                <w:rFonts w:ascii="Garamond" w:hAnsi="Garamond"/>
                <w:sz w:val="20"/>
                <w:szCs w:val="20"/>
              </w:rPr>
            </w:pPr>
            <w:r>
              <w:rPr>
                <w:rFonts w:ascii="Garamond" w:hAnsi="Garamond"/>
                <w:sz w:val="20"/>
                <w:szCs w:val="20"/>
              </w:rPr>
              <w:t>Lookups between the attacks and five resources are provided on most cards:</w:t>
            </w:r>
          </w:p>
          <w:p>
            <w:pPr>
              <w:pStyle w:val="ListParagraph"/>
              <w:numPr>
                <w:ilvl w:val="0"/>
                <w:numId w:val="3"/>
              </w:numPr>
              <w:spacing w:before="0" w:after="120"/>
              <w:contextualSpacing/>
              <w:rPr>
                <w:rFonts w:ascii="Garamond" w:hAnsi="Garamond"/>
                <w:sz w:val="20"/>
                <w:szCs w:val="20"/>
              </w:rPr>
            </w:pPr>
            <w:r>
              <w:rPr>
                <w:rFonts w:ascii="Garamond" w:hAnsi="Garamond"/>
                <w:sz w:val="20"/>
                <w:szCs w:val="20"/>
              </w:rPr>
              <w:t xml:space="preserve">Requirements in “Secure Coding Practices (SCP) - Quick Reference Guide”, v2, OWASP, November 2010 </w:t>
              <w:br/>
            </w:r>
            <w:hyperlink r:id="rId7">
              <w:r>
                <w:rPr>
                  <w:rStyle w:val="InternetLink"/>
                  <w:rFonts w:ascii="Garamond" w:hAnsi="Garamond"/>
                  <w:spacing w:val="-6"/>
                  <w:sz w:val="20"/>
                  <w:szCs w:val="20"/>
                </w:rPr>
                <w:t>https://www.owasp.org/index.php/File:OWASP_SCP_Quick_Reference_Guide_v2.pdf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Verification IDs in “Application Security Verification Standard (ASVS) for Web Applications”, OWASP, v3.0.1, 2016 (excluding sections 18 and 19)</w:t>
              <w:br/>
            </w:r>
            <w:hyperlink r:id="rId8">
              <w:r>
                <w:rPr>
                  <w:rStyle w:val="InternetLink"/>
                  <w:rFonts w:ascii="Garamond" w:hAnsi="Garamond"/>
                  <w:spacing w:val="-14"/>
                  <w:sz w:val="20"/>
                  <w:szCs w:val="20"/>
                </w:rPr>
                <w:t>https</w:t>
              </w:r>
              <w:r>
                <w:rPr>
                  <w:rStyle w:val="InternetLink"/>
                  <w:rFonts w:ascii="Garamond" w:hAnsi="Garamond"/>
                  <w:spacing w:val="-34"/>
                  <w:sz w:val="20"/>
                  <w:szCs w:val="20"/>
                </w:rPr>
                <w:t>://</w:t>
              </w:r>
              <w:r>
                <w:rPr>
                  <w:rStyle w:val="InternetLink"/>
                  <w:rFonts w:ascii="Garamond" w:hAnsi="Garamond"/>
                  <w:spacing w:val="-14"/>
                  <w:sz w:val="20"/>
                  <w:szCs w:val="20"/>
                </w:rPr>
                <w:t>www.owasp.org/images</w:t>
              </w:r>
              <w:r>
                <w:rPr>
                  <w:rStyle w:val="InternetLink"/>
                  <w:rFonts w:ascii="Garamond" w:hAnsi="Garamond"/>
                  <w:spacing w:val="-34"/>
                  <w:sz w:val="20"/>
                  <w:szCs w:val="20"/>
                </w:rPr>
                <w:t>/3/33/</w:t>
              </w:r>
              <w:r>
                <w:rPr>
                  <w:rStyle w:val="InternetLink"/>
                  <w:rFonts w:ascii="Garamond" w:hAnsi="Garamond"/>
                  <w:spacing w:val="-14"/>
                  <w:sz w:val="20"/>
                  <w:szCs w:val="20"/>
                </w:rPr>
                <w:t>OWASP</w:t>
              </w:r>
              <w:r>
                <w:rPr>
                  <w:rStyle w:val="InternetLink"/>
                  <w:rFonts w:ascii="Garamond" w:hAnsi="Garamond"/>
                  <w:spacing w:val="-34"/>
                  <w:sz w:val="20"/>
                  <w:szCs w:val="20"/>
                </w:rPr>
                <w:t>_</w:t>
              </w:r>
              <w:r>
                <w:rPr>
                  <w:rStyle w:val="InternetLink"/>
                  <w:rFonts w:ascii="Garamond" w:hAnsi="Garamond"/>
                  <w:spacing w:val="-14"/>
                  <w:sz w:val="20"/>
                  <w:szCs w:val="20"/>
                </w:rPr>
                <w:t>Application</w:t>
              </w:r>
              <w:r>
                <w:rPr>
                  <w:rStyle w:val="InternetLink"/>
                  <w:rFonts w:ascii="Garamond" w:hAnsi="Garamond"/>
                  <w:spacing w:val="-34"/>
                  <w:sz w:val="20"/>
                  <w:szCs w:val="20"/>
                </w:rPr>
                <w:t>_</w:t>
              </w:r>
              <w:r>
                <w:rPr>
                  <w:rStyle w:val="InternetLink"/>
                  <w:rFonts w:ascii="Garamond" w:hAnsi="Garamond"/>
                  <w:spacing w:val="-14"/>
                  <w:sz w:val="20"/>
                  <w:szCs w:val="20"/>
                </w:rPr>
                <w:t>Security</w:t>
              </w:r>
              <w:r>
                <w:rPr>
                  <w:rStyle w:val="InternetLink"/>
                  <w:rFonts w:ascii="Garamond" w:hAnsi="Garamond"/>
                  <w:spacing w:val="-34"/>
                  <w:sz w:val="20"/>
                  <w:szCs w:val="20"/>
                </w:rPr>
                <w:t>_</w:t>
              </w:r>
              <w:r>
                <w:rPr>
                  <w:rStyle w:val="InternetLink"/>
                  <w:rFonts w:ascii="Garamond" w:hAnsi="Garamond"/>
                  <w:spacing w:val="-14"/>
                  <w:sz w:val="20"/>
                  <w:szCs w:val="20"/>
                </w:rPr>
                <w:t>Verification</w:t>
              </w:r>
              <w:r>
                <w:rPr>
                  <w:rStyle w:val="InternetLink"/>
                  <w:rFonts w:ascii="Garamond" w:hAnsi="Garamond"/>
                  <w:spacing w:val="-34"/>
                  <w:sz w:val="20"/>
                  <w:szCs w:val="20"/>
                </w:rPr>
                <w:t>_</w:t>
              </w:r>
              <w:r>
                <w:rPr>
                  <w:rStyle w:val="InternetLink"/>
                  <w:rFonts w:ascii="Garamond" w:hAnsi="Garamond"/>
                  <w:spacing w:val="-14"/>
                  <w:sz w:val="20"/>
                  <w:szCs w:val="20"/>
                </w:rPr>
                <w:t>Standard</w:t>
              </w:r>
              <w:r>
                <w:rPr>
                  <w:rStyle w:val="InternetLink"/>
                  <w:rFonts w:ascii="Garamond" w:hAnsi="Garamond"/>
                  <w:spacing w:val="-34"/>
                  <w:sz w:val="20"/>
                  <w:szCs w:val="20"/>
                </w:rPr>
                <w:t>_</w:t>
              </w:r>
              <w:r>
                <w:rPr>
                  <w:rStyle w:val="InternetLink"/>
                  <w:rFonts w:ascii="Garamond" w:hAnsi="Garamond"/>
                  <w:spacing w:val="-14"/>
                  <w:sz w:val="20"/>
                  <w:szCs w:val="20"/>
                </w:rPr>
                <w:t>3.0.1.pdf</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Attack detection points IDs in “AppSensor”, OWASP, August 2010-2015</w:t>
              <w:br/>
            </w:r>
            <w:hyperlink r:id="rId9">
              <w:r>
                <w:rPr>
                  <w:rStyle w:val="InternetLink"/>
                  <w:rFonts w:ascii="Garamond" w:hAnsi="Garamond"/>
                  <w:sz w:val="20"/>
                  <w:szCs w:val="20"/>
                </w:rPr>
                <w:t>https://www.owasp.org/index.php/AppSensor_DetectionPoints</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IDs in “Common Attack Pattern Enumeration and Classification (CAPEC)”, v2.8, Mitre Corporation, November 2015</w:t>
            </w:r>
          </w:p>
          <w:p>
            <w:pPr>
              <w:pStyle w:val="ListParagraph"/>
              <w:spacing w:before="0" w:after="120"/>
              <w:contextualSpacing/>
              <w:rPr>
                <w:rFonts w:ascii="Garamond" w:hAnsi="Garamond"/>
                <w:sz w:val="20"/>
                <w:szCs w:val="20"/>
              </w:rPr>
            </w:pPr>
            <w:hyperlink r:id="rId10">
              <w:r>
                <w:rPr>
                  <w:rStyle w:val="InternetLink"/>
                  <w:rFonts w:ascii="Garamond" w:hAnsi="Garamond"/>
                  <w:sz w:val="20"/>
                  <w:szCs w:val="20"/>
                </w:rPr>
                <w:t>http://capec.mitre.org/data/archive/capec_v2.8.zip</w:t>
              </w:r>
            </w:hyperlink>
          </w:p>
          <w:p>
            <w:pPr>
              <w:pStyle w:val="ListParagraph"/>
              <w:numPr>
                <w:ilvl w:val="0"/>
                <w:numId w:val="3"/>
              </w:numPr>
              <w:spacing w:before="0" w:after="120"/>
              <w:contextualSpacing/>
              <w:rPr>
                <w:rFonts w:ascii="Garamond" w:hAnsi="Garamond"/>
                <w:sz w:val="20"/>
                <w:szCs w:val="20"/>
              </w:rPr>
            </w:pPr>
            <w:r>
              <w:rPr>
                <w:rFonts w:ascii="Garamond" w:hAnsi="Garamond"/>
                <w:sz w:val="20"/>
                <w:szCs w:val="20"/>
              </w:rPr>
              <w:t>Security-focused stories in 'Practical Security Stories and Security Tasks for Agile Development Environments', SAFECode, July 2012</w:t>
            </w:r>
          </w:p>
          <w:p>
            <w:pPr>
              <w:pStyle w:val="ListParagraph"/>
              <w:spacing w:before="0" w:after="120"/>
              <w:contextualSpacing/>
              <w:rPr>
                <w:rFonts w:ascii="Garamond" w:hAnsi="Garamond"/>
                <w:sz w:val="20"/>
                <w:szCs w:val="20"/>
              </w:rPr>
            </w:pPr>
            <w:hyperlink r:id="rId11">
              <w:r>
                <w:rPr>
                  <w:rStyle w:val="InternetLink"/>
                  <w:rFonts w:ascii="Garamond" w:hAnsi="Garamond"/>
                  <w:sz w:val="20"/>
                  <w:szCs w:val="20"/>
                </w:rPr>
                <w:t>http://www.safecode.org/publications/SAFECode_Agile_Dev_Security0712.pdf</w:t>
              </w:r>
            </w:hyperlink>
          </w:p>
          <w:p>
            <w:pPr>
              <w:pStyle w:val="Normal"/>
              <w:spacing w:before="0"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pPr>
              <w:pStyle w:val="Normal"/>
              <w:spacing w:before="0" w:after="120"/>
              <w:rPr>
                <w:rFonts w:ascii="Garamond" w:hAnsi="Garamond"/>
                <w:sz w:val="20"/>
                <w:szCs w:val="20"/>
              </w:rPr>
            </w:pPr>
            <w:r>
              <w:rPr>
                <w:rFonts w:ascii="Garamond" w:hAnsi="Garamond"/>
                <w:sz w:val="20"/>
                <w:szCs w:val="20"/>
              </w:rPr>
              <w:t>It is possible to play Cornucopia in many different ways.  Here is one way, demonstrated online in a video at https://youtu.be/i5Y0akWj31k , which uses the new (May 2015) score/record sheet at https://www.owasp.org/index.php/File:Cornucopia-scoresheet.pdf</w:t>
            </w:r>
          </w:p>
          <w:p>
            <w:pPr>
              <w:pStyle w:val="Normal"/>
              <w:spacing w:before="0" w:after="120"/>
              <w:rPr>
                <w:rStyle w:val="InternetLink"/>
                <w:rFonts w:ascii="Garamond" w:hAnsi="Garamond"/>
                <w:sz w:val="20"/>
                <w:szCs w:val="20"/>
              </w:rPr>
            </w:pPr>
            <w:hyperlink r:id="rId12">
              <w:r>
                <w:rPr>
                  <w:rStyle w:val="InternetLink"/>
                  <w:rFonts w:ascii="Garamond" w:hAnsi="Garamond"/>
                  <w:sz w:val="20"/>
                  <w:szCs w:val="20"/>
                </w:rPr>
                <w:t>https://youtu.be/i5Y0akWj31k</w:t>
              </w:r>
            </w:hyperlink>
            <w:hyperlink r:id="rId13">
              <w:r>
                <w:rPr>
                  <w:rStyle w:val="InternetLink"/>
                  <w:rFonts w:ascii="Garamond" w:hAnsi="Garamond"/>
                  <w:sz w:val="20"/>
                  <w:szCs w:val="20"/>
                </w:rPr>
                <w:t>https://www.owasp.org/index.php/File:Cornucopia-scoresheet.pdf</w:t>
              </w:r>
            </w:hyperlink>
          </w:p>
          <w:p>
            <w:pPr>
              <w:pStyle w:val="CHeadTop"/>
              <w:rPr/>
            </w:pPr>
            <w:r>
              <w:rPr/>
              <w:t>Alternative game rules</w:t>
            </w:r>
          </w:p>
          <w:p>
            <w:pPr>
              <w:pStyle w:val="Normal"/>
              <w:spacing w:before="0"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pPr>
              <w:pStyle w:val="Normal"/>
              <w:spacing w:before="0"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pPr>
              <w:pStyle w:val="Normal"/>
              <w:spacing w:before="0"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pPr>
              <w:pStyle w:val="Normal"/>
              <w:spacing w:before="0"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pPr>
              <w:pStyle w:val="Normal"/>
              <w:spacing w:before="0"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pPr>
              <w:pStyle w:val="Normal"/>
              <w:spacing w:before="0"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pPr>
              <w:pStyle w:val="Normal"/>
              <w:spacing w:before="0" w:after="120"/>
              <w:rPr>
                <w:rFonts w:ascii="Garamond" w:hAnsi="Garamond"/>
                <w:sz w:val="20"/>
                <w:szCs w:val="20"/>
              </w:rPr>
            </w:pPr>
            <w:r>
              <w:rPr>
                <w:rFonts w:ascii="Garamond" w:hAnsi="Garamond"/>
                <w:sz w:val="20"/>
                <w:szCs w:val="20"/>
              </w:rPr>
              <w:t>In Microsoft's EoP guidance, they recommend cheating as a good game strategy.</w:t>
            </w:r>
          </w:p>
          <w:p>
            <w:pPr>
              <w:pStyle w:val="CHeadMiddle"/>
              <w:rPr/>
            </w:pPr>
            <w:r>
              <w:rPr/>
              <w:t>Development framework-specific modified card decks</w:t>
            </w:r>
          </w:p>
          <w:p>
            <w:pPr>
              <w:pStyle w:val="Normal"/>
              <w:spacing w:before="0"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pPr>
              <w:pStyle w:val="Normal"/>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p>
            <w:pPr>
              <w:pStyle w:val="Normal"/>
              <w:spacing w:before="0" w:after="120"/>
              <w:rPr>
                <w:rStyle w:val="InternetLink"/>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spacing w:before="0" w:after="120"/>
              <w:rPr>
                <w:rFonts w:ascii="Garamond" w:hAnsi="Garamond"/>
                <w:sz w:val="20"/>
                <w:szCs w:val="20"/>
              </w:rPr>
            </w:pPr>
            <w:r>
              <w:rPr>
                <w:rFonts w:ascii="Garamond" w:hAnsi="Garamond"/>
                <w:sz w:val="20"/>
                <w:szCs w:val="20"/>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r>
          </w:p>
          <w:p>
            <w:pPr>
              <w:pStyle w:val="Normal"/>
              <w:tabs>
                <w:tab w:val="clear" w:pos="720"/>
                <w:tab w:val="right" w:pos="7263" w:leader="none"/>
              </w:tabs>
              <w:spacing w:before="0" w:after="120"/>
              <w:rPr>
                <w:rFonts w:ascii="Garamond" w:hAnsi="Garamond"/>
                <w:b/>
                <w:b/>
                <w:bCs/>
                <w:i/>
                <w:i/>
                <w:sz w:val="22"/>
                <w:szCs w:val="22"/>
              </w:rPr>
            </w:pPr>
            <w:r>
              <w:rPr>
                <w:rFonts w:ascii="Garamond" w:hAnsi="Garamond"/>
                <w:b/>
                <w:bCs/>
                <w:i/>
                <w:sz w:val="22"/>
                <w:szCs w:val="22"/>
              </w:rPr>
              <w:t>Frequently asked questions</w:t>
            </w:r>
          </w:p>
          <w:p>
            <w:pPr>
              <w:pStyle w:val="Normal"/>
              <w:tabs>
                <w:tab w:val="clear" w:pos="720"/>
                <w:tab w:val="right" w:pos="7263" w:leader="none"/>
              </w:tabs>
              <w:spacing w:before="0" w:after="120"/>
              <w:jc w:val="right"/>
              <w:rPr>
                <w:rFonts w:ascii="Garamond" w:hAnsi="Garamond"/>
                <w:i/>
                <w:i/>
                <w:sz w:val="20"/>
                <w:szCs w:val="20"/>
              </w:rPr>
            </w:pPr>
            <w:r>
              <w:rPr>
                <w:rFonts w:ascii="Garamond" w:hAnsi="Garamond"/>
                <w:i/>
                <w:sz w:val="20"/>
                <w:szCs w:val="20"/>
              </w:rPr>
              <w:t xml:space="preserve">1. Can I copy or edit the game? </w:t>
              <w:tab/>
            </w:r>
          </w:p>
          <w:p>
            <w:pPr>
              <w:pStyle w:val="Normal"/>
              <w:spacing w:before="0" w:after="120"/>
              <w:rPr>
                <w:rFonts w:ascii="Garamond" w:hAnsi="Garamond"/>
                <w:i/>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pPr>
              <w:pStyle w:val="Normal"/>
              <w:spacing w:before="0" w:after="120"/>
              <w:rPr>
                <w:rFonts w:ascii="Garamond" w:hAnsi="Garamond"/>
                <w:i/>
                <w:i/>
                <w:sz w:val="20"/>
                <w:szCs w:val="20"/>
              </w:rPr>
            </w:pPr>
            <w:r>
              <w:rPr>
                <w:rFonts w:ascii="Garamond" w:hAnsi="Garamond"/>
                <w:i/>
                <w:sz w:val="20"/>
                <w:szCs w:val="20"/>
              </w:rPr>
              <w:t>2. How can I get involved?</w:t>
            </w:r>
          </w:p>
          <w:p>
            <w:pPr>
              <w:pStyle w:val="Normal"/>
              <w:spacing w:before="0" w:after="120"/>
              <w:rPr>
                <w:rFonts w:ascii="Garamond" w:hAnsi="Garamond"/>
                <w:i/>
                <w:i/>
                <w:sz w:val="20"/>
                <w:szCs w:val="20"/>
              </w:rPr>
            </w:pPr>
            <w:r>
              <w:rPr>
                <w:rFonts w:ascii="Garamond" w:hAnsi="Garamond"/>
                <w:i/>
                <w:sz w:val="20"/>
                <w:szCs w:val="20"/>
              </w:rPr>
              <w:t>Please send ideas or offers of help to the project’s mailing list.</w:t>
            </w:r>
          </w:p>
          <w:p>
            <w:pPr>
              <w:pStyle w:val="Normal"/>
              <w:spacing w:before="0" w:after="120"/>
              <w:rPr>
                <w:rFonts w:ascii="Garamond" w:hAnsi="Garamond"/>
                <w:i/>
                <w:i/>
                <w:sz w:val="20"/>
                <w:szCs w:val="20"/>
              </w:rPr>
            </w:pPr>
            <w:r>
              <w:rPr>
                <w:rFonts w:ascii="Garamond" w:hAnsi="Garamond"/>
                <w:i/>
                <w:sz w:val="20"/>
                <w:szCs w:val="20"/>
              </w:rPr>
              <w:t>3. How were the attackers’ names chosen?</w:t>
            </w:r>
          </w:p>
          <w:p>
            <w:pPr>
              <w:pStyle w:val="Normal"/>
              <w:spacing w:before="0" w:after="120"/>
              <w:rPr>
                <w:rFonts w:ascii="Garamond" w:hAnsi="Garamond"/>
                <w:i/>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pPr>
              <w:pStyle w:val="Normal"/>
              <w:spacing w:before="0" w:after="120"/>
              <w:rPr>
                <w:rFonts w:ascii="Garamond" w:hAnsi="Garamond"/>
                <w:i/>
                <w:i/>
                <w:sz w:val="20"/>
                <w:szCs w:val="20"/>
              </w:rPr>
            </w:pPr>
            <w:r>
              <w:rPr>
                <w:rFonts w:ascii="Garamond" w:hAnsi="Garamond"/>
                <w:i/>
                <w:sz w:val="20"/>
                <w:szCs w:val="20"/>
              </w:rPr>
              <w:t>4. Why aren’t there any images on the card faces?</w:t>
            </w:r>
          </w:p>
          <w:p>
            <w:pPr>
              <w:pStyle w:val="Normal"/>
              <w:spacing w:before="0" w:after="120"/>
              <w:rPr>
                <w:rFonts w:ascii="Garamond" w:hAnsi="Garamond"/>
                <w:i/>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pPr>
              <w:pStyle w:val="Normal"/>
              <w:spacing w:before="0" w:after="120"/>
              <w:rPr>
                <w:rFonts w:ascii="Garamond" w:hAnsi="Garamond"/>
                <w:i/>
                <w:i/>
                <w:sz w:val="20"/>
                <w:szCs w:val="20"/>
              </w:rPr>
            </w:pPr>
            <w:r>
              <w:rPr>
                <w:rFonts w:ascii="Garamond" w:hAnsi="Garamond"/>
                <w:i/>
                <w:sz w:val="20"/>
                <w:szCs w:val="20"/>
              </w:rPr>
              <w:t>5. Are the attacks ranked by the number on the card?</w:t>
            </w:r>
          </w:p>
          <w:p>
            <w:pPr>
              <w:pStyle w:val="Normal"/>
              <w:spacing w:before="0" w:after="120"/>
              <w:rPr>
                <w:rFonts w:ascii="Garamond" w:hAnsi="Garamond"/>
                <w:i/>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pPr>
              <w:pStyle w:val="Normal"/>
              <w:spacing w:before="0" w:after="120"/>
              <w:rPr>
                <w:rFonts w:ascii="Garamond" w:hAnsi="Garamond"/>
                <w:i/>
                <w:i/>
                <w:sz w:val="20"/>
                <w:szCs w:val="20"/>
              </w:rPr>
            </w:pPr>
            <w:r>
              <w:rPr>
                <w:rFonts w:ascii="Garamond" w:hAnsi="Garamond"/>
                <w:i/>
                <w:sz w:val="20"/>
                <w:szCs w:val="20"/>
              </w:rPr>
              <w:t>6. How long does it take to play a round of cards using the full deck?</w:t>
            </w:r>
          </w:p>
          <w:p>
            <w:pPr>
              <w:pStyle w:val="Normal"/>
              <w:spacing w:before="0" w:after="120"/>
              <w:rPr>
                <w:rFonts w:ascii="Garamond" w:hAnsi="Garamond"/>
                <w:i/>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pPr>
              <w:pStyle w:val="Normal"/>
              <w:spacing w:before="0" w:after="120"/>
              <w:rPr>
                <w:rFonts w:ascii="Garamond" w:hAnsi="Garamond"/>
                <w:i/>
                <w:i/>
                <w:sz w:val="20"/>
                <w:szCs w:val="20"/>
              </w:rPr>
            </w:pPr>
            <w:r>
              <w:rPr>
                <w:rFonts w:ascii="Garamond" w:hAnsi="Garamond"/>
                <w:i/>
                <w:sz w:val="20"/>
                <w:szCs w:val="20"/>
              </w:rPr>
              <w:t>7. What sort of people should play the game?</w:t>
            </w:r>
          </w:p>
          <w:p>
            <w:pPr>
              <w:pStyle w:val="Normal"/>
              <w:spacing w:before="0" w:after="120"/>
              <w:rPr>
                <w:rFonts w:ascii="Garamond" w:hAnsi="Garamond"/>
                <w:i/>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p>
            <w:pPr>
              <w:pStyle w:val="Normal"/>
              <w:spacing w:before="0" w:after="120"/>
              <w:rPr>
                <w:rFonts w:ascii="Garamond" w:hAnsi="Garamond"/>
                <w:i/>
                <w:i/>
                <w:sz w:val="20"/>
                <w:szCs w:val="20"/>
              </w:rPr>
            </w:pPr>
            <w:r>
              <w:rPr>
                <w:rFonts w:ascii="Garamond" w:hAnsi="Garamond"/>
                <w:i/>
                <w:sz w:val="20"/>
                <w:szCs w:val="20"/>
              </w:rPr>
              <w:t>8. Who should take notes and record scores?</w:t>
            </w:r>
          </w:p>
          <w:p>
            <w:pPr>
              <w:pStyle w:val="Normal"/>
              <w:spacing w:before="0" w:after="120"/>
              <w:rPr>
                <w:rFonts w:ascii="Garamond" w:hAnsi="Garamond"/>
                <w:i/>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sz w:val="20"/>
                <w:szCs w:val="20"/>
              </w:rPr>
            </w:pPr>
            <w:r>
              <w:rPr>
                <w:rFonts w:ascii="Garamond" w:hAnsi="Garamond"/>
                <w:sz w:val="20"/>
                <w:szCs w:val="20"/>
              </w:rPr>
            </w:r>
          </w:p>
        </w:tc>
        <w:tc>
          <w:tcPr>
            <w:tcW w:w="244" w:type="dxa"/>
            <w:gridSpan w:val="2"/>
            <w:tcBorders>
              <w:top w:val="nil"/>
              <w:left w:val="nil"/>
              <w:bottom w:val="nil"/>
              <w:right w:val="nil"/>
            </w:tcBorders>
          </w:tcPr>
          <w:p>
            <w:pPr>
              <w:pStyle w:val="Normal"/>
              <w:spacing w:before="0" w:after="120"/>
              <w:rPr>
                <w:rFonts w:ascii="Garamond" w:hAnsi="Garamond"/>
                <w:sz w:val="20"/>
                <w:szCs w:val="20"/>
              </w:rPr>
            </w:pPr>
            <w:r>
              <w:rPr>
                <w:rFonts w:ascii="Garamond" w:hAnsi="Garamond"/>
                <w:sz w:val="20"/>
                <w:szCs w:val="20"/>
              </w:rPr>
            </w:r>
          </w:p>
        </w:tc>
        <w:tc>
          <w:tcPr>
            <w:tcW w:w="7581" w:type="dxa"/>
            <w:gridSpan w:val="5"/>
            <w:tcBorders>
              <w:top w:val="nil"/>
              <w:left w:val="nil"/>
              <w:bottom w:val="nil"/>
              <w:right w:val="nil"/>
            </w:tcBorders>
          </w:tcPr>
          <w:p>
            <w:pPr>
              <w:pStyle w:val="CHeadTop"/>
              <w:rPr/>
            </w:pPr>
            <w:r>
              <w:rPr/>
              <w:t>A - Preparations</w:t>
            </w:r>
          </w:p>
          <w:p>
            <w:pPr>
              <w:pStyle w:val="CHeadTop"/>
              <w:ind w:left="720" w:hanging="0"/>
              <w:rPr>
                <w:b w:val="false"/>
                <w:b w:val="false"/>
                <w:bCs/>
                <w:sz w:val="20"/>
                <w:szCs w:val="20"/>
              </w:rPr>
            </w:pPr>
            <w:r>
              <w:rPr>
                <w:b w:val="false"/>
                <w:bCs/>
                <w:sz w:val="20"/>
                <w:szCs w:val="20"/>
              </w:rPr>
              <w:t xml:space="preserve">A1. Obtain a deck, or print your own deck of Cornucopia cards (see page 2 of this document) and separate/cut out the cards                                                                   A2. Identify an application or application process to review; this might be a concept, design or an actual implementation </w:t>
              <w:br/>
              <w:t xml:space="preserve">A3. Create a data flow diagram, user stories, or other artefacts to help the review                                                                     A4. Identify and invite a group of 3-6 architects, developers, testers and other business stakeholders together and sit around a table (try to include someone fairly familiar with application security)                                                                                                      A5. Have some prizes to hand (gold stars, chocolate, pizza, beer or flowers depending upon your office culture)                                                                                                                                                                                                            </w:t>
            </w:r>
          </w:p>
          <w:p>
            <w:pPr>
              <w:pStyle w:val="CHeadMiddle"/>
              <w:rPr/>
            </w:pPr>
            <w:r>
              <w:rPr/>
              <w:t>B - Play</w:t>
            </w:r>
          </w:p>
          <w:p>
            <w:pPr>
              <w:pStyle w:val="Normal"/>
              <w:spacing w:before="0" w:after="120"/>
              <w:rPr>
                <w:rFonts w:ascii="Garamond" w:hAnsi="Garamond"/>
                <w:sz w:val="20"/>
                <w:szCs w:val="20"/>
              </w:rPr>
            </w:pPr>
            <w:r>
              <w:rPr>
                <w:rFonts w:ascii="Garamond" w:hAnsi="Garamond"/>
                <w:sz w:val="20"/>
                <w:szCs w:val="20"/>
              </w:rPr>
              <w:t>One suit - Cornucopia - acts as trumps. Aces are high (i.e. they beat Kings). It helps if there is a non-player to document the issues and scores.</w:t>
            </w:r>
          </w:p>
          <w:p>
            <w:pPr>
              <w:pStyle w:val="Normal"/>
              <w:spacing w:before="0" w:after="120"/>
              <w:ind w:left="720" w:hanging="0"/>
              <w:rPr>
                <w:rFonts w:ascii="Garamond" w:hAnsi="Garamond"/>
                <w:sz w:val="20"/>
                <w:szCs w:val="20"/>
              </w:rPr>
            </w:pPr>
            <w:r>
              <w:rPr>
                <w:rFonts w:ascii="Garamond" w:hAnsi="Garamond"/>
                <w:sz w:val="20"/>
                <w:szCs w:val="20"/>
              </w:rPr>
              <w:t xml:space="preserve">B1. Remove the Jokers and a few low-score (2, 3, 4) cards from Cornucopia suit to ensure each player will have the same number of cards                                                                      B2. Shuffle the deck and deal all the cards                                                                  B3. To begin, choose a player randomly who will play the first card - they can play any card from their hand except from the trump suit - Cornucopia                                                                       B4. To play a card, each player must read it out aloud, and explain (see the online Wiki Deck for tips) how the threat could apply (the player gets a point for attacks that might work which the group thinks is an actionable bug) - do not try to think of mitigations at this stage, and do not exclude a threat just because of a belief that it is already mitigated - someone note the card and record the issues raised                                                                     B5. Play clockwise, each person must play a card in the same way; if you have any card of the matching lead suit you must play one of those, otherwise they can play a card from any other suit.  Only a higher card of the same suit, or the highest card in the trump suit Cornucopia, wins the hand.          </w:t>
              <w:br/>
              <w:t xml:space="preserve">B6. The person who wins the round, leads the next round (i.e. they play first), and thus defines the next lead suit                                                                                                      B7. Repeat until all the cards are played                </w:t>
            </w:r>
          </w:p>
          <w:p>
            <w:pPr>
              <w:pStyle w:val="CHeadMiddle"/>
              <w:rPr/>
            </w:pPr>
            <w:r>
              <w:rPr/>
              <w:t>C - Scoring</w:t>
            </w:r>
          </w:p>
          <w:p>
            <w:pPr>
              <w:pStyle w:val="Normal"/>
              <w:spacing w:before="0" w:after="120"/>
              <w:rPr>
                <w:rFonts w:ascii="Garamond" w:hAnsi="Garamond"/>
                <w:sz w:val="20"/>
                <w:szCs w:val="20"/>
              </w:rPr>
            </w:pPr>
            <w:r>
              <w:rPr>
                <w:rFonts w:ascii="Garamond" w:hAnsi="Garamond"/>
                <w:sz w:val="20"/>
                <w:szCs w:val="20"/>
              </w:rPr>
              <w:t>The objective is to identify applicable threats, and win hands (rounds):</w:t>
            </w:r>
          </w:p>
          <w:p>
            <w:pPr>
              <w:pStyle w:val="Normal"/>
              <w:spacing w:before="0" w:after="120"/>
              <w:ind w:left="720" w:hanging="0"/>
              <w:rPr>
                <w:rFonts w:ascii="Garamond" w:hAnsi="Garamond"/>
                <w:sz w:val="20"/>
                <w:szCs w:val="20"/>
              </w:rPr>
            </w:pPr>
            <w:r>
              <w:rPr>
                <w:rFonts w:ascii="Garamond" w:hAnsi="Garamond"/>
                <w:sz w:val="20"/>
                <w:szCs w:val="20"/>
              </w:rPr>
              <w:t xml:space="preserve">C1. Score +1 for each card you can identify as a valid threat to the application under consideration   </w:t>
              <w:br/>
              <w:t xml:space="preserve">C2. Score +1 if you win a round                                                                                                      C3. Once all cards have been played, whoever has the most points wins                                                          </w:t>
            </w:r>
          </w:p>
          <w:p>
            <w:pPr>
              <w:pStyle w:val="CHeadMiddle"/>
              <w:rPr/>
            </w:pPr>
            <w:r>
              <w:rPr/>
              <w:t>D - Closure</w:t>
            </w:r>
          </w:p>
          <w:p>
            <w:pPr>
              <w:pStyle w:val="Normal"/>
              <w:spacing w:before="0" w:after="120"/>
              <w:ind w:left="720" w:hanging="0"/>
              <w:rPr>
                <w:rFonts w:ascii="Garamond" w:hAnsi="Garamond"/>
                <w:sz w:val="20"/>
                <w:szCs w:val="20"/>
              </w:rPr>
            </w:pPr>
            <w:r>
              <w:rPr>
                <w:rFonts w:ascii="Garamond" w:hAnsi="Garamond"/>
                <w:sz w:val="20"/>
                <w:szCs w:val="20"/>
              </w:rPr>
              <w:t>D1. Review all the applicable threats and the matching security requirements                                                                      D2. Create user stories, specifications and test cases as required for your development methodology.</w:t>
            </w:r>
          </w:p>
          <w:p>
            <w:pPr>
              <w:pStyle w:val="CHeadTop"/>
              <w:rPr/>
            </w:pPr>
            <w:r>
              <w:rPr/>
            </w:r>
          </w:p>
          <w:p>
            <w:pPr>
              <w:pStyle w:val="CHeadTop"/>
              <w:rPr/>
            </w:pPr>
            <w:r>
              <w:rPr/>
              <w:t>Internal coding standards and libraries</w:t>
            </w:r>
          </w:p>
          <w:p>
            <w:pPr>
              <w:pStyle w:val="Normal"/>
              <w:spacing w:before="0"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Data validation and encoding</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Authentication</w:t>
                  </w:r>
                </w:p>
                <w:p>
                  <w:pPr>
                    <w:pStyle w:val="Normal"/>
                    <w:rPr>
                      <w:rFonts w:ascii="Garamond" w:hAnsi="Garamond"/>
                      <w:i/>
                      <w:i/>
                      <w:sz w:val="20"/>
                      <w:szCs w:val="20"/>
                    </w:rPr>
                  </w:pPr>
                  <w:r>
                    <w:rPr>
                      <w:rFonts w:ascii="Garamond" w:hAnsi="Garamond"/>
                      <w:i/>
                      <w:sz w:val="20"/>
                      <w:szCs w:val="20"/>
                    </w:rPr>
                    <w:t>[your list]</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Session management</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Authorization</w:t>
                  </w:r>
                </w:p>
                <w:p>
                  <w:pPr>
                    <w:pStyle w:val="Normal"/>
                    <w:rPr>
                      <w:rFonts w:ascii="Garamond" w:hAnsi="Garamond"/>
                      <w:i/>
                      <w:i/>
                      <w:sz w:val="20"/>
                      <w:szCs w:val="20"/>
                    </w:rPr>
                  </w:pPr>
                  <w:r>
                    <w:rPr>
                      <w:rFonts w:ascii="Garamond" w:hAnsi="Garamond"/>
                      <w:i/>
                      <w:sz w:val="20"/>
                      <w:szCs w:val="20"/>
                    </w:rPr>
                    <w:t>[your list]</w:t>
                  </w:r>
                </w:p>
              </w:tc>
              <w:tc>
                <w:tcPr>
                  <w:tcW w:w="2167" w:type="dxa"/>
                  <w:tcBorders>
                    <w:left w:val="nil"/>
                  </w:tcBorders>
                </w:tcPr>
                <w:p>
                  <w:pPr>
                    <w:pStyle w:val="Normal"/>
                    <w:rPr>
                      <w:rFonts w:ascii="Garamond" w:hAnsi="Garamond"/>
                      <w:sz w:val="20"/>
                      <w:szCs w:val="20"/>
                    </w:rPr>
                  </w:pPr>
                  <w:r>
                    <w:rPr>
                      <w:rFonts w:ascii="Garamond" w:hAnsi="Garamond"/>
                      <w:sz w:val="20"/>
                      <w:szCs w:val="20"/>
                    </w:rPr>
                    <w:t>Cryptography</w:t>
                  </w:r>
                </w:p>
                <w:p>
                  <w:pPr>
                    <w:pStyle w:val="Normal"/>
                    <w:rPr>
                      <w:rFonts w:ascii="Garamond" w:hAnsi="Garamond"/>
                      <w:i/>
                      <w:i/>
                      <w:sz w:val="20"/>
                      <w:szCs w:val="20"/>
                    </w:rPr>
                  </w:pPr>
                  <w:r>
                    <w:rPr>
                      <w:rFonts w:ascii="Garamond" w:hAnsi="Garamond"/>
                      <w:i/>
                      <w:sz w:val="20"/>
                      <w:szCs w:val="20"/>
                    </w:rPr>
                    <w:t>[your list]</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[your list]</w:t>
                  </w:r>
                </w:p>
              </w:tc>
            </w:tr>
          </w:tbl>
          <w:p>
            <w:pPr>
              <w:pStyle w:val="CHeadMiddle"/>
              <w:rPr/>
            </w:pPr>
            <w:r>
              <w:rPr/>
              <w:t>Compliance requirement decks</w:t>
            </w:r>
          </w:p>
          <w:p>
            <w:pPr>
              <w:pStyle w:val="Normal"/>
              <w:spacing w:before="0"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jc w:val="left"/>
              <w:tblInd w:w="0" w:type="dxa"/>
              <w:tblCellMar>
                <w:top w:w="0" w:type="dxa"/>
                <w:left w:w="57" w:type="dxa"/>
                <w:bottom w:w="0" w:type="dxa"/>
                <w:right w:w="57" w:type="dxa"/>
              </w:tblCellMar>
              <w:tblLook w:val="04a0" w:noHBand="0" w:noVBand="1" w:firstColumn="1" w:lastRow="0" w:lastColumn="0" w:firstRow="1"/>
            </w:tblPr>
            <w:tblGrid>
              <w:gridCol w:w="2845"/>
              <w:gridCol w:w="2355"/>
              <w:gridCol w:w="2167"/>
            </w:tblGrid>
            <w:tr>
              <w:trPr/>
              <w:tc>
                <w:tcPr>
                  <w:tcW w:w="7367" w:type="dxa"/>
                  <w:gridSpan w:val="3"/>
                  <w:tcBorders/>
                  <w:shd w:color="auto" w:fill="17365D" w:themeFill="text2" w:themeFillShade="bf" w:val="clear"/>
                </w:tcPr>
                <w:p>
                  <w:pPr>
                    <w:pStyle w:val="Normal"/>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trPr/>
              <w:tc>
                <w:tcPr>
                  <w:tcW w:w="2845" w:type="dxa"/>
                  <w:tcBorders>
                    <w:right w:val="nil"/>
                  </w:tcBorders>
                </w:tcPr>
                <w:p>
                  <w:pPr>
                    <w:pStyle w:val="Normal"/>
                    <w:rPr>
                      <w:rFonts w:ascii="Garamond" w:hAnsi="Garamond"/>
                      <w:sz w:val="20"/>
                      <w:szCs w:val="20"/>
                    </w:rPr>
                  </w:pPr>
                  <w:r>
                    <w:rPr>
                      <w:rFonts w:ascii="Garamond" w:hAnsi="Garamond"/>
                      <w:sz w:val="20"/>
                      <w:szCs w:val="20"/>
                    </w:rPr>
                    <w:t>Data validation and encoding</w:t>
                  </w:r>
                </w:p>
                <w:p>
                  <w:pPr>
                    <w:pStyle w:val="Normal"/>
                    <w:rPr>
                      <w:rFonts w:ascii="Garamond" w:hAnsi="Garamond"/>
                      <w:i/>
                      <w:i/>
                      <w:sz w:val="20"/>
                      <w:szCs w:val="20"/>
                    </w:rPr>
                  </w:pPr>
                  <w:r>
                    <w:rPr>
                      <w:rFonts w:ascii="Garamond" w:hAnsi="Garamond"/>
                      <w:i/>
                      <w:sz w:val="20"/>
                      <w:szCs w:val="20"/>
                    </w:rPr>
                    <w:t>[compliance list]</w:t>
                  </w:r>
                </w:p>
                <w:p>
                  <w:pPr>
                    <w:pStyle w:val="Normal"/>
                    <w:rPr>
                      <w:rFonts w:ascii="Garamond" w:hAnsi="Garamond"/>
                      <w:sz w:val="20"/>
                      <w:szCs w:val="20"/>
                    </w:rPr>
                  </w:pPr>
                  <w:r>
                    <w:rPr>
                      <w:rFonts w:ascii="Garamond" w:hAnsi="Garamond"/>
                      <w:sz w:val="20"/>
                      <w:szCs w:val="20"/>
                    </w:rPr>
                    <w:t>Authentication</w:t>
                  </w:r>
                </w:p>
                <w:p>
                  <w:pPr>
                    <w:pStyle w:val="Normal"/>
                    <w:rPr>
                      <w:rFonts w:ascii="Garamond" w:hAnsi="Garamond"/>
                      <w:i/>
                      <w:i/>
                      <w:sz w:val="20"/>
                      <w:szCs w:val="20"/>
                    </w:rPr>
                  </w:pPr>
                  <w:r>
                    <w:rPr>
                      <w:rFonts w:ascii="Garamond" w:hAnsi="Garamond"/>
                      <w:i/>
                      <w:sz w:val="20"/>
                      <w:szCs w:val="20"/>
                    </w:rPr>
                    <w:t>[compliance list]</w:t>
                  </w:r>
                </w:p>
              </w:tc>
              <w:tc>
                <w:tcPr>
                  <w:tcW w:w="2355" w:type="dxa"/>
                  <w:tcBorders>
                    <w:left w:val="nil"/>
                    <w:right w:val="nil"/>
                  </w:tcBorders>
                </w:tcPr>
                <w:p>
                  <w:pPr>
                    <w:pStyle w:val="Normal"/>
                    <w:rPr>
                      <w:rFonts w:ascii="Garamond" w:hAnsi="Garamond"/>
                      <w:sz w:val="20"/>
                      <w:szCs w:val="20"/>
                    </w:rPr>
                  </w:pPr>
                  <w:r>
                    <w:rPr>
                      <w:rFonts w:ascii="Garamond" w:hAnsi="Garamond"/>
                      <w:sz w:val="20"/>
                      <w:szCs w:val="20"/>
                    </w:rPr>
                    <w:t>Session management</w:t>
                  </w:r>
                </w:p>
                <w:p>
                  <w:pPr>
                    <w:pStyle w:val="Normal"/>
                    <w:rPr>
                      <w:rFonts w:ascii="Garamond" w:hAnsi="Garamond"/>
                      <w:i/>
                      <w:i/>
                      <w:sz w:val="20"/>
                      <w:szCs w:val="20"/>
                    </w:rPr>
                  </w:pPr>
                  <w:r>
                    <w:rPr>
                      <w:rFonts w:ascii="Garamond" w:hAnsi="Garamond"/>
                      <w:i/>
                      <w:sz w:val="20"/>
                      <w:szCs w:val="20"/>
                    </w:rPr>
                    <w:t>[compliance list]</w:t>
                  </w:r>
                </w:p>
                <w:p>
                  <w:pPr>
                    <w:pStyle w:val="Normal"/>
                    <w:rPr>
                      <w:rFonts w:ascii="Garamond" w:hAnsi="Garamond"/>
                      <w:sz w:val="20"/>
                      <w:szCs w:val="20"/>
                    </w:rPr>
                  </w:pPr>
                  <w:r>
                    <w:rPr>
                      <w:rFonts w:ascii="Garamond" w:hAnsi="Garamond"/>
                      <w:sz w:val="20"/>
                      <w:szCs w:val="20"/>
                    </w:rPr>
                    <w:t>Authorization</w:t>
                  </w:r>
                </w:p>
                <w:p>
                  <w:pPr>
                    <w:pStyle w:val="Normal"/>
                    <w:rPr>
                      <w:rFonts w:ascii="Garamond" w:hAnsi="Garamond"/>
                      <w:i/>
                      <w:i/>
                      <w:sz w:val="20"/>
                      <w:szCs w:val="20"/>
                    </w:rPr>
                  </w:pPr>
                  <w:r>
                    <w:rPr>
                      <w:rFonts w:ascii="Garamond" w:hAnsi="Garamond"/>
                      <w:i/>
                      <w:sz w:val="20"/>
                      <w:szCs w:val="20"/>
                    </w:rPr>
                    <w:t>[compliance list]</w:t>
                  </w:r>
                </w:p>
              </w:tc>
              <w:tc>
                <w:tcPr>
                  <w:tcW w:w="2167" w:type="dxa"/>
                  <w:tcBorders>
                    <w:left w:val="nil"/>
                  </w:tcBorders>
                </w:tcPr>
                <w:p>
                  <w:pPr>
                    <w:pStyle w:val="Normal"/>
                    <w:rPr>
                      <w:rFonts w:ascii="Garamond" w:hAnsi="Garamond"/>
                      <w:sz w:val="20"/>
                      <w:szCs w:val="20"/>
                    </w:rPr>
                  </w:pPr>
                  <w:r>
                    <w:rPr>
                      <w:rFonts w:ascii="Garamond" w:hAnsi="Garamond"/>
                      <w:sz w:val="20"/>
                      <w:szCs w:val="20"/>
                    </w:rPr>
                    <w:t>Cryptography</w:t>
                  </w:r>
                </w:p>
                <w:p>
                  <w:pPr>
                    <w:pStyle w:val="Normal"/>
                    <w:rPr>
                      <w:rFonts w:ascii="Garamond" w:hAnsi="Garamond"/>
                      <w:i/>
                      <w:i/>
                      <w:sz w:val="20"/>
                      <w:szCs w:val="20"/>
                    </w:rPr>
                  </w:pPr>
                  <w:r>
                    <w:rPr>
                      <w:rFonts w:ascii="Garamond" w:hAnsi="Garamond"/>
                      <w:i/>
                      <w:sz w:val="20"/>
                      <w:szCs w:val="20"/>
                    </w:rPr>
                    <w:t>[compliance list]</w:t>
                  </w:r>
                </w:p>
                <w:p>
                  <w:pPr>
                    <w:pStyle w:val="Normal"/>
                    <w:rPr>
                      <w:rFonts w:ascii="Garamond" w:hAnsi="Garamond"/>
                      <w:sz w:val="20"/>
                      <w:szCs w:val="20"/>
                    </w:rPr>
                  </w:pPr>
                  <w:r>
                    <w:rPr>
                      <w:rFonts w:ascii="Garamond" w:hAnsi="Garamond"/>
                      <w:sz w:val="20"/>
                      <w:szCs w:val="20"/>
                    </w:rPr>
                    <w:t>Cornucopia</w:t>
                  </w:r>
                </w:p>
                <w:p>
                  <w:pPr>
                    <w:pStyle w:val="Normal"/>
                    <w:rPr>
                      <w:rFonts w:ascii="Garamond" w:hAnsi="Garamond"/>
                      <w:i/>
                      <w:i/>
                      <w:sz w:val="20"/>
                      <w:szCs w:val="20"/>
                    </w:rPr>
                  </w:pPr>
                  <w:r>
                    <w:rPr>
                      <w:rFonts w:ascii="Garamond" w:hAnsi="Garamond"/>
                      <w:i/>
                      <w:sz w:val="20"/>
                      <w:szCs w:val="20"/>
                    </w:rPr>
                    <w:t>[compliance list]</w:t>
                  </w:r>
                </w:p>
              </w:tc>
            </w:tr>
          </w:tbl>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r>
          </w:p>
          <w:p>
            <w:pPr>
              <w:pStyle w:val="Normal"/>
              <w:spacing w:before="0" w:after="120"/>
              <w:rPr>
                <w:rFonts w:ascii="Garamond" w:hAnsi="Garamond"/>
                <w:i/>
                <w:i/>
                <w:sz w:val="20"/>
                <w:szCs w:val="20"/>
              </w:rPr>
            </w:pPr>
            <w:r>
              <w:rPr>
                <w:rFonts w:ascii="Garamond" w:hAnsi="Garamond"/>
                <w:i/>
                <w:sz w:val="20"/>
                <w:szCs w:val="20"/>
              </w:rPr>
              <w:t>9. Should we always use the full deck of cards?</w:t>
            </w:r>
          </w:p>
          <w:p>
            <w:pPr>
              <w:pStyle w:val="Normal"/>
              <w:spacing w:before="0" w:after="120"/>
              <w:rPr>
                <w:rFonts w:ascii="Garamond" w:hAnsi="Garamond"/>
                <w:i/>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pPr>
              <w:pStyle w:val="Normal"/>
              <w:spacing w:before="0" w:after="120"/>
              <w:rPr>
                <w:rFonts w:ascii="Garamond" w:hAnsi="Garamond"/>
                <w:i/>
                <w:i/>
                <w:sz w:val="20"/>
                <w:szCs w:val="20"/>
              </w:rPr>
            </w:pPr>
            <w:r>
              <w:rPr>
                <w:rFonts w:ascii="Garamond" w:hAnsi="Garamond"/>
                <w:i/>
                <w:sz w:val="20"/>
                <w:szCs w:val="20"/>
              </w:rPr>
              <w:t>10. What should players do when they have an Ace card that says “invented a new X attack”?</w:t>
            </w:r>
          </w:p>
          <w:p>
            <w:pPr>
              <w:pStyle w:val="Normal"/>
              <w:spacing w:before="0" w:after="120"/>
              <w:rPr>
                <w:rFonts w:ascii="Garamond" w:hAnsi="Garamond"/>
                <w:i/>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pPr>
              <w:pStyle w:val="Normal"/>
              <w:spacing w:before="0" w:after="120"/>
              <w:rPr>
                <w:rFonts w:ascii="Garamond" w:hAnsi="Garamond"/>
                <w:i/>
                <w:i/>
                <w:sz w:val="20"/>
                <w:szCs w:val="20"/>
              </w:rPr>
            </w:pPr>
            <w:r>
              <w:rPr>
                <w:rFonts w:ascii="Garamond" w:hAnsi="Garamond"/>
                <w:i/>
                <w:sz w:val="20"/>
                <w:szCs w:val="20"/>
              </w:rPr>
              <w:t>11. I don’t understand what the attack means on each card - is there more detailed information?</w:t>
            </w:r>
          </w:p>
          <w:p>
            <w:pPr>
              <w:pStyle w:val="Normal"/>
              <w:spacing w:before="0" w:after="120"/>
              <w:rPr>
                <w:rFonts w:ascii="Garamond" w:hAnsi="Garamond"/>
                <w:i/>
                <w:i/>
                <w:sz w:val="20"/>
                <w:szCs w:val="20"/>
              </w:rPr>
            </w:pPr>
            <w:r>
              <w:rPr>
                <w:rFonts w:ascii="Garamond" w:hAnsi="Garamond"/>
                <w:i/>
                <w:sz w:val="20"/>
                <w:szCs w:val="20"/>
              </w:rPr>
              <w:t>Yes, the online Wiki Deck at was created to help players understand the attacks.  See</w:t>
            </w:r>
          </w:p>
          <w:p>
            <w:pPr>
              <w:pStyle w:val="Normal"/>
              <w:spacing w:before="0" w:after="120"/>
              <w:rPr>
                <w:rFonts w:ascii="Garamond" w:hAnsi="Garamond"/>
                <w:spacing w:val="-7"/>
                <w:sz w:val="20"/>
                <w:szCs w:val="20"/>
              </w:rPr>
            </w:pPr>
            <w:hyperlink r:id="rId14">
              <w:r>
                <w:rPr>
                  <w:rStyle w:val="InternetLink"/>
                  <w:rFonts w:ascii="Garamond" w:hAnsi="Garamond"/>
                  <w:spacing w:val="-7"/>
                  <w:sz w:val="20"/>
                  <w:szCs w:val="20"/>
                </w:rPr>
                <w:t>https://www.owasp.org/index.php/Cornucopia_-_Ecommerce_Website_Edition_-_Wiki_Deck</w:t>
              </w:r>
            </w:hyperlink>
          </w:p>
          <w:p>
            <w:pPr>
              <w:pStyle w:val="Normal"/>
              <w:spacing w:before="0" w:after="120"/>
              <w:rPr>
                <w:rFonts w:ascii="Garamond" w:hAnsi="Garamond"/>
                <w:i/>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pPr>
              <w:pStyle w:val="Normal"/>
              <w:spacing w:before="0" w:after="120"/>
              <w:rPr>
                <w:rFonts w:ascii="Garamond" w:hAnsi="Garamond"/>
                <w:sz w:val="20"/>
                <w:szCs w:val="20"/>
              </w:rPr>
            </w:pPr>
            <w:r>
              <w:fldChar w:fldCharType="begin"/>
            </w:r>
            <w:r>
              <w:rPr>
                <w:rStyle w:val="InternetLink"/>
                <w:sz w:val="20"/>
                <w:spacing w:val="-4"/>
                <w:szCs w:val="20"/>
                <w:rFonts w:ascii="Garamond" w:hAnsi="Garamond"/>
              </w:rPr>
              <w:instrText> HYPERLINK "https://www.owasp.org/index.php/OWASP_Cornucopia" \l "tab=FAQs"</w:instrText>
            </w:r>
            <w:r>
              <w:rPr>
                <w:rStyle w:val="InternetLink"/>
                <w:sz w:val="20"/>
                <w:spacing w:val="-4"/>
                <w:szCs w:val="20"/>
                <w:rFonts w:ascii="Garamond" w:hAnsi="Garamond"/>
              </w:rPr>
              <w:fldChar w:fldCharType="separate"/>
            </w:r>
            <w:r>
              <w:rPr>
                <w:rStyle w:val="InternetLink"/>
                <w:rFonts w:ascii="Garamond" w:hAnsi="Garamond"/>
                <w:spacing w:val="-4"/>
                <w:sz w:val="20"/>
                <w:szCs w:val="20"/>
              </w:rPr>
              <w:t>https://www.owasp.org/index.php/OWASP_Cornucopia - tab=FAQs</w:t>
            </w:r>
            <w:r>
              <w:rPr>
                <w:rStyle w:val="InternetLink"/>
                <w:sz w:val="20"/>
                <w:spacing w:val="-4"/>
                <w:szCs w:val="20"/>
                <w:rFonts w:ascii="Garamond" w:hAnsi="Garamond"/>
              </w:rPr>
              <w:fldChar w:fldCharType="end"/>
            </w:r>
          </w:p>
          <w:p>
            <w:pPr>
              <w:pStyle w:val="Normal"/>
              <w:spacing w:before="0" w:after="120"/>
              <w:rPr>
                <w:rFonts w:ascii="Garamond" w:hAnsi="Garamond" w:eastAsia="ＭＳ ゴシック" w:cs="" w:cstheme="majorBidi" w:eastAsiaTheme="majorEastAsia"/>
                <w:b/>
                <w:b/>
                <w:bCs/>
                <w:i/>
                <w:i/>
                <w:iCs/>
                <w:color w:val="404040" w:themeColor="text1" w:themeTint="bf"/>
                <w:sz w:val="20"/>
                <w:szCs w:val="20"/>
              </w:rPr>
            </w:pPr>
            <w:r>
              <w:rPr>
                <w:rFonts w:eastAsia="ＭＳ ゴシック" w:cs="" w:cstheme="majorBidi" w:eastAsiaTheme="majorEastAsia" w:ascii="Garamond" w:hAnsi="Garamond"/>
                <w:b/>
                <w:bCs/>
                <w:i/>
                <w:iCs/>
                <w:color w:val="404040" w:themeColor="text1" w:themeTint="bf"/>
                <w:sz w:val="20"/>
                <w:szCs w:val="20"/>
              </w:rPr>
            </w:r>
          </w:p>
        </w:tc>
      </w:tr>
      <w:tr>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pPr>
              <w:pStyle w:val="Normal"/>
              <w:rPr>
                <w:rFonts w:ascii="Garamond" w:hAnsi="Garamond"/>
                <w:sz w:val="20"/>
                <w:szCs w:val="20"/>
              </w:rPr>
            </w:pPr>
            <w:r>
              <w:rPr>
                <w:rFonts w:ascii="Garamond" w:hAnsi="Garamond"/>
                <w:sz w:val="20"/>
                <w:szCs w:val="20"/>
              </w:rPr>
            </w:r>
          </w:p>
        </w:tc>
        <w:tc>
          <w:tcPr>
            <w:tcW w:w="792" w:type="dxa"/>
            <w:tcBorders>
              <w:top w:val="single" w:sz="4" w:space="0" w:color="000000"/>
              <w:left w:val="single" w:sz="4" w:space="0" w:color="000000"/>
              <w:bottom w:val="single" w:sz="4" w:space="0" w:color="000000"/>
              <w:right w:val="single" w:sz="4" w:space="0" w:color="000000"/>
            </w:tcBorders>
            <w:shd w:color="auto" w:fill="929292" w:val="clear"/>
            <w:tcMar>
              <w:left w:w="0" w:type="dxa"/>
              <w:right w:w="0" w:type="dxa"/>
            </w:tcM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51"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1" w:type="dxa"/>
            <w:gridSpan w:val="2"/>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4" w:type="dxa"/>
            <w:gridSpan w:val="2"/>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80"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28" w:type="dxa"/>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7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12"/>
                <w:szCs w:val="12"/>
              </w:rPr>
            </w:pPr>
            <w:r>
              <w:rPr>
                <w:rFonts w:ascii="Garamond" w:hAnsi="Garamond"/>
                <w:sz w:val="12"/>
                <w:szCs w:val="12"/>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A</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BFBFBF" w:themeColor="background1" w:themeShade="bf"/>
                <w:sz w:val="48"/>
                <w:szCs w:val="48"/>
              </w:rPr>
            </w:pPr>
            <w:r>
              <w:rPr>
                <w:rFonts w:ascii="Garamond" w:hAnsi="Garamond"/>
                <w:b/>
                <w:color w:val="BFBFBF" w:themeColor="background1" w:themeShade="bf"/>
                <w:sz w:val="48"/>
                <w:szCs w:val="48"/>
              </w:rPr>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2</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3</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You have invented a new attack against Data Validation and Encoding</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color w:val="404040" w:themeColor="text1" w:themeTint="bf"/>
                <w:sz w:val="16"/>
                <w:szCs w:val="16"/>
              </w:rPr>
            </w:pPr>
            <w:r>
              <w:rPr>
                <w:rFonts w:ascii="Garamond" w:hAnsi="Garamond"/>
                <w:color w:val="404040" w:themeColor="text1" w:themeTint="bf"/>
                <w:sz w:val="16"/>
                <w:szCs w:val="16"/>
              </w:rPr>
              <w:t>(No Card)</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Brian can gather information about the underlying configurations, schemas, logic, code, software, services and infrastructure due to the content of error messages, or poor configuration, or the presence of default installation files or old, test, backup or copies of resources, or exposure of source code</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Robert can input malicious data because the allowed protocol format is not being checked, or duplicates are accepted, or the structure is not being verified, or the individual data elements are not being validated for format, type, range, length and a whitelist of allowed characters or formats</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041"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Read more about this topic in OWASP's free Cheat Sheets on Input Validation, XSS Prevention, DOM-based XSS Prevention, SQL Injection Prevention, and Query Parameterization</w:t>
            </w:r>
          </w:p>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1.10, 4.5, 8.1, 11.5, 19.1, 19.5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54, 541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5.1, 5.16, 5.17, 5.18, 5.19, 5.20, 11.1, 11.2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737"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1" w:type="dxa"/>
            <w:gridSpan w:val="2"/>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5</w:t>
            </w:r>
          </w:p>
        </w:tc>
        <w:tc>
          <w:tcPr>
            <w:tcW w:w="824" w:type="dxa"/>
            <w:gridSpan w:val="2"/>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80"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6</w:t>
            </w:r>
          </w:p>
        </w:tc>
        <w:tc>
          <w:tcPr>
            <w:tcW w:w="828"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79"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7</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268"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Dave can input malicious field names or data because it is not being checked within the context of the current user and process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Jee can bypass the centralized encoding routines since they are not being used everywhere, or the wrong encodings are being used</w:t>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Jason can bypass the centralized validation routines since they are not being used on all inputs</w:t>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Jan can craft special payloads to foil input validation because the character set is not specified/enforced, or the data is encoded multiple times, or the data is not fully converted into the same format the application uses (e.g. canonicalization) before being validated, or variables are not strongly typed</w:t>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r>
        <w:trPr>
          <w:trHeight w:val="2155" w:hRule="exact"/>
        </w:trPr>
        <w:tc>
          <w:tcPr>
            <w:tcW w:w="109"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2"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4.16, 5.16, 5.17, 15.1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1" w:type="dxa"/>
            <w:gridSpan w:val="2"/>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1.7, 5.15, 5.21, 5.22, 5.23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4" w:type="dxa"/>
            <w:gridSpan w:val="2"/>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80"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1.7, 5.6, 5.19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28"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79"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5.6, 11.8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91" w:type="dxa"/>
            <w:tcBorders>
              <w:top w:val="single" w:sz="4" w:space="0" w:color="000000"/>
              <w:left w:val="single" w:sz="4" w:space="0" w:color="000000"/>
              <w:bottom w:val="single" w:sz="4" w:space="0" w:color="000000"/>
              <w:right w:val="single" w:sz="4" w:space="0" w:color="000000"/>
            </w:tcBorders>
          </w:tcPr>
          <w:p>
            <w:pPr>
              <w:pStyle w:val="Normal"/>
              <w:rPr/>
            </w:pPr>
            <w:r>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29292"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FBFBF"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29292"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8</w:t>
            </w:r>
          </w:p>
        </w:tc>
        <w:tc>
          <w:tcPr>
            <w:tcW w:w="851"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9</w:t>
            </w:r>
          </w:p>
        </w:tc>
        <w:tc>
          <w:tcPr>
            <w:tcW w:w="850" w:type="dxa"/>
            <w:vMerge w:val="restart"/>
            <w:tcBorders>
              <w:top w:val="nil"/>
              <w:left w:val="nil"/>
              <w:bottom w:val="nil"/>
              <w:right w:val="nil"/>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4" w:type="dxa"/>
            <w:tcBorders>
              <w:top w:val="nil"/>
              <w:left w:val="nil"/>
              <w:bottom w:val="nil"/>
              <w:right w:val="nil"/>
            </w:tcBorders>
            <w:tcMar>
              <w:right w:w="284" w:type="dxa"/>
            </w:tcMar>
          </w:tcPr>
          <w:p>
            <w:pPr>
              <w:pStyle w:val="Normal"/>
              <w:jc w:val="right"/>
              <w:rPr>
                <w:rFonts w:ascii="Garamond" w:hAnsi="Garamond"/>
                <w:b/>
                <w:b/>
                <w:color w:val="929292"/>
                <w:sz w:val="48"/>
                <w:szCs w:val="48"/>
              </w:rPr>
            </w:pPr>
            <w:r>
              <w:rPr>
                <w:rFonts w:ascii="Garamond" w:hAnsi="Garamond"/>
                <w:b/>
                <w:color w:val="929292"/>
                <w:sz w:val="48"/>
                <w:szCs w:val="48"/>
              </w:rPr>
              <w:t>10</w:t>
            </w:r>
          </w:p>
        </w:tc>
        <w:tc>
          <w:tcPr>
            <w:tcW w:w="849" w:type="dxa"/>
            <w:vMerge w:val="restart"/>
            <w:tcBorders>
              <w:top w:val="nil"/>
              <w:left w:val="nil"/>
              <w:bottom w:val="nil"/>
              <w:right w:val="nil"/>
            </w:tcBorders>
            <w:shd w:color="auto" w:fill="929292" w:val="clear"/>
            <w:tcMar>
              <w:right w:w="113" w:type="dxa"/>
            </w:tcMar>
            <w:textDirection w:val="tbRl"/>
          </w:tcPr>
          <w:p>
            <w:pPr>
              <w:pStyle w:val="Normal"/>
              <w:ind w:left="113" w:right="113" w:hanging="0"/>
              <w:jc w:val="both"/>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1" w:type="dxa"/>
            <w:tcBorders>
              <w:top w:val="nil"/>
              <w:left w:val="nil"/>
              <w:bottom w:val="nil"/>
              <w:right w:val="nil"/>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Sarah can bypass the centralized sanitization routines since they are not being used comprehensively</w:t>
            </w:r>
          </w:p>
        </w:tc>
        <w:tc>
          <w:tcPr>
            <w:tcW w:w="851"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Shamun can bypass input validation or output validation checks because validation failures are not rejected and/or sanitized</w:t>
            </w:r>
          </w:p>
        </w:tc>
        <w:tc>
          <w:tcPr>
            <w:tcW w:w="850"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Darío can exploit the trust the application places in a source of data (e.g. user-definable data, manipulation of locally stored data, alteration to state data on a client device, lack of verification of identity during data validation such as Darío can pretend to be Colin)</w:t>
            </w:r>
          </w:p>
        </w:tc>
        <w:tc>
          <w:tcPr>
            <w:tcW w:w="849" w:type="dxa"/>
            <w:vMerge w:val="continue"/>
            <w:tcBorders>
              <w:top w:val="nil"/>
              <w:left w:val="nil"/>
              <w:bottom w:val="nil"/>
              <w:right w:val="nil"/>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Dennis has control over input validation, output validation or output encoding code or routines so they can be bypassed</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15, 169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1.7, 5.21, 5.23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IE2-3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5.19, 10.6, 16.2, 16.3, 16.4, 16.5, 16.8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29292"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1, 17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5.5, 5.18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RE3, RE4</w:t>
                  </w:r>
                </w:p>
              </w:tc>
            </w:tr>
            <w:tr>
              <w:trPr/>
              <w:tc>
                <w:tcPr>
                  <w:tcW w:w="2410" w:type="dxa"/>
                  <w:tcBorders>
                    <w:top w:val="nil"/>
                    <w:left w:val="nil"/>
                    <w:bottom w:val="single" w:sz="4" w:space="0" w:color="7F7F7F"/>
                    <w:right w:val="nil"/>
                  </w:tcBorders>
                  <w:shd w:color="auto" w:fill="BFBFBF" w:val="clear"/>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87, 207, 554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29292"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29292"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Data validation &amp; encoding</w:t>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Geoff can inject data into a client or device side interpreter because a parameterised interface is not being used, or has not been implemented correctly, or the data has not been encoded correctly for the context, or there is no restrictive policy on code or data includes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right w:w="284" w:type="dxa"/>
            </w:tcMar>
          </w:tcPr>
          <w:p>
            <w:pPr>
              <w:pStyle w:val="Normal"/>
              <w:rPr>
                <w:rFonts w:ascii="Garamond" w:hAnsi="Garamond"/>
                <w:sz w:val="20"/>
                <w:szCs w:val="20"/>
              </w:rPr>
            </w:pPr>
            <w:r>
              <w:rPr>
                <w:rFonts w:ascii="Garamond" w:hAnsi="Garamond"/>
                <w:sz w:val="16"/>
                <w:szCs w:val="16"/>
              </w:rPr>
              <w:t>Gabe can inject data into an server-side interpreter (e.g. SQL, OS commands, Xpath, Server JavaScript, SMTP) because a strongly typed parameterised interface is not being used or has not been implemented correctly</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15-16, 19-20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5.15, 5.22, 5.23, 5.24, 5.25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IE1, RP3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29292"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FBFBF"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5.10, 5.11, 5.12, 5.13, 5.14, 5.16, 5.21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CIE1, CIE2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23, 28, 76, 152, 160, 261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19-20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A</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2</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95B3D7" w:themeColor="accent1"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You have invented a new attack against Authentication</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 xml:space="preserve">James can undertake authentication functions without the real user ever being aware this has occurred (e.g. attempt to log in, log in with stolen credentials, reset the password)  </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Muhammad can obtain a user's password or other secrets such as security questions, by observation during entry, or from a local cache, or from memory, or in transit, or by reading it from some unprotected location, or because it is widely known, or because it never expires, or because the user cannot change her own password</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i/>
                <w:i/>
                <w:color w:val="7F7F7F" w:themeColor="text1" w:themeTint="80"/>
                <w:sz w:val="20"/>
                <w:szCs w:val="20"/>
              </w:rPr>
            </w:pPr>
            <w:r>
              <w:rPr>
                <w:rFonts w:ascii="Garamond" w:hAnsi="Garamond"/>
                <w:i/>
                <w:color w:val="7F7F7F" w:themeColor="text1" w:themeTint="80"/>
                <w:sz w:val="20"/>
                <w:szCs w:val="20"/>
              </w:rPr>
              <w:t>Read more about this topic in OWASP's free Authentication Cheat Sheet</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47, 52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2.12, 8.4, 8.10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2.2, 2.17, 2.24, 8.7, 9.1, 9.4, 9.5, 9.9, 9.11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Sebastien can easily identify user names or can enumerate them</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Javier can use default, test or easily guessable credentials to authenticate, or can use an old account or an account not necessary for the application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Sven can reuse a temporary password because the user does not have to change it on first use, or it has too long or no expiry, or it does not use an out-of-band delivery method (e.g. post, mobile app, SMS)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Cecilia can use brute force and dictionary attacks against one or many accounts without limit, or these attacks are simplified due to insufficient complexity, length, expiration and re-use requirements for passwords</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2.18, 2.28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383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595959" w:themeColor="text1" w:themeTint="a6"/>
                      <w:sz w:val="12"/>
                      <w:szCs w:val="12"/>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2.7, 2.20, 2.23, 2.25, 2.27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73ABCC"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B8CCE4"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73ABCC"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8</w:t>
            </w:r>
          </w:p>
        </w:tc>
        <w:tc>
          <w:tcPr>
            <w:tcW w:w="851"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9</w:t>
            </w:r>
          </w:p>
        </w:tc>
        <w:tc>
          <w:tcPr>
            <w:tcW w:w="850"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4" w:type="dxa"/>
            <w:tcBorders>
              <w:top w:val="nil"/>
              <w:left w:val="nil"/>
              <w:bottom w:val="nil"/>
              <w:right w:val="nil"/>
            </w:tcBorders>
            <w:tcMar>
              <w:right w:w="284" w:type="dxa"/>
            </w:tcMar>
          </w:tcPr>
          <w:p>
            <w:pPr>
              <w:pStyle w:val="Normal"/>
              <w:jc w:val="right"/>
              <w:rPr>
                <w:rFonts w:ascii="Garamond" w:hAnsi="Garamond"/>
                <w:b/>
                <w:b/>
                <w:color w:val="73ABCC"/>
                <w:sz w:val="48"/>
                <w:szCs w:val="48"/>
              </w:rPr>
            </w:pPr>
            <w:r>
              <w:rPr>
                <w:rFonts w:ascii="Garamond" w:hAnsi="Garamond"/>
                <w:b/>
                <w:color w:val="73ABCC"/>
                <w:sz w:val="48"/>
                <w:szCs w:val="48"/>
              </w:rPr>
              <w:t>10</w:t>
            </w:r>
          </w:p>
        </w:tc>
        <w:tc>
          <w:tcPr>
            <w:tcW w:w="849" w:type="dxa"/>
            <w:vMerge w:val="restart"/>
            <w:tcBorders>
              <w:top w:val="nil"/>
              <w:left w:val="nil"/>
              <w:bottom w:val="nil"/>
              <w:right w:val="nil"/>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1" w:type="dxa"/>
            <w:tcBorders>
              <w:top w:val="nil"/>
              <w:left w:val="nil"/>
              <w:bottom w:val="nil"/>
              <w:right w:val="nil"/>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Kate can bypass authentication because it does not fail secure (i.e. it defaults to allowing unauthenticated access)</w:t>
            </w:r>
          </w:p>
        </w:tc>
        <w:tc>
          <w:tcPr>
            <w:tcW w:w="851"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Claudia can undertake more critical functions because authentication requirements are too weak (e.g. do not use strong authentication such as two factor), or there is no requirement to re-authenticate for these</w:t>
            </w:r>
          </w:p>
        </w:tc>
        <w:tc>
          <w:tcPr>
            <w:tcW w:w="850"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Pravin can bypass authentication controls because a centralized standard, tested, proven and approved authentication module/framework/service, separate to the resource being requested, is not being used</w:t>
            </w:r>
          </w:p>
        </w:tc>
        <w:tc>
          <w:tcPr>
            <w:tcW w:w="849" w:type="dxa"/>
            <w:vMerge w:val="continue"/>
            <w:tcBorders>
              <w:top w:val="nil"/>
              <w:left w:val="nil"/>
              <w:bottom w:val="nil"/>
              <w:right w:val="nil"/>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Mark can access resources or services because there is no authentication requirement, or it was mistakenly assumed authentication would be undertaken by some other system or performed in some previous action</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73ABCC"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55-56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2.1, 2.9, 2.26, 2.31, 4.15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1.7, 2.30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73ABCC"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73ABCC"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73ABCC"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Authentication</w:t>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Jaime can bypass authentication because it is not enforced with equal rigor for all types of authentication functionality (e.g. register, password change, password recovery, log out, administration) or across all versions/channels (e.g. mobile website, mobile app, full website, API, call centre)</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right w:w="284" w:type="dxa"/>
            </w:tcMar>
          </w:tcPr>
          <w:p>
            <w:pPr>
              <w:pStyle w:val="Normal"/>
              <w:rPr>
                <w:rFonts w:ascii="Garamond" w:hAnsi="Garamond"/>
                <w:sz w:val="20"/>
                <w:szCs w:val="20"/>
              </w:rPr>
            </w:pPr>
            <w:r>
              <w:rPr>
                <w:rFonts w:ascii="Garamond" w:hAnsi="Garamond"/>
                <w:sz w:val="16"/>
                <w:szCs w:val="16"/>
              </w:rPr>
              <w:t>Olga can influence or alter authentication code/routines so they can be bypassed</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23, 29, 42, 49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36, 50, 115, 121, 179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73ABCC" w:val="clear"/>
          </w:tcPr>
          <w:p>
            <w:pPr>
              <w:pStyle w:val="Normal"/>
              <w:rPr>
                <w:rFonts w:ascii="Garamond" w:hAnsi="Garamond"/>
                <w:b/>
                <w:b/>
                <w:sz w:val="20"/>
                <w:szCs w:val="20"/>
              </w:rPr>
            </w:pPr>
            <w:r>
              <w:rPr>
                <w:rFonts w:ascii="Garamond" w:hAnsi="Garamond"/>
                <w:b/>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B8CCE4"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2.4, 13.2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115, 207, 554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b/>
                <w:b/>
                <w:sz w:val="20"/>
                <w:szCs w:val="20"/>
              </w:rPr>
            </w:pPr>
            <w:r>
              <w:rPr>
                <w:rFonts w:ascii="Garamond" w:hAnsi="Garamond"/>
                <w:b/>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sz w:val="20"/>
                <w:szCs w:val="20"/>
              </w:rPr>
            </w:pPr>
            <w:r>
              <w:rPr>
                <w:rFonts w:ascii="Garamond" w:hAnsi="Garamond"/>
                <w:b/>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A</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C2D69B" w:themeColor="accent3" w:themeTint="99"/>
                <w:sz w:val="48"/>
                <w:szCs w:val="48"/>
              </w:rPr>
            </w:pPr>
            <w:r>
              <w:rPr>
                <w:rFonts w:ascii="Garamond" w:hAnsi="Garamond"/>
                <w:b/>
                <w:color w:val="C2D69B" w:themeColor="accent3" w:themeTint="99"/>
                <w:sz w:val="48"/>
                <w:szCs w:val="48"/>
              </w:rPr>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2</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You have invented a new attack against Session Management</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William has control over the generation of session identifiers</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Ryan can use a single account in parallel since concurrent sessions are allowed</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this topic in OWASP's free Cheat Sheets on Session Management, and Cross Site Request Forgery (CSRF) Prevention</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58-59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3.10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Alison can set session identification cookies on another web application because the domain and path are not restricted sufficiently</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John can predict or guess session identifiers because they are not changed when the user's role alters (e.g. pre and post authentication) and when switching between non-encrypted and encrypted communications, or are not sufficiently long and random, or are not changed periodically</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Gary can take over a user's session because there is a long or no inactivity timeout, or a long or no overall session time limit, or the same session can be used from more than one device/location</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Casey can utilize Adam's session after he has finished, because there is no log out function, or he cannot easily log out, or log out does not properly terminate the session</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59, 61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3.2, 3.7, 3.11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64-65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3.3, 3.4, 3.16, 3.17, 3.18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62-63</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3.2, 3.5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98C477"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6E3BC"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98C477"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8</w:t>
            </w:r>
          </w:p>
        </w:tc>
        <w:tc>
          <w:tcPr>
            <w:tcW w:w="851"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9</w:t>
            </w:r>
          </w:p>
        </w:tc>
        <w:tc>
          <w:tcPr>
            <w:tcW w:w="850"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4" w:type="dxa"/>
            <w:tcBorders>
              <w:top w:val="nil"/>
              <w:left w:val="nil"/>
              <w:bottom w:val="nil"/>
              <w:right w:val="nil"/>
            </w:tcBorders>
            <w:tcMar>
              <w:right w:w="284" w:type="dxa"/>
            </w:tcMar>
          </w:tcPr>
          <w:p>
            <w:pPr>
              <w:pStyle w:val="Normal"/>
              <w:jc w:val="right"/>
              <w:rPr>
                <w:rFonts w:ascii="Garamond" w:hAnsi="Garamond"/>
                <w:b/>
                <w:b/>
                <w:color w:val="98C477"/>
                <w:sz w:val="48"/>
                <w:szCs w:val="48"/>
              </w:rPr>
            </w:pPr>
            <w:r>
              <w:rPr>
                <w:rFonts w:ascii="Garamond" w:hAnsi="Garamond"/>
                <w:b/>
                <w:color w:val="98C477"/>
                <w:sz w:val="48"/>
                <w:szCs w:val="48"/>
              </w:rPr>
              <w:t>10</w:t>
            </w:r>
          </w:p>
        </w:tc>
        <w:tc>
          <w:tcPr>
            <w:tcW w:w="849" w:type="dxa"/>
            <w:vMerge w:val="restart"/>
            <w:tcBorders>
              <w:top w:val="nil"/>
              <w:left w:val="nil"/>
              <w:bottom w:val="nil"/>
              <w:right w:val="nil"/>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1" w:type="dxa"/>
            <w:tcBorders>
              <w:top w:val="nil"/>
              <w:left w:val="nil"/>
              <w:bottom w:val="nil"/>
              <w:right w:val="nil"/>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Matt can abuse long sessions because the application does not require periodic re-authentication to check if privileges have changed</w:t>
            </w:r>
          </w:p>
        </w:tc>
        <w:tc>
          <w:tcPr>
            <w:tcW w:w="851"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Ivan can steal session identifiers because they are sent over insecure channels, or are logged, or are revealed in error messages, or are included in URLs, or are accessible un-necessarily by code which the attacker can influence or alter</w:t>
            </w:r>
          </w:p>
        </w:tc>
        <w:tc>
          <w:tcPr>
            <w:tcW w:w="850"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Marce can forge requests because per-session, or per-request for more critical actions, strong random tokens (i.e. anti-CSRF tokens) or similar are not being used for actions that change state</w:t>
            </w:r>
          </w:p>
        </w:tc>
        <w:tc>
          <w:tcPr>
            <w:tcW w:w="849" w:type="dxa"/>
            <w:vMerge w:val="continue"/>
            <w:tcBorders>
              <w:top w:val="nil"/>
              <w:left w:val="nil"/>
              <w:bottom w:val="nil"/>
              <w:right w:val="nil"/>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Jeff can resend an identical repeat interaction (e.g. HTTP request, signal, button press) and it is accepted, not rejected</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96</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3.6, 8.7, 10.3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27" w:leader="none"/>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73-74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62, 111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98C477"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98C477"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98C477"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Session management</w:t>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Salim can bypass session management because it is not applied comprehensively and consistently across the application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right w:w="284" w:type="dxa"/>
            </w:tcMar>
          </w:tcPr>
          <w:p>
            <w:pPr>
              <w:pStyle w:val="Normal"/>
              <w:rPr>
                <w:rFonts w:ascii="Garamond" w:hAnsi="Garamond"/>
                <w:sz w:val="20"/>
                <w:szCs w:val="20"/>
              </w:rPr>
            </w:pPr>
            <w:r>
              <w:rPr>
                <w:rFonts w:ascii="Garamond" w:hAnsi="Garamond"/>
                <w:sz w:val="16"/>
                <w:szCs w:val="16"/>
              </w:rPr>
              <w:t>Peter can bypass the session management controls because they have been self-built and/or are weak, instead of using a standard framework or approved tested module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98C47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6E3BC"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58, 60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14, 28</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A</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E0DE92"/>
                <w:sz w:val="48"/>
                <w:szCs w:val="48"/>
              </w:rPr>
            </w:pPr>
            <w:r>
              <w:rPr>
                <w:rFonts w:ascii="Garamond" w:hAnsi="Garamond"/>
                <w:b/>
                <w:color w:val="E0DE92"/>
                <w:sz w:val="48"/>
                <w:szCs w:val="48"/>
              </w:rPr>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2</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You have invented a new attack against Authorization</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Tim can influence where data is sent or forwarded to</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Christian can access information, which they should not have permission to, through another mechanism that does have permission (e.g. search indexer, logger, reporting), or because it is cached, or kept for longer than necessary, or other information leakage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this topic in OWASP's Development and Testing Guides</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4.1, 4.16, 16.1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8.2, 9.1-9.6, 9.11, 16.6-16.7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69, 213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Kelly can bypass authorization controls because they do not fail securely (i.e. they default to allowing access)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Chad can access resources (including services, processes, AJAX, Flash, video, images, documents, temporary files, session data, system properties, configuration data, registry settings, logs) he should not be able to due to missing authorization, or due to excessive privileges (e.g. not using the principle of least privilege)</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Eduardo can access data he does not have permission to, even though he has permission to the form/page/URL/entry point</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Yuanjing can access application functions, objects, or properties he is not authorized to access</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79-80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4.1, 4.4, 4.9, 19.3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4.1, 4.4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D9C049"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E8E697"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D9C049"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8</w:t>
            </w:r>
          </w:p>
        </w:tc>
        <w:tc>
          <w:tcPr>
            <w:tcW w:w="851"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9</w:t>
            </w:r>
          </w:p>
        </w:tc>
        <w:tc>
          <w:tcPr>
            <w:tcW w:w="850"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4" w:type="dxa"/>
            <w:tcBorders>
              <w:top w:val="nil"/>
              <w:left w:val="nil"/>
              <w:bottom w:val="nil"/>
              <w:right w:val="nil"/>
            </w:tcBorders>
            <w:tcMar>
              <w:right w:w="284" w:type="dxa"/>
            </w:tcMar>
          </w:tcPr>
          <w:p>
            <w:pPr>
              <w:pStyle w:val="Normal"/>
              <w:jc w:val="right"/>
              <w:rPr>
                <w:rFonts w:ascii="Garamond" w:hAnsi="Garamond"/>
                <w:b/>
                <w:b/>
                <w:color w:val="D9C049"/>
                <w:sz w:val="48"/>
                <w:szCs w:val="48"/>
              </w:rPr>
            </w:pPr>
            <w:r>
              <w:rPr>
                <w:rFonts w:ascii="Garamond" w:hAnsi="Garamond"/>
                <w:b/>
                <w:color w:val="D9C049"/>
                <w:sz w:val="48"/>
                <w:szCs w:val="48"/>
              </w:rPr>
              <w:t>10</w:t>
            </w:r>
          </w:p>
        </w:tc>
        <w:tc>
          <w:tcPr>
            <w:tcW w:w="849" w:type="dxa"/>
            <w:vMerge w:val="restart"/>
            <w:tcBorders>
              <w:top w:val="nil"/>
              <w:left w:val="nil"/>
              <w:bottom w:val="nil"/>
              <w:right w:val="nil"/>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1" w:type="dxa"/>
            <w:tcBorders>
              <w:top w:val="nil"/>
              <w:left w:val="nil"/>
              <w:bottom w:val="nil"/>
              <w:right w:val="nil"/>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Tom can bypass business rules by altering the usual process sequence or flow, or by undertaking the process in the incorrect order, or by manipulating date and time values used by the application, or by using valid features for unintended purposes, or by otherwise manipulating control data</w:t>
            </w:r>
          </w:p>
        </w:tc>
        <w:tc>
          <w:tcPr>
            <w:tcW w:w="851"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Mike can misuse an application by using a valid feature too fast, or too frequently, or other way that is not intended, or consumes the application's resources, or causes race conditions, or over-utilizes a feature</w:t>
            </w:r>
          </w:p>
        </w:tc>
        <w:tc>
          <w:tcPr>
            <w:tcW w:w="850"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Richard can bypass the centralized authorization controls since they are not being used comprehensively on all interactions</w:t>
            </w:r>
          </w:p>
        </w:tc>
        <w:tc>
          <w:tcPr>
            <w:tcW w:w="849" w:type="dxa"/>
            <w:vMerge w:val="continue"/>
            <w:tcBorders>
              <w:top w:val="nil"/>
              <w:left w:val="nil"/>
              <w:bottom w:val="nil"/>
              <w:right w:val="nil"/>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Dinis can access security configuration information, or access control lists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4.10, 4.15, 4.16, 8.13, 15.1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10-12</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4.14, 15.2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1, 35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1.7, 4.11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ACE1-4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D9C049"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75, 133, 203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D9C049"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D9C049"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Authorization</w:t>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Christopher can inject a command that the application will run at a higher privilege level</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right w:w="284" w:type="dxa"/>
            </w:tcMar>
          </w:tcPr>
          <w:p>
            <w:pPr>
              <w:pStyle w:val="Normal"/>
              <w:rPr>
                <w:rFonts w:ascii="Garamond" w:hAnsi="Garamond"/>
                <w:sz w:val="20"/>
                <w:szCs w:val="20"/>
              </w:rPr>
            </w:pPr>
            <w:r>
              <w:rPr>
                <w:rFonts w:ascii="Garamond" w:hAnsi="Garamond"/>
                <w:sz w:val="16"/>
                <w:szCs w:val="16"/>
              </w:rPr>
              <w:t>Ryan can influence or alter authorization controls and permissions, and can therefore bypass them</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5.12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17, 30, 69, 234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D9C049"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E8E697"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77, 89, 91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4.9, 4.10, 13.2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7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 10-11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E8E697"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A</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2</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tcMar>
              <w:right w:w="284" w:type="dxa"/>
            </w:tcMar>
          </w:tcPr>
          <w:p>
            <w:pPr>
              <w:pStyle w:val="Normal"/>
              <w:jc w:val="right"/>
              <w:rPr>
                <w:rFonts w:ascii="Garamond" w:hAnsi="Garamond"/>
                <w:b/>
                <w:b/>
                <w:color w:val="B2A1C7" w:themeColor="accent4" w:themeTint="99"/>
                <w:sz w:val="48"/>
                <w:szCs w:val="48"/>
              </w:rPr>
            </w:pPr>
            <w:r>
              <w:rPr>
                <w:rFonts w:ascii="Garamond" w:hAnsi="Garamond"/>
                <w:b/>
                <w:color w:val="B2A1C7" w:themeColor="accent4" w:themeTint="99"/>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You have invented a new attack against Cryptography</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Kyun can access data because it has been obfuscated rather than using an approved cryptographic function</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Axel can modify transient or permanent data (stored or in transit), or source code, or updates/patches, or configuration data, because it is not subject to integrity checking</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this topic in OWASP's free Cheat Sheets on Cryptographic Storage, and Transport Layer Protection</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8.11, 11.7, 13.2, 19.5, 19.6, 19.7, 19.8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left" w:pos="501" w:leader="none"/>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Paulo can access data in transit that is not encrypted, even though the channel is encrypted</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Kyle can bypass cryptographic controls because they do not fail securely (i.e. they default to unprotected)</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Romain can read and modify unencrypted data in memory or in transit (e.g. cryptographic secrets, credentials, session identifiers, personal and commercially-sensitive data), in use or in communications within the application, or between the application and users, or between the application and external systems</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Gunter can intercept or modify encrypted data in transit because the protocol is poorly deployed, or weakly configured, or certificates are invalid, or certificates are not trusted, or the connection can be degraded to a weaker or un-encrypted communication</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7.12, 9.2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185-187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7.2, 10.3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2.16, 9.2, 9.11, 10.3, 19.2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10.1, 10.5, 10.10, 10.11, 10.12, 10.13, 10.14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IE4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31, 216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A395CA"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D3CBDE"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A395CA"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8</w:t>
            </w:r>
          </w:p>
        </w:tc>
        <w:tc>
          <w:tcPr>
            <w:tcW w:w="851"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9</w:t>
            </w:r>
          </w:p>
        </w:tc>
        <w:tc>
          <w:tcPr>
            <w:tcW w:w="850"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4" w:type="dxa"/>
            <w:tcBorders>
              <w:top w:val="nil"/>
              <w:left w:val="nil"/>
              <w:bottom w:val="nil"/>
              <w:right w:val="nil"/>
            </w:tcBorders>
            <w:tcMar>
              <w:right w:w="284" w:type="dxa"/>
            </w:tcMar>
          </w:tcPr>
          <w:p>
            <w:pPr>
              <w:pStyle w:val="Normal"/>
              <w:jc w:val="right"/>
              <w:rPr>
                <w:rFonts w:ascii="Garamond" w:hAnsi="Garamond"/>
                <w:b/>
                <w:b/>
                <w:color w:val="A395CA"/>
                <w:sz w:val="48"/>
                <w:szCs w:val="48"/>
              </w:rPr>
            </w:pPr>
            <w:r>
              <w:rPr>
                <w:rFonts w:ascii="Garamond" w:hAnsi="Garamond"/>
                <w:b/>
                <w:color w:val="A395CA"/>
                <w:sz w:val="48"/>
                <w:szCs w:val="48"/>
              </w:rPr>
              <w:t>10</w:t>
            </w:r>
          </w:p>
        </w:tc>
        <w:tc>
          <w:tcPr>
            <w:tcW w:w="849" w:type="dxa"/>
            <w:vMerge w:val="restart"/>
            <w:tcBorders>
              <w:top w:val="nil"/>
              <w:left w:val="nil"/>
              <w:bottom w:val="nil"/>
              <w:right w:val="nil"/>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1" w:type="dxa"/>
            <w:tcBorders>
              <w:top w:val="nil"/>
              <w:left w:val="nil"/>
              <w:bottom w:val="nil"/>
              <w:right w:val="nil"/>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Eoin can access stored business data (e.g. passwords, session identifiers, PII, cardholder data) because it is not securely encrypted or securely hashed</w:t>
            </w:r>
          </w:p>
        </w:tc>
        <w:tc>
          <w:tcPr>
            <w:tcW w:w="851"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Andy can bypass random number generation, random GUID generation, hashing and encryption functions because they have been self-built and/or are weak</w:t>
            </w:r>
          </w:p>
        </w:tc>
        <w:tc>
          <w:tcPr>
            <w:tcW w:w="850"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Susanna can break the cryptography in use because it is not strong enough for the degree of protection required, or it is not strong enough for the amount of effort the attacker is willing to make</w:t>
            </w:r>
          </w:p>
        </w:tc>
        <w:tc>
          <w:tcPr>
            <w:tcW w:w="849" w:type="dxa"/>
            <w:vMerge w:val="continue"/>
            <w:tcBorders>
              <w:top w:val="nil"/>
              <w:left w:val="nil"/>
              <w:bottom w:val="nil"/>
              <w:right w:val="nil"/>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Justin can read credentials for accessing internal or external resources, services and others systems because they are stored in an unencrypted format, or saved in the source code</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2.13, 7.7, 7.8, 9.2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7.6, 7.7, 7.8, 7.15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104-105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97, 463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395CA"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90, 171-172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2.29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A395CA"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A395CA"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Cryptography</w:t>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c>
          <w:tcPr>
            <w:tcW w:w="849" w:type="dxa"/>
            <w:vMerge w:val="restart"/>
            <w:tcBorders>
              <w:top w:val="single" w:sz="4" w:space="0" w:color="000000"/>
              <w:left w:val="single" w:sz="4" w:space="0" w:color="000000"/>
              <w:bottom w:val="single" w:sz="4" w:space="0" w:color="000000"/>
              <w:right w:val="single" w:sz="4" w:space="0" w:color="000000"/>
            </w:tcBorders>
            <w:shd w:color="auto" w:fill="auto"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right w:w="284" w:type="dxa"/>
            </w:tcMar>
          </w:tcPr>
          <w:p>
            <w:pPr>
              <w:pStyle w:val="Normal"/>
              <w:jc w:val="right"/>
              <w:rPr>
                <w:rFonts w:ascii="Garamond" w:hAnsi="Garamond"/>
                <w:b/>
                <w:b/>
                <w:color w:val="95B3D7" w:themeColor="accent1" w:themeTint="99"/>
                <w:sz w:val="48"/>
                <w:szCs w:val="48"/>
              </w:rPr>
            </w:pPr>
            <w:r>
              <w:rPr>
                <w:rFonts w:ascii="Garamond" w:hAnsi="Garamond"/>
                <w:b/>
                <w:color w:val="95B3D7" w:themeColor="accent1" w:themeTint="99"/>
                <w:sz w:val="48"/>
                <w:szCs w:val="48"/>
              </w:rPr>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Randolph can access or predict the master cryptographic secrets</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right w:w="284" w:type="dxa"/>
            </w:tcMar>
          </w:tcPr>
          <w:p>
            <w:pPr>
              <w:pStyle w:val="Normal"/>
              <w:rPr>
                <w:rFonts w:ascii="Garamond" w:hAnsi="Garamond"/>
                <w:sz w:val="20"/>
                <w:szCs w:val="20"/>
              </w:rPr>
            </w:pPr>
            <w:r>
              <w:rPr>
                <w:rFonts w:ascii="Garamond" w:hAnsi="Garamond"/>
                <w:sz w:val="16"/>
                <w:szCs w:val="16"/>
              </w:rPr>
              <w:t>Dan can influence or alter cryptography code/routines (encryption, hashing, digital signatures, random number and GUID generation) and can therefore bypass them</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35, 102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7.8, 7.9, 7.11, 7.13, 7.14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left" w:pos="463" w:leader="none"/>
                    </w:tabs>
                    <w:rPr>
                      <w:rFonts w:ascii="Garamond" w:hAnsi="Garamond"/>
                      <w:color w:val="595959" w:themeColor="text1" w:themeTint="a6"/>
                      <w:sz w:val="12"/>
                      <w:szCs w:val="12"/>
                    </w:rPr>
                  </w:pPr>
                  <w:r>
                    <w:rPr>
                      <w:rFonts w:ascii="Garamond" w:hAnsi="Garamond"/>
                      <w:color w:val="595959" w:themeColor="text1" w:themeTint="a6"/>
                      <w:sz w:val="12"/>
                      <w:szCs w:val="12"/>
                    </w:rPr>
                    <w:t>116-117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A395CA"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D3CBDE"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31, 101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7.11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207, 554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14, 21, 29</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auto"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auto" w:val="clear"/>
            <w:tcMar>
              <w:left w:w="170" w:type="dxa"/>
            </w:tcMar>
          </w:tcPr>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A</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2</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3</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You have invented a new attack of any type</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color w:val="404040" w:themeColor="text1" w:themeTint="bf"/>
                <w:sz w:val="20"/>
                <w:szCs w:val="20"/>
              </w:rPr>
            </w:pPr>
            <w:r>
              <w:rPr>
                <w:rFonts w:ascii="Garamond" w:hAnsi="Garamond"/>
                <w:color w:val="404040" w:themeColor="text1" w:themeTint="bf"/>
                <w:sz w:val="16"/>
                <w:szCs w:val="16"/>
              </w:rPr>
              <w:t>(No Card)</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Lee can bypass application controls because dangerous/risky programming language functions have been used instead of safer alternatives, or there are type conversion errors, or because the application is unreliable when an external resource is unavailable, or there are race conditions, or there are resource initialization or allocation issues, or overflows can occur</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tcMar>
              <w:left w:w="170" w:type="dxa"/>
              <w:right w:w="284" w:type="dxa"/>
            </w:tcMar>
          </w:tcPr>
          <w:p>
            <w:pPr>
              <w:pStyle w:val="Normal"/>
              <w:rPr>
                <w:rFonts w:ascii="Garamond" w:hAnsi="Garamond"/>
                <w:sz w:val="16"/>
                <w:szCs w:val="16"/>
              </w:rPr>
            </w:pPr>
            <w:r>
              <w:rPr>
                <w:rFonts w:ascii="Garamond" w:hAnsi="Garamond"/>
                <w:sz w:val="16"/>
                <w:szCs w:val="16"/>
              </w:rPr>
              <w:t>Andrew can access source code, or decompile, or otherwise access business logic to understand how the application works and any secrets contained</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397" w:type="dxa"/>
            </w:tcMar>
          </w:tcPr>
          <w:p>
            <w:pPr>
              <w:pStyle w:val="Normal"/>
              <w:rPr>
                <w:rFonts w:ascii="Garamond" w:hAnsi="Garamond"/>
                <w:sz w:val="16"/>
                <w:szCs w:val="16"/>
              </w:rPr>
            </w:pPr>
            <w:r>
              <w:rPr>
                <w:rFonts w:ascii="Garamond" w:hAnsi="Garamond"/>
                <w:i/>
                <w:color w:val="7F7F7F" w:themeColor="text1" w:themeTint="80"/>
                <w:sz w:val="20"/>
                <w:szCs w:val="20"/>
              </w:rPr>
              <w:t>Read more about application security in OWASP's free Guides on Requirements, Development, Code Review and Testing, the Cheat Sheet series, and the Open Software Assurance Maturity Model</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p>
            <w:pPr>
              <w:pStyle w:val="Normal"/>
              <w:rPr>
                <w:rFonts w:ascii="Garamond" w:hAnsi="Garamond"/>
                <w:sz w:val="20"/>
                <w:szCs w:val="20"/>
              </w:rPr>
            </w:pPr>
            <w:r>
              <w:rPr>
                <w:rFonts w:ascii="Garamond" w:hAnsi="Garamond"/>
                <w:sz w:val="20"/>
                <w:szCs w:val="20"/>
              </w:rPr>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134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4</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5</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6</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single" w:sz="4" w:space="0" w:color="000000"/>
              <w:left w:val="single" w:sz="4" w:space="0" w:color="000000"/>
              <w:bottom w:val="single" w:sz="4" w:space="0" w:color="000000"/>
              <w:right w:val="single" w:sz="4" w:space="0" w:color="000000"/>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7</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Keith can perform an action and it is not possible to attribute it to him</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Larry can influence the trust other parties including users have in the application, or abuse that trust elsewhere (e.g. in another application)</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Aaron can bypass controls because error/exception handling is missing, or is implemented inconsistently or partially, or does not deny access by default (i.e. errors should terminate access/execution), or relies on handling by some other service or system</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right w:w="284" w:type="dxa"/>
            </w:tcMar>
          </w:tcPr>
          <w:p>
            <w:pPr>
              <w:pStyle w:val="Normal"/>
              <w:rPr>
                <w:rFonts w:ascii="Garamond" w:hAnsi="Garamond"/>
                <w:sz w:val="20"/>
                <w:szCs w:val="20"/>
              </w:rPr>
            </w:pPr>
            <w:r>
              <w:rPr>
                <w:rFonts w:ascii="Garamond" w:hAnsi="Garamond"/>
                <w:sz w:val="16"/>
                <w:szCs w:val="16"/>
              </w:rPr>
              <w:t>Mwengu's actions cannot be investigated because there is not an adequate accurately time-stamped record of security events, or there is not a full audit trail, or these can be altered or deleted by Mwengu, or there is no centralized logging service</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8.10</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8.2, 8.4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rFonts w:ascii="Garamond" w:hAnsi="Garamond"/>
          <w:sz w:val="20"/>
          <w:szCs w:val="20"/>
        </w:rPr>
      </w:r>
    </w:p>
    <w:tbl>
      <w:tblPr>
        <w:tblStyle w:val="TableGrid"/>
        <w:tblW w:w="14291" w:type="dxa"/>
        <w:jc w:val="left"/>
        <w:tblInd w:w="0" w:type="dxa"/>
        <w:tblCellMar>
          <w:top w:w="0" w:type="dxa"/>
          <w:left w:w="0" w:type="dxa"/>
          <w:bottom w:w="0" w:type="dxa"/>
          <w:right w:w="0" w:type="dxa"/>
        </w:tblCellMar>
        <w:tblLook w:val="04a0" w:noHBand="0" w:noVBand="1" w:firstColumn="1" w:lastRow="0" w:lastColumn="0" w:firstRow="1"/>
      </w:tblPr>
      <w:tblGrid>
        <w:gridCol w:w="737"/>
        <w:gridCol w:w="793"/>
        <w:gridCol w:w="2552"/>
        <w:gridCol w:w="851"/>
        <w:gridCol w:w="2552"/>
        <w:gridCol w:w="850"/>
        <w:gridCol w:w="2554"/>
        <w:gridCol w:w="849"/>
        <w:gridCol w:w="2551"/>
      </w:tblGrid>
      <w:tr>
        <w:trPr/>
        <w:tc>
          <w:tcPr>
            <w:tcW w:w="737" w:type="dxa"/>
            <w:vMerge w:val="restart"/>
            <w:tcBorders>
              <w:top w:val="nil"/>
              <w:left w:val="nil"/>
              <w:bottom w:val="nil"/>
              <w:right w:val="nil"/>
            </w:tcBorders>
          </w:tcPr>
          <w:p>
            <w:pPr>
              <w:pStyle w:val="Normal"/>
              <w:rPr>
                <w:rFonts w:ascii="Garamond" w:hAnsi="Garamond"/>
                <w:sz w:val="16"/>
                <w:szCs w:val="16"/>
              </w:rPr>
            </w:pPr>
            <w:r>
              <w:rPr>
                <w:rFonts w:ascii="Garamond" w:hAnsi="Garamond"/>
                <w:sz w:val="16"/>
                <w:szCs w:val="16"/>
              </w:rPr>
            </w:r>
          </w:p>
        </w:tc>
        <w:tc>
          <w:tcPr>
            <w:tcW w:w="793"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1"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2"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50"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4" w:type="dxa"/>
            <w:tcBorders>
              <w:top w:val="nil"/>
              <w:left w:val="nil"/>
              <w:bottom w:val="nil"/>
              <w:right w:val="nil"/>
            </w:tcBorders>
          </w:tcPr>
          <w:p>
            <w:pPr>
              <w:pStyle w:val="Normal"/>
              <w:rPr>
                <w:rFonts w:ascii="Garamond" w:hAnsi="Garamond"/>
                <w:sz w:val="12"/>
                <w:szCs w:val="12"/>
              </w:rPr>
            </w:pPr>
            <w:r>
              <w:rPr>
                <w:rFonts w:ascii="Garamond" w:hAnsi="Garamond"/>
                <w:sz w:val="12"/>
                <w:szCs w:val="12"/>
              </w:rPr>
            </w:r>
          </w:p>
        </w:tc>
        <w:tc>
          <w:tcPr>
            <w:tcW w:w="849" w:type="dxa"/>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12"/>
                <w:szCs w:val="12"/>
              </w:rPr>
            </w:pPr>
            <w:r>
              <w:rPr>
                <w:rFonts w:ascii="Garamond" w:hAnsi="Garamond"/>
                <w:b/>
                <w:color w:val="FFFFFF" w:themeColor="background1"/>
                <w:sz w:val="12"/>
                <w:szCs w:val="12"/>
              </w:rPr>
            </w:r>
          </w:p>
        </w:tc>
        <w:tc>
          <w:tcPr>
            <w:tcW w:w="2551" w:type="dxa"/>
            <w:tcBorders>
              <w:top w:val="nil"/>
              <w:left w:val="nil"/>
              <w:bottom w:val="nil"/>
              <w:right w:val="nil"/>
            </w:tcBorders>
            <w:shd w:color="auto" w:fill="C6D9F1" w:themeFill="text2" w:themeFillTint="33" w:val="clear"/>
          </w:tcPr>
          <w:p>
            <w:pPr>
              <w:pStyle w:val="Normal"/>
              <w:rPr>
                <w:rFonts w:ascii="Garamond" w:hAnsi="Garamond"/>
                <w:sz w:val="12"/>
                <w:szCs w:val="12"/>
              </w:rPr>
            </w:pPr>
            <w:r>
              <w:rPr>
                <w:rFonts w:ascii="Garamond" w:hAnsi="Garamond"/>
                <w:sz w:val="12"/>
                <w:szCs w:val="12"/>
              </w:rPr>
            </w:r>
          </w:p>
        </w:tc>
      </w:tr>
      <w:tr>
        <w:trPr>
          <w:trHeight w:val="737"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restart"/>
            <w:tcBorders>
              <w:top w:val="nil"/>
              <w:left w:val="nil"/>
              <w:bottom w:val="nil"/>
              <w:right w:val="nil"/>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smallCaps/>
                <w:color w:val="FFFFFF" w:themeColor="background1"/>
                <w:sz w:val="28"/>
                <w:szCs w:val="28"/>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8</w:t>
            </w:r>
          </w:p>
        </w:tc>
        <w:tc>
          <w:tcPr>
            <w:tcW w:w="851"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9</w:t>
            </w:r>
          </w:p>
        </w:tc>
        <w:tc>
          <w:tcPr>
            <w:tcW w:w="850"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4" w:type="dxa"/>
            <w:tcBorders>
              <w:top w:val="nil"/>
              <w:left w:val="nil"/>
              <w:bottom w:val="nil"/>
              <w:right w:val="nil"/>
            </w:tcBorders>
            <w:tcMar>
              <w:right w:w="284" w:type="dxa"/>
            </w:tcMar>
          </w:tcPr>
          <w:p>
            <w:pPr>
              <w:pStyle w:val="Normal"/>
              <w:jc w:val="right"/>
              <w:rPr>
                <w:rFonts w:ascii="Garamond" w:hAnsi="Garamond"/>
                <w:b/>
                <w:b/>
                <w:color w:val="17365D" w:themeColor="text2" w:themeShade="bf"/>
                <w:sz w:val="48"/>
                <w:szCs w:val="48"/>
              </w:rPr>
            </w:pPr>
            <w:r>
              <w:rPr>
                <w:rFonts w:ascii="Garamond" w:hAnsi="Garamond"/>
                <w:b/>
                <w:color w:val="17365D" w:themeColor="text2" w:themeShade="bf"/>
                <w:sz w:val="48"/>
                <w:szCs w:val="48"/>
              </w:rPr>
              <w:t>10</w:t>
            </w:r>
          </w:p>
        </w:tc>
        <w:tc>
          <w:tcPr>
            <w:tcW w:w="849" w:type="dxa"/>
            <w:vMerge w:val="restart"/>
            <w:tcBorders>
              <w:top w:val="nil"/>
              <w:left w:val="nil"/>
              <w:bottom w:val="nil"/>
              <w:right w:val="nil"/>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1" w:type="dxa"/>
            <w:tcBorders>
              <w:top w:val="nil"/>
              <w:left w:val="nil"/>
              <w:bottom w:val="nil"/>
              <w:right w:val="nil"/>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J</w:t>
            </w:r>
          </w:p>
        </w:tc>
      </w:tr>
      <w:tr>
        <w:trPr>
          <w:trHeight w:val="2268"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shd w:color="auto" w:fill="auto" w:val="clear"/>
            <w:tcMar>
              <w:left w:w="170" w:type="dxa"/>
              <w:right w:w="284" w:type="dxa"/>
            </w:tcMar>
          </w:tcPr>
          <w:p>
            <w:pPr>
              <w:pStyle w:val="Normal"/>
              <w:rPr>
                <w:rFonts w:ascii="Garamond" w:hAnsi="Garamond"/>
                <w:sz w:val="16"/>
                <w:szCs w:val="16"/>
              </w:rPr>
            </w:pPr>
            <w:r>
              <w:rPr>
                <w:rFonts w:ascii="Garamond" w:hAnsi="Garamond"/>
                <w:sz w:val="16"/>
                <w:szCs w:val="16"/>
              </w:rPr>
              <w:t>David can bypass the application to gain access to data because the network and host infrastructure, and supporting services/applications, have not been securely configured, the configuration rechecked periodically and security patches applied, or the data is stored locally, or the data is not physically protected</w:t>
            </w:r>
          </w:p>
        </w:tc>
        <w:tc>
          <w:tcPr>
            <w:tcW w:w="851"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Michael can bypass the application to gain access to data because administrative tools or administrative interfaces are not secured adequately</w:t>
            </w:r>
          </w:p>
        </w:tc>
        <w:tc>
          <w:tcPr>
            <w:tcW w:w="850"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nil"/>
              <w:left w:val="nil"/>
              <w:bottom w:val="nil"/>
              <w:right w:val="nil"/>
            </w:tcBorders>
            <w:tcMar>
              <w:left w:w="170" w:type="dxa"/>
              <w:right w:w="284" w:type="dxa"/>
            </w:tcMar>
          </w:tcPr>
          <w:p>
            <w:pPr>
              <w:pStyle w:val="Normal"/>
              <w:rPr>
                <w:rFonts w:ascii="Garamond" w:hAnsi="Garamond"/>
                <w:sz w:val="20"/>
                <w:szCs w:val="20"/>
              </w:rPr>
            </w:pPr>
            <w:r>
              <w:rPr>
                <w:rFonts w:ascii="Garamond" w:hAnsi="Garamond"/>
                <w:sz w:val="16"/>
                <w:szCs w:val="16"/>
              </w:rPr>
              <w:t>Xavier can circumvent the application's controls because code frameworks, libraries and components contain malicious code or vulnerabilities (e.g. in-house, commercial off the shelf, outsourced, open source, externally-located)</w:t>
            </w:r>
          </w:p>
        </w:tc>
        <w:tc>
          <w:tcPr>
            <w:tcW w:w="849" w:type="dxa"/>
            <w:vMerge w:val="continue"/>
            <w:tcBorders>
              <w:top w:val="nil"/>
              <w:left w:val="nil"/>
              <w:bottom w:val="nil"/>
              <w:right w:val="nil"/>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nil"/>
              <w:left w:val="nil"/>
              <w:bottom w:val="nil"/>
              <w:right w:val="nil"/>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Roman can exploit the application because it was compiled using out-of-date tools, or its configuration is not secure by default, or security information was not documented and passed on to operational teams</w:t>
            </w:r>
          </w:p>
        </w:tc>
      </w:tr>
      <w:tr>
        <w:trPr>
          <w:trHeight w:val="2041" w:hRule="exact"/>
        </w:trPr>
        <w:tc>
          <w:tcPr>
            <w:tcW w:w="737" w:type="dxa"/>
            <w:vMerge w:val="continue"/>
            <w:tcBorders>
              <w:top w:val="nil"/>
              <w:left w:val="nil"/>
              <w:bottom w:val="nil"/>
              <w:right w:val="nil"/>
            </w:tcBorders>
          </w:tcPr>
          <w:p>
            <w:pPr>
              <w:pStyle w:val="Normal"/>
              <w:rPr>
                <w:rFonts w:ascii="Garamond" w:hAnsi="Garamond"/>
                <w:sz w:val="20"/>
                <w:szCs w:val="20"/>
              </w:rPr>
            </w:pPr>
            <w:r>
              <w:rPr>
                <w:rFonts w:ascii="Garamond" w:hAnsi="Garamond"/>
                <w:sz w:val="20"/>
                <w:szCs w:val="20"/>
              </w:rPr>
            </w:r>
          </w:p>
        </w:tc>
        <w:tc>
          <w:tcPr>
            <w:tcW w:w="793" w:type="dxa"/>
            <w:vMerge w:val="continue"/>
            <w:tcBorders>
              <w:top w:val="nil"/>
              <w:left w:val="nil"/>
              <w:bottom w:val="nil"/>
              <w:right w:val="nil"/>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nil"/>
              <w:left w:val="nil"/>
              <w:bottom w:val="nil"/>
              <w:right w:val="nil"/>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19.1, 19.4, 19.6, 19.7, 19.8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16"/>
                <w:szCs w:val="16"/>
              </w:rPr>
            </w:pPr>
            <w:r>
              <w:rPr>
                <w:rFonts w:ascii="Garamond" w:hAnsi="Garamond"/>
                <w:sz w:val="16"/>
                <w:szCs w:val="16"/>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tabs>
                      <w:tab w:val="clear" w:pos="720"/>
                      <w:tab w:val="center" w:pos="1006" w:leader="none"/>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2.1, 2.32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1.11</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15</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49"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19.5, 19.9</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r>
      <w:tr>
        <w:trPr>
          <w:trHeight w:val="737"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top w:w="17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Q</w:t>
            </w:r>
          </w:p>
        </w:tc>
        <w:tc>
          <w:tcPr>
            <w:tcW w:w="851" w:type="dxa"/>
            <w:vMerge w:val="restart"/>
            <w:tcBorders>
              <w:top w:val="single" w:sz="4" w:space="0" w:color="000000"/>
              <w:left w:val="single" w:sz="4" w:space="0" w:color="000000"/>
              <w:bottom w:val="single" w:sz="4" w:space="0" w:color="000000"/>
              <w:right w:val="single" w:sz="4" w:space="0" w:color="000000"/>
            </w:tcBorders>
            <w:shd w:color="auto" w:fill="17365D" w:themeFill="text2" w:themeFillShade="bf"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Cornucopia</w:t>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right w:w="284" w:type="dxa"/>
            </w:tcMar>
          </w:tcPr>
          <w:p>
            <w:pPr>
              <w:pStyle w:val="Normal"/>
              <w:jc w:val="right"/>
              <w:rPr>
                <w:rFonts w:ascii="Garamond" w:hAnsi="Garamond"/>
                <w:b/>
                <w:b/>
                <w:color w:val="FFFFFF" w:themeColor="background1"/>
                <w:sz w:val="48"/>
                <w:szCs w:val="48"/>
              </w:rPr>
            </w:pPr>
            <w:r>
              <w:rPr>
                <w:rFonts w:ascii="Garamond" w:hAnsi="Garamond"/>
                <w:b/>
                <w:color w:val="FFFFFF" w:themeColor="background1"/>
                <w:sz w:val="48"/>
                <w:szCs w:val="48"/>
              </w:rPr>
              <w:t>K</w:t>
            </w:r>
          </w:p>
        </w:tc>
        <w:tc>
          <w:tcPr>
            <w:tcW w:w="850"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Wild Card</w:t>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c>
          <w:tcPr>
            <w:tcW w:w="849" w:type="dxa"/>
            <w:vMerge w:val="restart"/>
            <w:tcBorders>
              <w:top w:val="single" w:sz="4" w:space="0" w:color="000000"/>
              <w:left w:val="single" w:sz="4" w:space="0" w:color="000000"/>
              <w:bottom w:val="single" w:sz="4" w:space="0" w:color="000000"/>
              <w:right w:val="single" w:sz="4" w:space="0" w:color="000000"/>
            </w:tcBorders>
            <w:shd w:color="auto" w:fill="FBBB7B" w:val="clear"/>
            <w:tcMar>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smallCaps/>
                <w:color w:val="FFFFFF" w:themeColor="background1"/>
                <w:sz w:val="28"/>
                <w:szCs w:val="28"/>
              </w:rPr>
              <w:t>Wild Card</w:t>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right w:w="284" w:type="dxa"/>
            </w:tcMar>
          </w:tcPr>
          <w:p>
            <w:pPr>
              <w:pStyle w:val="Normal"/>
              <w:jc w:val="right"/>
              <w:rPr>
                <w:rFonts w:ascii="Garamond" w:hAnsi="Garamond"/>
                <w:b/>
                <w:b/>
                <w:color w:val="FBBB7B"/>
                <w:sz w:val="48"/>
                <w:szCs w:val="48"/>
              </w:rPr>
            </w:pPr>
            <w:r>
              <w:rPr>
                <w:rFonts w:ascii="Garamond" w:hAnsi="Garamond"/>
                <w:b/>
                <w:color w:val="FBBB7B"/>
                <w:sz w:val="48"/>
                <w:szCs w:val="48"/>
              </w:rPr>
              <w:t>Joker</w:t>
            </w:r>
          </w:p>
        </w:tc>
      </w:tr>
      <w:tr>
        <w:trPr>
          <w:trHeight w:val="2268"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Jim can undertake malicious, non-normal, actions without real-time detection and response by the application</w:t>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right w:w="284" w:type="dxa"/>
            </w:tcMar>
          </w:tcPr>
          <w:p>
            <w:pPr>
              <w:pStyle w:val="Normal"/>
              <w:rPr>
                <w:rFonts w:ascii="Garamond" w:hAnsi="Garamond"/>
                <w:sz w:val="20"/>
                <w:szCs w:val="20"/>
              </w:rPr>
            </w:pPr>
            <w:r>
              <w:rPr>
                <w:rFonts w:ascii="Garamond" w:hAnsi="Garamond"/>
                <w:sz w:val="16"/>
                <w:szCs w:val="16"/>
              </w:rPr>
              <w:t>Gareth can utilize the application to deny service to some or all of its users</w:t>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Alice can utilize the application to attack users' systems and data</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284" w:type="dxa"/>
            </w:tcMar>
          </w:tcPr>
          <w:p>
            <w:pPr>
              <w:pStyle w:val="Normal"/>
              <w:rPr>
                <w:rFonts w:ascii="Garamond" w:hAnsi="Garamond"/>
                <w:sz w:val="16"/>
                <w:szCs w:val="16"/>
              </w:rPr>
            </w:pPr>
            <w:r>
              <w:rPr>
                <w:rFonts w:ascii="Garamond" w:hAnsi="Garamond"/>
                <w:sz w:val="16"/>
                <w:szCs w:val="16"/>
              </w:rPr>
              <w:t>Bob can influence, alter or affect the application so that it no longer complies with legal, regulatory, contractual or other organizational mandates</w:t>
            </w:r>
          </w:p>
        </w:tc>
      </w:tr>
      <w:tr>
        <w:trPr>
          <w:trHeight w:val="2155" w:hRule="exact"/>
        </w:trPr>
        <w:tc>
          <w:tcPr>
            <w:tcW w:w="737" w:type="dxa"/>
            <w:vMerge w:val="continue"/>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tc>
        <w:tc>
          <w:tcPr>
            <w:tcW w:w="793"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4.14, 9.8, 15.1, 15.2</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(All)</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1, 27</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1" w:type="dxa"/>
            <w:vMerge w:val="continue"/>
            <w:tcBorders>
              <w:top w:val="single" w:sz="4" w:space="0" w:color="000000"/>
              <w:left w:val="single" w:sz="4" w:space="0" w:color="000000"/>
              <w:bottom w:val="single" w:sz="4" w:space="0" w:color="000000"/>
              <w:right w:val="single" w:sz="4" w:space="0" w:color="000000"/>
            </w:tcBorders>
            <w:shd w:color="auto" w:fill="17365D" w:themeFill="text2" w:themeFillShade="bf"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2" w:type="dxa"/>
            <w:tcBorders>
              <w:top w:val="single" w:sz="4" w:space="0" w:color="000000"/>
              <w:left w:val="single" w:sz="4" w:space="0" w:color="000000"/>
              <w:bottom w:val="single" w:sz="4" w:space="0" w:color="000000"/>
              <w:right w:val="single" w:sz="4" w:space="0" w:color="000000"/>
            </w:tcBorders>
            <w:shd w:color="auto" w:fill="C6D9F1" w:themeFill="text2" w:themeFillTint="33" w:val="clear"/>
            <w:tcMar>
              <w:left w:w="170" w:type="dxa"/>
            </w:tcMar>
          </w:tcPr>
          <w:tbl>
            <w:tblPr>
              <w:tblStyle w:val="TableGrid"/>
              <w:tblW w:w="2410" w:type="dxa"/>
              <w:jc w:val="left"/>
              <w:tblInd w:w="0" w:type="dxa"/>
              <w:tblCellMar>
                <w:top w:w="28" w:type="dxa"/>
                <w:left w:w="0" w:type="dxa"/>
                <w:bottom w:w="0" w:type="dxa"/>
                <w:right w:w="397" w:type="dxa"/>
              </w:tblCellMar>
              <w:tblLook w:val="04a0" w:noHBand="0" w:noVBand="1" w:firstColumn="1" w:lastRow="0" w:lastColumn="0" w:firstRow="1"/>
            </w:tblPr>
            <w:tblGrid>
              <w:gridCol w:w="2410"/>
            </w:tblGrid>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SCP</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41, 55</w:t>
                  </w:r>
                </w:p>
              </w:tc>
            </w:tr>
            <w:tr>
              <w:trPr/>
              <w:tc>
                <w:tcPr>
                  <w:tcW w:w="2410" w:type="dxa"/>
                  <w:tcBorders>
                    <w:top w:val="single" w:sz="4" w:space="0" w:color="7F7F7F"/>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ASVS</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OWASP APPSENSOR</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UT1-4, STE3</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CAPEC</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2, 25, 119, 125</w:t>
                  </w:r>
                </w:p>
              </w:tc>
            </w:tr>
            <w:tr>
              <w:trPr/>
              <w:tc>
                <w:tcPr>
                  <w:tcW w:w="2410" w:type="dxa"/>
                  <w:tcBorders>
                    <w:top w:val="nil"/>
                    <w:left w:val="nil"/>
                    <w:bottom w:val="single" w:sz="4" w:space="0" w:color="7F7F7F"/>
                    <w:right w:val="nil"/>
                  </w:tcBorders>
                </w:tcPr>
                <w:p>
                  <w:pPr>
                    <w:pStyle w:val="Normal"/>
                    <w:rPr>
                      <w:rFonts w:ascii="Garamond" w:hAnsi="Garamond"/>
                      <w:color w:val="595959" w:themeColor="text1" w:themeTint="a6"/>
                      <w:sz w:val="12"/>
                      <w:szCs w:val="12"/>
                    </w:rPr>
                  </w:pPr>
                  <w:r>
                    <w:rPr>
                      <w:rFonts w:ascii="Garamond" w:hAnsi="Garamond"/>
                      <w:color w:val="595959" w:themeColor="text1" w:themeTint="a6"/>
                      <w:sz w:val="12"/>
                      <w:szCs w:val="12"/>
                    </w:rPr>
                    <w:t>SAFECODE</w:t>
                  </w:r>
                </w:p>
                <w:p>
                  <w:pPr>
                    <w:pStyle w:val="Normal"/>
                    <w:rPr>
                      <w:rFonts w:ascii="Garamond" w:hAnsi="Garamond"/>
                      <w:color w:val="595959" w:themeColor="text1" w:themeTint="a6"/>
                      <w:sz w:val="12"/>
                      <w:szCs w:val="12"/>
                    </w:rPr>
                  </w:pPr>
                  <w:r>
                    <w:rPr>
                      <w:rFonts w:ascii="Garamond" w:hAnsi="Garamond"/>
                      <w:color w:val="595959" w:themeColor="text1" w:themeTint="a6"/>
                      <w:sz w:val="12"/>
                      <w:szCs w:val="12"/>
                    </w:rPr>
                    <w:t>1</w:t>
                  </w:r>
                </w:p>
              </w:tc>
            </w:tr>
            <w:tr>
              <w:trPr/>
              <w:tc>
                <w:tcPr>
                  <w:tcW w:w="2410" w:type="dxa"/>
                  <w:tcBorders>
                    <w:top w:val="single" w:sz="4" w:space="0" w:color="7F7F7F"/>
                    <w:left w:val="nil"/>
                    <w:bottom w:val="nil"/>
                    <w:right w:val="nil"/>
                  </w:tcBorders>
                </w:tcPr>
                <w:p>
                  <w:pPr>
                    <w:pStyle w:val="Normal"/>
                    <w:rPr>
                      <w:rFonts w:ascii="Garamond" w:hAnsi="Garamond"/>
                      <w:color w:val="7F7F7F" w:themeColor="text1" w:themeTint="80"/>
                      <w:sz w:val="8"/>
                      <w:szCs w:val="8"/>
                    </w:rPr>
                  </w:pPr>
                  <w:r>
                    <w:rPr>
                      <w:rFonts w:ascii="Garamond" w:hAnsi="Garamond"/>
                      <w:color w:val="7F7F7F"/>
                      <w:sz w:val="8"/>
                      <w:szCs w:val="8"/>
                    </w:rPr>
                    <w:fldChar w:fldCharType="begin"/>
                  </w:r>
                  <w:r>
                    <w:rPr>
                      <w:sz w:val="8"/>
                      <w:szCs w:val="8"/>
                      <w:rFonts w:ascii="Garamond" w:hAnsi="Garamond"/>
                      <w:color w:val="7F7F7F"/>
                    </w:rPr>
                    <w:instrText> TITLE </w:instrText>
                  </w:r>
                  <w:r>
                    <w:rPr>
                      <w:sz w:val="8"/>
                      <w:szCs w:val="8"/>
                      <w:rFonts w:ascii="Garamond" w:hAnsi="Garamond"/>
                      <w:color w:val="7F7F7F"/>
                    </w:rPr>
                    <w:fldChar w:fldCharType="separate"/>
                  </w:r>
                  <w:r>
                    <w:rPr>
                      <w:sz w:val="8"/>
                      <w:szCs w:val="8"/>
                      <w:rFonts w:ascii="Garamond" w:hAnsi="Garamond"/>
                      <w:color w:val="7F7F7F"/>
                    </w:rPr>
                    <w:t>OWASP Cornucopia Ecommerce Website Edition</w:t>
                  </w:r>
                  <w:r>
                    <w:rPr>
                      <w:sz w:val="8"/>
                      <w:szCs w:val="8"/>
                      <w:rFonts w:ascii="Garamond" w:hAnsi="Garamond"/>
                      <w:color w:val="7F7F7F"/>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sz w:val="8"/>
                      <w:szCs w:val="8"/>
                      <w:rFonts w:ascii="Garamond" w:hAnsi="Garamond"/>
                      <w:color w:val="7F7F7F"/>
                    </w:rPr>
                    <w:instrText> SUBJECT </w:instrText>
                  </w:r>
                  <w:r>
                    <w:rPr>
                      <w:sz w:val="8"/>
                      <w:szCs w:val="8"/>
                      <w:rFonts w:ascii="Garamond" w:hAnsi="Garamond"/>
                      <w:color w:val="7F7F7F"/>
                    </w:rPr>
                    <w:fldChar w:fldCharType="separate"/>
                  </w:r>
                  <w:r>
                    <w:rPr>
                      <w:sz w:val="8"/>
                      <w:szCs w:val="8"/>
                      <w:rFonts w:ascii="Garamond" w:hAnsi="Garamond"/>
                      <w:color w:val="7F7F7F"/>
                    </w:rPr>
                    <w:t>v1.20-EN</w:t>
                  </w:r>
                  <w:r>
                    <w:rPr>
                      <w:sz w:val="8"/>
                      <w:szCs w:val="8"/>
                      <w:rFonts w:ascii="Garamond" w:hAnsi="Garamond"/>
                      <w:color w:val="7F7F7F"/>
                    </w:rPr>
                    <w:fldChar w:fldCharType="end"/>
                  </w:r>
                </w:p>
              </w:tc>
            </w:tr>
          </w:tbl>
          <w:p>
            <w:pPr>
              <w:pStyle w:val="Normal"/>
              <w:rPr>
                <w:rFonts w:ascii="Garamond" w:hAnsi="Garamond"/>
                <w:sz w:val="20"/>
                <w:szCs w:val="20"/>
              </w:rPr>
            </w:pPr>
            <w:r>
              <w:rPr>
                <w:rFonts w:ascii="Garamond" w:hAnsi="Garamond"/>
                <w:sz w:val="20"/>
                <w:szCs w:val="20"/>
              </w:rPr>
            </w:r>
          </w:p>
        </w:tc>
        <w:tc>
          <w:tcPr>
            <w:tcW w:w="850"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4"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Have you thought about becoming an individual OWASP member? All tools, guidance and local meetings are free for everyone, but individual membership helps support OWASP's work</w:t>
            </w:r>
          </w:p>
        </w:tc>
        <w:tc>
          <w:tcPr>
            <w:tcW w:w="849" w:type="dxa"/>
            <w:vMerge w:val="continue"/>
            <w:tcBorders>
              <w:top w:val="single" w:sz="4" w:space="0" w:color="000000"/>
              <w:left w:val="single" w:sz="4" w:space="0" w:color="000000"/>
              <w:bottom w:val="single" w:sz="4" w:space="0" w:color="000000"/>
              <w:right w:val="single" w:sz="4" w:space="0" w:color="000000"/>
            </w:tcBorders>
            <w:shd w:color="auto" w:fill="FBBB7B" w:val="cle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2551" w:type="dxa"/>
            <w:tcBorders>
              <w:top w:val="single" w:sz="4" w:space="0" w:color="000000"/>
              <w:left w:val="single" w:sz="4" w:space="0" w:color="000000"/>
              <w:bottom w:val="single" w:sz="4" w:space="0" w:color="000000"/>
              <w:right w:val="single" w:sz="4" w:space="0" w:color="000000"/>
            </w:tcBorders>
            <w:shd w:color="auto" w:fill="FDE9D9" w:themeFill="accent6" w:themeFillTint="33" w:val="clear"/>
            <w:tcMar>
              <w:left w:w="170" w:type="dxa"/>
              <w:right w:w="397" w:type="dxa"/>
            </w:tcMar>
          </w:tcPr>
          <w:p>
            <w:pPr>
              <w:pStyle w:val="Normal"/>
              <w:rPr>
                <w:rFonts w:ascii="Garamond" w:hAnsi="Garamond"/>
                <w:sz w:val="20"/>
                <w:szCs w:val="20"/>
              </w:rPr>
            </w:pPr>
            <w:r>
              <w:rPr>
                <w:rFonts w:ascii="Garamond" w:hAnsi="Garamond"/>
                <w:i/>
                <w:color w:val="7F7F7F" w:themeColor="text1" w:themeTint="80"/>
                <w:sz w:val="20"/>
                <w:szCs w:val="20"/>
              </w:rPr>
              <w:t>Examine vulnerabilities and discover how they can be fixed using training applications in the free OWASP Broken Web Applications VM, or using the online challenges in the free Hacking Lab</w:t>
            </w:r>
          </w:p>
        </w:tc>
      </w:tr>
    </w:tbl>
    <w:p>
      <w:pPr>
        <w:pStyle w:val="Normal"/>
        <w:rPr>
          <w:rFonts w:ascii="Garamond" w:hAnsi="Garamond"/>
          <w:sz w:val="20"/>
          <w:szCs w:val="20"/>
        </w:rPr>
      </w:pPr>
      <w:r>
        <w:rPr>
          <w:rFonts w:ascii="Garamond" w:hAnsi="Garamond"/>
          <w:sz w:val="20"/>
          <w:szCs w:val="20"/>
        </w:rPr>
      </w:r>
      <w:r>
        <w:br w:type="page"/>
      </w:r>
    </w:p>
    <w:tbl>
      <w:tblPr>
        <w:tblStyle w:val="TableGrid"/>
        <w:tblW w:w="14889" w:type="dxa"/>
        <w:jc w:val="left"/>
        <w:tblInd w:w="0" w:type="dxa"/>
        <w:tblCellMar>
          <w:top w:w="0" w:type="dxa"/>
          <w:left w:w="0" w:type="dxa"/>
          <w:bottom w:w="57" w:type="dxa"/>
          <w:right w:w="57" w:type="dxa"/>
        </w:tblCellMar>
        <w:tblLook w:val="04a0" w:noHBand="0" w:noVBand="1" w:firstColumn="1" w:lastRow="0" w:lastColumn="0" w:firstRow="1"/>
      </w:tblPr>
      <w:tblGrid>
        <w:gridCol w:w="856"/>
        <w:gridCol w:w="3061"/>
        <w:gridCol w:w="341"/>
        <w:gridCol w:w="3061"/>
        <w:gridCol w:w="341"/>
        <w:gridCol w:w="3063"/>
        <w:gridCol w:w="339"/>
        <w:gridCol w:w="3063"/>
        <w:gridCol w:w="762"/>
      </w:tblGrid>
      <w:tr>
        <w:trPr>
          <w:trHeight w:val="340" w:hRule="atLeast"/>
        </w:trPr>
        <w:tc>
          <w:tcPr>
            <w:tcW w:w="856" w:type="dxa"/>
            <w:tcBorders>
              <w:top w:val="nil"/>
              <w:left w:val="nil"/>
              <w:bottom w:val="dashed" w:sz="4" w:space="0" w:color="000000"/>
              <w:right w:val="dashed" w:sz="4" w:space="0" w:color="000000"/>
            </w:tcBorders>
            <w:shd w:color="auto" w:fill="auto" w:val="clear"/>
            <w:vAlign w:val="bottom"/>
          </w:tcPr>
          <w:p>
            <w:pPr>
              <w:pStyle w:val="Normal"/>
              <w:pageBreakBefore/>
              <w:jc w:val="right"/>
              <w:rPr>
                <w:rFonts w:ascii="Garamond" w:hAnsi="Garamond"/>
                <w:sz w:val="16"/>
                <w:szCs w:val="16"/>
              </w:rPr>
            </w:pPr>
            <w:r>
              <w:rPr>
                <w:rFonts w:ascii="Garamond" w:hAnsi="Garamond"/>
                <w:sz w:val="16"/>
                <w:szCs w:val="16"/>
              </w:rPr>
              <w:t>Cut here</w:t>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0"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41"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39"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nil"/>
              <w:left w:val="dashed" w:sz="4" w:space="0" w:color="000000"/>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762" w:type="dxa"/>
            <w:tcBorders>
              <w:top w:val="nil"/>
              <w:left w:val="dashed" w:sz="4" w:space="0" w:color="000000"/>
              <w:bottom w:val="dashed" w:sz="4" w:space="0" w:color="000000"/>
              <w:right w:val="nil"/>
            </w:tcBorders>
            <w:tcMar>
              <w:bottom w:w="0" w:type="dxa"/>
              <w:right w:w="5" w:type="dxa"/>
            </w:tcMar>
          </w:tcPr>
          <w:p>
            <w:pPr>
              <w:pStyle w:val="Normal"/>
              <w:rPr>
                <w:rFonts w:ascii="Garamond" w:hAnsi="Garamond"/>
                <w:sz w:val="20"/>
                <w:szCs w:val="20"/>
              </w:rPr>
            </w:pPr>
            <w:r>
              <w:rPr>
                <w:rFonts w:ascii="Garamond" w:hAnsi="Garamond"/>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color w:val="FFFFFF" w:themeColor="background1"/>
                <w:sz w:val="20"/>
                <w:szCs w:val="20"/>
              </w:rPr>
            </w:pPr>
            <w:r>
              <w:rPr>
                <w:rFonts w:ascii="Garamond" w:hAnsi="Garamond"/>
                <w:b/>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t>J</w:t>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4820" w:hRule="exact"/>
        </w:trPr>
        <w:tc>
          <w:tcPr>
            <w:tcW w:w="856" w:type="dxa"/>
            <w:tcBorders>
              <w:top w:val="dashed" w:sz="4" w:space="0" w:color="000000"/>
              <w:left w:val="nil"/>
              <w:bottom w:val="dashed" w:sz="4" w:space="0" w:color="000000"/>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dashed" w:sz="4" w:space="0" w:color="000000"/>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dashed" w:sz="4" w:space="0" w:color="000000"/>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dashed" w:sz="4" w:space="0" w:color="000000"/>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r>
        <w:trPr>
          <w:trHeight w:val="340" w:hRule="exact"/>
        </w:trPr>
        <w:tc>
          <w:tcPr>
            <w:tcW w:w="856" w:type="dxa"/>
            <w:tcBorders>
              <w:top w:val="dashed" w:sz="4" w:space="0" w:color="000000"/>
              <w:left w:val="nil"/>
              <w:bottom w:val="nil"/>
              <w:right w:val="dashed" w:sz="4" w:space="0" w:color="000000"/>
            </w:tcBorders>
            <w:shd w:color="auto" w:fill="auto" w:val="clear"/>
            <w:tcMar>
              <w:bottom w:w="0" w:type="dxa"/>
              <w:right w:w="5" w:type="dxa"/>
            </w:tcMar>
          </w:tcPr>
          <w:p>
            <w:pPr>
              <w:pStyle w:val="Normal"/>
              <w:rPr>
                <w:rFonts w:ascii="Garamond" w:hAnsi="Garamond"/>
                <w:sz w:val="20"/>
                <w:szCs w:val="20"/>
              </w:rPr>
            </w:pPr>
            <w:r>
              <w:rPr>
                <w:rFonts w:ascii="Garamond" w:hAnsi="Garamond"/>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top w:w="170" w:type="dxa"/>
              <w:bottom w:w="0" w:type="dxa"/>
              <w:right w:w="113" w:type="dxa"/>
            </w:tcMar>
            <w:textDirection w:val="tbRl"/>
          </w:tcPr>
          <w:p>
            <w:pPr>
              <w:pStyle w:val="Normal"/>
              <w:jc w:val="right"/>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1"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41"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17365D" w:themeColor="text2" w:themeShade="bf"/>
                <w:sz w:val="20"/>
                <w:szCs w:val="20"/>
              </w:rPr>
            </w:pPr>
            <w:r>
              <w:rPr>
                <w:rFonts w:ascii="Garamond" w:hAnsi="Garamond"/>
                <w:b/>
                <w:color w:val="17365D" w:themeColor="text2" w:themeShade="bf"/>
                <w:sz w:val="20"/>
                <w:szCs w:val="20"/>
              </w:rPr>
            </w:r>
          </w:p>
        </w:tc>
        <w:tc>
          <w:tcPr>
            <w:tcW w:w="339" w:type="dxa"/>
            <w:tcBorders>
              <w:top w:val="dashed" w:sz="4" w:space="0" w:color="000000"/>
              <w:left w:val="dashed" w:sz="4" w:space="0" w:color="000000"/>
              <w:bottom w:val="nil"/>
              <w:right w:val="dashed" w:sz="4" w:space="0" w:color="000000"/>
            </w:tcBorders>
            <w:shd w:color="auto" w:fill="auto" w:val="clear"/>
            <w:tcMar>
              <w:bottom w:w="0" w:type="dxa"/>
              <w:right w:w="113" w:type="dxa"/>
            </w:tcMar>
            <w:textDirection w:val="tbRl"/>
          </w:tcPr>
          <w:p>
            <w:pPr>
              <w:pStyle w:val="Normal"/>
              <w:ind w:left="113" w:right="113" w:hanging="0"/>
              <w:rPr>
                <w:rFonts w:ascii="Garamond" w:hAnsi="Garamond"/>
                <w:b/>
                <w:b/>
                <w:smallCaps/>
                <w:color w:val="FFFFFF" w:themeColor="background1"/>
                <w:sz w:val="20"/>
                <w:szCs w:val="20"/>
              </w:rPr>
            </w:pPr>
            <w:r>
              <w:rPr>
                <w:rFonts w:ascii="Garamond" w:hAnsi="Garamond"/>
                <w:b/>
                <w:smallCaps/>
                <w:color w:val="FFFFFF" w:themeColor="background1"/>
                <w:sz w:val="20"/>
                <w:szCs w:val="20"/>
              </w:rPr>
            </w:r>
          </w:p>
        </w:tc>
        <w:tc>
          <w:tcPr>
            <w:tcW w:w="3063" w:type="dxa"/>
            <w:tcBorders>
              <w:top w:val="dashed" w:sz="4" w:space="0" w:color="000000"/>
              <w:left w:val="dashed" w:sz="4" w:space="0" w:color="000000"/>
              <w:bottom w:val="nil"/>
              <w:right w:val="dashed" w:sz="4" w:space="0" w:color="000000"/>
            </w:tcBorders>
            <w:shd w:color="auto" w:fill="auto" w:val="clear"/>
            <w:tcMar>
              <w:bottom w:w="0" w:type="dxa"/>
              <w:right w:w="284"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c>
          <w:tcPr>
            <w:tcW w:w="762" w:type="dxa"/>
            <w:tcBorders>
              <w:top w:val="dashed" w:sz="4" w:space="0" w:color="000000"/>
              <w:left w:val="dashed" w:sz="4" w:space="0" w:color="000000"/>
              <w:bottom w:val="nil"/>
              <w:right w:val="nil"/>
            </w:tcBorders>
            <w:tcMar>
              <w:bottom w:w="0" w:type="dxa"/>
              <w:right w:w="5" w:type="dxa"/>
            </w:tcMar>
          </w:tcPr>
          <w:p>
            <w:pPr>
              <w:pStyle w:val="Normal"/>
              <w:jc w:val="right"/>
              <w:rPr>
                <w:rFonts w:ascii="Garamond" w:hAnsi="Garamond"/>
                <w:b/>
                <w:b/>
                <w:color w:val="FFFFFF" w:themeColor="background1"/>
                <w:sz w:val="20"/>
                <w:szCs w:val="20"/>
              </w:rPr>
            </w:pPr>
            <w:r>
              <w:rPr>
                <w:rFonts w:ascii="Garamond" w:hAnsi="Garamond"/>
                <w:b/>
                <w:color w:val="FFFFFF" w:themeColor="background1"/>
                <w:sz w:val="20"/>
                <w:szCs w:val="20"/>
              </w:rPr>
            </w:r>
          </w:p>
        </w:tc>
      </w:tr>
    </w:tbl>
    <w:p>
      <w:pPr>
        <w:pStyle w:val="Normal"/>
        <w:rPr>
          <w:rFonts w:ascii="Garamond" w:hAnsi="Garamond"/>
          <w:sz w:val="20"/>
          <w:szCs w:val="20"/>
        </w:rPr>
      </w:pPr>
      <w:r>
        <w:rPr>
          <w:rFonts w:ascii="Garamond" w:hAnsi="Garamond"/>
          <w:sz w:val="20"/>
          <w:szCs w:val="20"/>
        </w:rPr>
      </w:r>
      <w:r>
        <w:br w:type="page"/>
      </w:r>
    </w:p>
    <w:p>
      <w:pPr>
        <w:pStyle w:val="Normal"/>
        <w:rPr>
          <w:rFonts w:ascii="Garamond" w:hAnsi="Garamond"/>
          <w:sz w:val="20"/>
          <w:szCs w:val="20"/>
        </w:rPr>
      </w:pPr>
      <w:r>
        <w:rPr/>
        <w:drawing>
          <wp:inline distT="0" distB="0" distL="0" distR="0">
            <wp:extent cx="9612630" cy="683895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15"/>
                    <a:stretch>
                      <a:fillRect/>
                    </a:stretch>
                  </pic:blipFill>
                  <pic:spPr bwMode="auto">
                    <a:xfrm>
                      <a:off x="0" y="0"/>
                      <a:ext cx="9612630" cy="6838950"/>
                    </a:xfrm>
                    <a:prstGeom prst="rect">
                      <a:avLst/>
                    </a:prstGeom>
                  </pic:spPr>
                </pic:pic>
              </a:graphicData>
            </a:graphic>
          </wp:inline>
        </w:drawing>
      </w:r>
    </w:p>
    <w:p>
      <w:pPr>
        <w:pStyle w:val="Normal"/>
        <w:rPr>
          <w:rFonts w:ascii="Garamond" w:hAnsi="Garamond"/>
          <w:sz w:val="20"/>
          <w:szCs w:val="20"/>
        </w:rPr>
      </w:pPr>
      <w:r>
        <w:rPr>
          <w:rFonts w:ascii="Garamond" w:hAnsi="Garamond"/>
          <w:sz w:val="20"/>
          <w:szCs w:val="20"/>
        </w:rPr>
      </w:r>
    </w:p>
    <w:p>
      <w:pPr>
        <w:pStyle w:val="CHeadTop"/>
        <w:rPr/>
      </w:pPr>
      <w:r>
        <w:rPr/>
        <w:t>Change Log</w:t>
      </w:r>
    </w:p>
    <w:tbl>
      <w:tblPr>
        <w:tblStyle w:val="TableGrid"/>
        <w:tblW w:w="14940" w:type="dxa"/>
        <w:jc w:val="left"/>
        <w:tblInd w:w="-51" w:type="dxa"/>
        <w:tblCellMar>
          <w:top w:w="0" w:type="dxa"/>
          <w:left w:w="57" w:type="dxa"/>
          <w:bottom w:w="0" w:type="dxa"/>
          <w:right w:w="57" w:type="dxa"/>
        </w:tblCellMar>
        <w:tblLook w:val="04a0" w:noHBand="0" w:noVBand="1" w:firstColumn="1" w:lastRow="0" w:lastColumn="0" w:firstRow="1"/>
      </w:tblPr>
      <w:tblGrid>
        <w:gridCol w:w="1900"/>
        <w:gridCol w:w="2552"/>
        <w:gridCol w:w="10488"/>
      </w:tblGrid>
      <w:tr>
        <w:trPr>
          <w:tblHeader w:val="true"/>
        </w:trPr>
        <w:tc>
          <w:tcPr>
            <w:tcW w:w="4452" w:type="dxa"/>
            <w:gridSpan w:val="2"/>
            <w:tcBorders/>
            <w:shd w:color="auto" w:fill="17365D" w:themeFill="text2" w:themeFillShade="bf" w:val="clear"/>
          </w:tcPr>
          <w:p>
            <w:pPr>
              <w:pStyle w:val="Normal"/>
              <w:rPr>
                <w:rFonts w:ascii="Garamond" w:hAnsi="Garamond"/>
                <w:sz w:val="20"/>
                <w:szCs w:val="20"/>
              </w:rPr>
            </w:pPr>
            <w:r>
              <w:rPr>
                <w:rFonts w:ascii="Garamond" w:hAnsi="Garamond"/>
                <w:sz w:val="20"/>
                <w:szCs w:val="20"/>
              </w:rPr>
              <w:t>Version / Date</w:t>
            </w:r>
          </w:p>
        </w:tc>
        <w:tc>
          <w:tcPr>
            <w:tcW w:w="10488" w:type="dxa"/>
            <w:tcBorders/>
            <w:shd w:color="auto" w:fill="17365D" w:themeFill="text2" w:themeFillShade="bf" w:val="clear"/>
          </w:tcPr>
          <w:p>
            <w:pPr>
              <w:pStyle w:val="Normal"/>
              <w:rPr>
                <w:rFonts w:ascii="Garamond" w:hAnsi="Garamond"/>
                <w:sz w:val="20"/>
                <w:szCs w:val="20"/>
              </w:rPr>
            </w:pPr>
            <w:r>
              <w:rPr>
                <w:rFonts w:ascii="Garamond" w:hAnsi="Garamond"/>
                <w:sz w:val="20"/>
                <w:szCs w:val="20"/>
              </w:rPr>
              <w:t>Comments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30 Jul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Original Draft</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reviewed and updated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15 Aug 2012</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Draft announced OWASP SCP mailing list for comment.</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25 Feb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Release.</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03 Jun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14 Aug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1.03</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18 Sep 2013</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1.04</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01 Feb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1.05</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21 Mar 2014</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1.1</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04 Mar 2015</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1.2</w:t>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29 Jun 2016</w:t>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r>
        <w:trPr/>
        <w:tc>
          <w:tcPr>
            <w:tcW w:w="1900"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2552"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c>
          <w:tcPr>
            <w:tcW w:w="10488" w:type="dxa"/>
            <w:tcBorders/>
            <w:shd w:color="auto" w:fill="auto" w:val="clear"/>
            <w:tcMar>
              <w:top w:w="57" w:type="dxa"/>
              <w:bottom w:w="57" w:type="dxa"/>
            </w:tcMar>
          </w:tcPr>
          <w:p>
            <w:pPr>
              <w:pStyle w:val="Normal"/>
              <w:rPr>
                <w:rFonts w:ascii="Garamond" w:hAnsi="Garamond"/>
                <w:sz w:val="20"/>
                <w:szCs w:val="20"/>
              </w:rPr>
            </w:pPr>
            <w:r>
              <w:rPr>
                <w:rFonts w:ascii="Garamond" w:hAnsi="Garamond"/>
                <w:sz w:val="20"/>
                <w:szCs w:val="20"/>
              </w:rPr>
            </w:r>
          </w:p>
        </w:tc>
      </w:tr>
    </w:tbl>
    <w:p>
      <w:pPr>
        <w:pStyle w:val="Normal"/>
        <w:rPr/>
      </w:pPr>
      <w:r>
        <w:rPr/>
      </w:r>
    </w:p>
    <w:p>
      <w:pPr>
        <w:pStyle w:val="Normal"/>
        <w:rPr/>
      </w:pPr>
      <w:r>
        <w:rPr/>
      </w:r>
    </w:p>
    <w:p>
      <w:pPr>
        <w:pStyle w:val="Normal"/>
        <w:rPr/>
      </w:pPr>
      <w:r>
        <w:rPr/>
      </w:r>
      <w:r>
        <w:br w:type="page"/>
      </w:r>
    </w:p>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7977"/>
        <w:gridCol w:w="7376"/>
      </w:tblGrid>
      <w:tr>
        <w:trPr/>
        <w:tc>
          <w:tcPr>
            <w:tcW w:w="7977" w:type="dxa"/>
            <w:tcBorders>
              <w:top w:val="nil"/>
              <w:left w:val="nil"/>
              <w:bottom w:val="nil"/>
              <w:right w:val="nil"/>
            </w:tcBorders>
          </w:tcPr>
          <w:p>
            <w:pPr>
              <w:pStyle w:val="CHeadTop"/>
              <w:pageBreakBefore/>
              <w:rPr/>
            </w:pPr>
            <w:r>
              <w:rPr/>
              <w:t>Project contributors</w:t>
            </w:r>
          </w:p>
          <w:p>
            <w:pPr>
              <w:pStyle w:val="CHeadTop"/>
              <w:rPr>
                <w:b w:val="false"/>
                <w:b w:val="false"/>
                <w:sz w:val="20"/>
                <w:szCs w:val="20"/>
              </w:rPr>
            </w:pPr>
            <w:r>
              <w:rPr>
                <w:b w:val="false"/>
                <w:sz w:val="20"/>
                <w:szCs w:val="20"/>
              </w:rPr>
              <w:t xml:space="preserve">All OWASP projects rely on the voluntary efforts of people in the software development and information security sectors. </w:t>
            </w:r>
          </w:p>
          <w:p>
            <w:pPr>
              <w:pStyle w:val="CHeadTop"/>
              <w:rPr>
                <w:b w:val="false"/>
                <w:b w:val="false"/>
                <w:sz w:val="20"/>
                <w:szCs w:val="20"/>
              </w:rPr>
            </w:pPr>
            <w:r>
              <w:rPr>
                <w:b w:val="false"/>
                <w:sz w:val="20"/>
                <w:szCs w:val="20"/>
              </w:rPr>
              <w:t xml:space="preserve">They have contributed their time and energy to make suggestions, provide feedback, write, review and edit documentation, give encouragement, trial the game, and promote the concept. </w:t>
            </w:r>
          </w:p>
          <w:p>
            <w:pPr>
              <w:pStyle w:val="CHeadTop"/>
              <w:rPr>
                <w:b w:val="false"/>
                <w:b w:val="false"/>
                <w:sz w:val="20"/>
                <w:szCs w:val="20"/>
              </w:rPr>
            </w:pPr>
            <w:r>
              <w:rPr>
                <w:b w:val="false"/>
                <w:sz w:val="20"/>
                <w:szCs w:val="20"/>
              </w:rPr>
              <w:t xml:space="preserve">Without all their efforts, the project would not have progressed to this point. </w:t>
            </w:r>
          </w:p>
          <w:p>
            <w:pPr>
              <w:pStyle w:val="CHeadTop"/>
              <w:rPr>
                <w:b w:val="false"/>
                <w:b w:val="false"/>
                <w:sz w:val="20"/>
                <w:szCs w:val="20"/>
              </w:rPr>
            </w:pPr>
            <w:r>
              <w:rPr>
                <w:b w:val="false"/>
                <w:sz w:val="20"/>
                <w:szCs w:val="20"/>
              </w:rPr>
              <w:t>Please contact the mailing list or project leaders directly, if anyone is missing from the below lists.</w:t>
            </w:r>
          </w:p>
          <w:p>
            <w:pPr>
              <w:pStyle w:val="CHeadTop"/>
              <w:rPr>
                <w:sz w:val="20"/>
                <w:szCs w:val="20"/>
              </w:rPr>
            </w:pPr>
            <w:r>
              <w:rPr>
                <w:sz w:val="20"/>
                <w:szCs w:val="20"/>
              </w:rPr>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2587"/>
              <w:gridCol w:w="2587"/>
              <w:gridCol w:w="2587"/>
            </w:tblGrid>
            <w:tr>
              <w:trPr/>
              <w:tc>
                <w:tcPr>
                  <w:tcW w:w="2587" w:type="dxa"/>
                  <w:tcBorders>
                    <w:top w:val="nil"/>
                    <w:left w:val="nil"/>
                    <w:bottom w:val="nil"/>
                    <w:right w:val="nil"/>
                  </w:tcBorders>
                </w:tcPr>
                <w:p>
                  <w:pPr>
                    <w:pStyle w:val="CHeadTop"/>
                    <w:numPr>
                      <w:ilvl w:val="0"/>
                      <w:numId w:val="4"/>
                    </w:numPr>
                    <w:spacing w:before="0" w:after="40"/>
                    <w:ind w:left="714" w:hanging="357"/>
                    <w:rPr>
                      <w:rFonts w:eastAsia="ＭＳ ゴシック" w:cs="" w:cstheme="majorBidi" w:eastAsiaTheme="majorEastAsia"/>
                      <w:b w:val="false"/>
                      <w:b w:val="false"/>
                      <w:bCs/>
                      <w:color w:val="243F60" w:themeColor="accent1" w:themeShade="7f"/>
                      <w:sz w:val="20"/>
                      <w:szCs w:val="20"/>
                    </w:rPr>
                  </w:pPr>
                  <w:r>
                    <w:rPr>
                      <w:b w:val="false"/>
                      <w:sz w:val="20"/>
                      <w:szCs w:val="20"/>
                    </w:rPr>
                    <w:t>Simon Bennetts</w:t>
                  </w:r>
                </w:p>
                <w:p>
                  <w:pPr>
                    <w:pStyle w:val="CHeadTop"/>
                    <w:numPr>
                      <w:ilvl w:val="0"/>
                      <w:numId w:val="4"/>
                    </w:numPr>
                    <w:spacing w:before="0" w:after="40"/>
                    <w:ind w:left="714" w:hanging="357"/>
                    <w:rPr>
                      <w:sz w:val="20"/>
                      <w:szCs w:val="20"/>
                    </w:rPr>
                  </w:pPr>
                  <w:r>
                    <w:rPr>
                      <w:b w:val="false"/>
                      <w:sz w:val="20"/>
                      <w:szCs w:val="20"/>
                    </w:rPr>
                    <w:t>Tom Brennan</w:t>
                  </w:r>
                </w:p>
                <w:p>
                  <w:pPr>
                    <w:pStyle w:val="CHeadTop"/>
                    <w:numPr>
                      <w:ilvl w:val="0"/>
                      <w:numId w:val="4"/>
                    </w:numPr>
                    <w:spacing w:before="0" w:after="40"/>
                    <w:ind w:left="714" w:hanging="357"/>
                    <w:rPr>
                      <w:b w:val="false"/>
                      <w:b w:val="false"/>
                      <w:sz w:val="20"/>
                      <w:szCs w:val="20"/>
                    </w:rPr>
                  </w:pPr>
                  <w:r>
                    <w:rPr>
                      <w:b w:val="false"/>
                      <w:sz w:val="20"/>
                      <w:szCs w:val="20"/>
                    </w:rPr>
                    <w:t>Fabio Cerullo</w:t>
                  </w:r>
                </w:p>
                <w:p>
                  <w:pPr>
                    <w:pStyle w:val="CHeadTop"/>
                    <w:numPr>
                      <w:ilvl w:val="0"/>
                      <w:numId w:val="4"/>
                    </w:numPr>
                    <w:spacing w:before="0" w:after="40"/>
                    <w:ind w:left="714" w:hanging="357"/>
                    <w:rPr>
                      <w:b w:val="false"/>
                      <w:b w:val="false"/>
                      <w:sz w:val="20"/>
                      <w:szCs w:val="20"/>
                    </w:rPr>
                  </w:pPr>
                  <w:r>
                    <w:rPr>
                      <w:b w:val="false"/>
                      <w:sz w:val="20"/>
                      <w:szCs w:val="20"/>
                    </w:rPr>
                    <w:t>Oana Cornea</w:t>
                  </w:r>
                </w:p>
                <w:p>
                  <w:pPr>
                    <w:pStyle w:val="CHeadTop"/>
                    <w:numPr>
                      <w:ilvl w:val="0"/>
                      <w:numId w:val="4"/>
                    </w:numPr>
                    <w:spacing w:before="0" w:after="40"/>
                    <w:ind w:left="714" w:hanging="357"/>
                    <w:rPr>
                      <w:b w:val="false"/>
                      <w:b w:val="false"/>
                      <w:sz w:val="20"/>
                      <w:szCs w:val="20"/>
                    </w:rPr>
                  </w:pPr>
                  <w:r>
                    <w:rPr>
                      <w:b w:val="false"/>
                      <w:sz w:val="20"/>
                      <w:szCs w:val="20"/>
                    </w:rPr>
                    <w:t>Johanna Curiel</w:t>
                  </w:r>
                </w:p>
                <w:p>
                  <w:pPr>
                    <w:pStyle w:val="CHeadTop"/>
                    <w:numPr>
                      <w:ilvl w:val="0"/>
                      <w:numId w:val="4"/>
                    </w:numPr>
                    <w:spacing w:before="0" w:after="40"/>
                    <w:ind w:left="714" w:hanging="357"/>
                    <w:rPr>
                      <w:b w:val="false"/>
                      <w:b w:val="false"/>
                      <w:sz w:val="20"/>
                      <w:szCs w:val="20"/>
                    </w:rPr>
                  </w:pPr>
                  <w:r>
                    <w:rPr>
                      <w:b w:val="false"/>
                      <w:sz w:val="20"/>
                      <w:szCs w:val="20"/>
                    </w:rPr>
                    <w:t>Todd Dahl</w:t>
                  </w:r>
                </w:p>
                <w:p>
                  <w:pPr>
                    <w:pStyle w:val="CHeadTop"/>
                    <w:numPr>
                      <w:ilvl w:val="0"/>
                      <w:numId w:val="4"/>
                    </w:numPr>
                    <w:spacing w:before="0" w:after="40"/>
                    <w:ind w:left="714" w:hanging="357"/>
                    <w:rPr>
                      <w:b w:val="false"/>
                      <w:b w:val="false"/>
                      <w:sz w:val="20"/>
                      <w:szCs w:val="20"/>
                    </w:rPr>
                  </w:pPr>
                  <w:r>
                    <w:rPr>
                      <w:b w:val="false"/>
                      <w:sz w:val="20"/>
                      <w:szCs w:val="20"/>
                    </w:rPr>
                    <w:t>Luis Enriquez</w:t>
                  </w:r>
                </w:p>
                <w:p>
                  <w:pPr>
                    <w:pStyle w:val="CHeadTop"/>
                    <w:numPr>
                      <w:ilvl w:val="0"/>
                      <w:numId w:val="4"/>
                    </w:numPr>
                    <w:spacing w:before="0" w:after="40"/>
                    <w:ind w:left="714" w:hanging="357"/>
                    <w:rPr>
                      <w:b w:val="false"/>
                      <w:b w:val="false"/>
                      <w:sz w:val="20"/>
                      <w:szCs w:val="20"/>
                    </w:rPr>
                  </w:pPr>
                  <w:r>
                    <w:rPr>
                      <w:b w:val="false"/>
                      <w:sz w:val="20"/>
                      <w:szCs w:val="20"/>
                    </w:rPr>
                    <w:t>Ken Ferris</w:t>
                  </w:r>
                </w:p>
                <w:p>
                  <w:pPr>
                    <w:pStyle w:val="CHeadTop"/>
                    <w:numPr>
                      <w:ilvl w:val="0"/>
                      <w:numId w:val="4"/>
                    </w:numPr>
                    <w:spacing w:before="0" w:after="40"/>
                    <w:ind w:left="714" w:hanging="357"/>
                    <w:rPr>
                      <w:b w:val="false"/>
                      <w:b w:val="false"/>
                      <w:sz w:val="20"/>
                      <w:szCs w:val="20"/>
                    </w:rPr>
                  </w:pPr>
                  <w:r>
                    <w:rPr>
                      <w:b w:val="false"/>
                      <w:sz w:val="20"/>
                      <w:szCs w:val="20"/>
                      <w:lang w:val="en-US"/>
                    </w:rPr>
                    <w:t>Darío De Filippis</w:t>
                  </w:r>
                </w:p>
              </w:tc>
              <w:tc>
                <w:tcPr>
                  <w:tcW w:w="2587" w:type="dxa"/>
                  <w:tcBorders>
                    <w:top w:val="nil"/>
                    <w:left w:val="nil"/>
                    <w:bottom w:val="nil"/>
                    <w:right w:val="nil"/>
                  </w:tcBorders>
                </w:tcPr>
                <w:p>
                  <w:pPr>
                    <w:pStyle w:val="CHeadTop"/>
                    <w:numPr>
                      <w:ilvl w:val="0"/>
                      <w:numId w:val="4"/>
                    </w:numPr>
                    <w:spacing w:before="0" w:after="40"/>
                    <w:ind w:left="527" w:hanging="357"/>
                    <w:rPr>
                      <w:b w:val="false"/>
                      <w:b w:val="false"/>
                      <w:sz w:val="20"/>
                      <w:szCs w:val="20"/>
                    </w:rPr>
                  </w:pPr>
                  <w:r>
                    <w:rPr>
                      <w:b w:val="false"/>
                      <w:sz w:val="20"/>
                      <w:szCs w:val="20"/>
                    </w:rPr>
                    <w:t>Sebastien Gioria</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Tobias Gondrom</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Timo Goosen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 xml:space="preserve">Anthony Harrison </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John Herrlin</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Jerry Hoff</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Marios Kourtesis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Antonis Manaras</w:t>
                  </w:r>
                </w:p>
                <w:p>
                  <w:pPr>
                    <w:pStyle w:val="CHeadTop"/>
                    <w:numPr>
                      <w:ilvl w:val="0"/>
                      <w:numId w:val="4"/>
                    </w:numPr>
                    <w:spacing w:before="0" w:after="40"/>
                    <w:ind w:left="527" w:hanging="357"/>
                    <w:rPr>
                      <w:rFonts w:eastAsia="ＭＳ ゴシック" w:cs="" w:cstheme="majorBidi" w:eastAsiaTheme="majorEastAsia"/>
                      <w:b w:val="false"/>
                      <w:b w:val="false"/>
                      <w:bCs/>
                      <w:color w:val="243F60" w:themeColor="accent1" w:themeShade="7f"/>
                      <w:sz w:val="20"/>
                      <w:szCs w:val="20"/>
                    </w:rPr>
                  </w:pPr>
                  <w:r>
                    <w:rPr>
                      <w:b w:val="false"/>
                      <w:sz w:val="20"/>
                      <w:szCs w:val="20"/>
                    </w:rPr>
                    <w:t>Jim Manico</w:t>
                  </w:r>
                </w:p>
              </w:tc>
              <w:tc>
                <w:tcPr>
                  <w:tcW w:w="2587" w:type="dxa"/>
                  <w:tcBorders>
                    <w:top w:val="nil"/>
                    <w:left w:val="nil"/>
                    <w:bottom w:val="nil"/>
                    <w:right w:val="nil"/>
                  </w:tcBorders>
                </w:tcPr>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Mark Miller</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Cam Morris</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lang w:val="en-US"/>
                    </w:rPr>
                    <w:t>Susana Romaniz</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Ravishankar Sahadevan</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rFonts w:eastAsia="ＭＳ ゴシック" w:cs="" w:cstheme="majorBidi" w:eastAsiaTheme="majorEastAsia"/>
                      <w:b w:val="false"/>
                      <w:bCs/>
                      <w:color w:val="243F60" w:themeColor="accent1" w:themeShade="7f"/>
                      <w:sz w:val="20"/>
                      <w:szCs w:val="20"/>
                    </w:rPr>
                    <w:t>Tao Sauvage</w:t>
                  </w:r>
                </w:p>
                <w:p>
                  <w:pPr>
                    <w:pStyle w:val="CHeadTop"/>
                    <w:numPr>
                      <w:ilvl w:val="0"/>
                      <w:numId w:val="4"/>
                    </w:numPr>
                    <w:spacing w:before="0" w:after="40"/>
                    <w:ind w:left="494" w:hanging="357"/>
                    <w:rPr>
                      <w:rFonts w:eastAsia="ＭＳ ゴシック" w:cs="" w:cstheme="majorBidi" w:eastAsiaTheme="majorEastAsia"/>
                      <w:b w:val="false"/>
                      <w:b w:val="false"/>
                      <w:bCs/>
                      <w:color w:val="243F60" w:themeColor="accent1" w:themeShade="7f"/>
                      <w:sz w:val="20"/>
                      <w:szCs w:val="20"/>
                    </w:rPr>
                  </w:pPr>
                  <w:r>
                    <w:rPr>
                      <w:b w:val="false"/>
                      <w:sz w:val="20"/>
                      <w:szCs w:val="20"/>
                    </w:rPr>
                    <w:t>Stephen de Vries</w:t>
                  </w:r>
                </w:p>
                <w:p>
                  <w:pPr>
                    <w:pStyle w:val="CHeadTop"/>
                    <w:numPr>
                      <w:ilvl w:val="0"/>
                      <w:numId w:val="4"/>
                    </w:numPr>
                    <w:spacing w:before="0" w:after="60"/>
                    <w:ind w:left="494" w:hanging="357"/>
                    <w:rPr>
                      <w:b w:val="false"/>
                      <w:b w:val="false"/>
                      <w:sz w:val="20"/>
                      <w:szCs w:val="20"/>
                    </w:rPr>
                  </w:pPr>
                  <w:r>
                    <w:rPr>
                      <w:b w:val="false"/>
                      <w:sz w:val="20"/>
                      <w:szCs w:val="20"/>
                    </w:rPr>
                    <w:t>Colin Watson</w:t>
                  </w:r>
                </w:p>
              </w:tc>
            </w:tr>
          </w:tbl>
          <w:p>
            <w:pPr>
              <w:pStyle w:val="CHeadTop"/>
              <w:rPr>
                <w:b w:val="false"/>
                <w:b w:val="false"/>
                <w:sz w:val="20"/>
                <w:szCs w:val="20"/>
              </w:rPr>
            </w:pPr>
            <w:r>
              <w:rPr>
                <w:b w:val="false"/>
                <w:sz w:val="20"/>
                <w:szCs w:val="20"/>
              </w:rPr>
            </w:r>
          </w:p>
          <w:p>
            <w:pPr>
              <w:pStyle w:val="CHeadTop"/>
              <w:numPr>
                <w:ilvl w:val="0"/>
                <w:numId w:val="5"/>
              </w:numPr>
              <w:rPr>
                <w:b w:val="false"/>
                <w:b w:val="false"/>
                <w:sz w:val="20"/>
                <w:szCs w:val="20"/>
              </w:rPr>
            </w:pPr>
            <w:r>
              <w:rPr>
                <w:b w:val="false"/>
                <w:sz w:val="20"/>
                <w:szCs w:val="20"/>
              </w:rPr>
              <w:t>•OWASP’s hard-working employees, especially Kate Hartmann</w:t>
            </w:r>
          </w:p>
          <w:p>
            <w:pPr>
              <w:pStyle w:val="CHeadTop"/>
              <w:numPr>
                <w:ilvl w:val="0"/>
                <w:numId w:val="5"/>
              </w:numPr>
              <w:rPr>
                <w:b w:val="false"/>
                <w:b w:val="false"/>
                <w:sz w:val="20"/>
                <w:szCs w:val="20"/>
              </w:rPr>
            </w:pPr>
            <w:r>
              <w:rPr>
                <w:b w:val="false"/>
                <w:sz w:val="20"/>
                <w:szCs w:val="20"/>
              </w:rPr>
              <w:t>•Attendees at OWASP London, OWASP Manchester, OWASP Netherlands and OWASP Scotland chapter meetings, and the London Gamification meetup, who made helpful suggestions and asked challenging questions</w:t>
            </w:r>
          </w:p>
          <w:p>
            <w:pPr>
              <w:pStyle w:val="CHeadTop"/>
              <w:numPr>
                <w:ilvl w:val="0"/>
                <w:numId w:val="5"/>
              </w:numPr>
              <w:rPr>
                <w:b w:val="false"/>
                <w:b w:val="false"/>
                <w:sz w:val="20"/>
                <w:szCs w:val="20"/>
              </w:rPr>
            </w:pPr>
            <w:r>
              <w:rPr>
                <w:b w:val="false"/>
                <w:sz w:val="20"/>
                <w:szCs w:val="20"/>
              </w:rPr>
              <w:t>•Blackfoot UK Limited for gifting print-ready design files and hundreds of professionally printed card decks for distribution by post and at OWASP chapter meetings</w:t>
            </w:r>
          </w:p>
          <w:p>
            <w:pPr>
              <w:pStyle w:val="CHeadTop"/>
              <w:numPr>
                <w:ilvl w:val="0"/>
                <w:numId w:val="5"/>
              </w:numPr>
              <w:rPr>
                <w:b w:val="false"/>
                <w:b w:val="false"/>
                <w:sz w:val="20"/>
                <w:szCs w:val="20"/>
              </w:rPr>
            </w:pPr>
            <w:r>
              <w:rPr>
                <w:b w:val="false"/>
                <w:sz w:val="20"/>
                <w:szCs w:val="20"/>
              </w:rPr>
              <w:t>•OWASP NYC for creating an OWASP box design and distributing packs at AppSec USA 2014.</w:t>
            </w:r>
          </w:p>
          <w:p>
            <w:pPr>
              <w:pStyle w:val="CHeadMiddle"/>
              <w:rPr/>
            </w:pPr>
            <w:r>
              <w:rPr/>
              <w:t>Podcasts and videos</w:t>
            </w:r>
          </w:p>
          <w:p>
            <w:pPr>
              <w:pStyle w:val="Normal"/>
              <w:rPr>
                <w:rFonts w:ascii="Garamond" w:hAnsi="Garamond"/>
                <w:sz w:val="20"/>
                <w:szCs w:val="20"/>
              </w:rPr>
            </w:pPr>
            <w:r>
              <w:rPr>
                <w:rFonts w:ascii="Garamond" w:hAnsi="Garamond"/>
                <w:sz w:val="20"/>
                <w:szCs w:val="20"/>
              </w:rPr>
              <w:t>The following supporting OWASP Cornucopia resources are available online:</w:t>
              <w:br/>
            </w:r>
          </w:p>
          <w:p>
            <w:pPr>
              <w:pStyle w:val="CHeadMiddle"/>
              <w:numPr>
                <w:ilvl w:val="0"/>
                <w:numId w:val="6"/>
              </w:numPr>
              <w:spacing w:before="0" w:after="120"/>
              <w:ind w:left="714" w:hanging="357"/>
              <w:rPr>
                <w:b w:val="false"/>
                <w:b w:val="false"/>
                <w:sz w:val="20"/>
                <w:szCs w:val="20"/>
              </w:rPr>
            </w:pPr>
            <w:r>
              <w:rPr>
                <w:b w:val="false"/>
                <w:sz w:val="20"/>
                <w:szCs w:val="20"/>
              </w:rPr>
              <w:t>Video - Using the cards, created during AppSec EU 2015 project summit, 20th May 2015</w:t>
              <w:br/>
            </w:r>
            <w:hyperlink r:id="rId16">
              <w:r>
                <w:rPr>
                  <w:rStyle w:val="InternetLink"/>
                  <w:b w:val="false"/>
                  <w:sz w:val="20"/>
                  <w:szCs w:val="20"/>
                </w:rPr>
                <w:t>https://www.youtube.com/watch?v=i5Y0akWj31k</w:t>
              </w:r>
            </w:hyperlink>
          </w:p>
          <w:p>
            <w:pPr>
              <w:pStyle w:val="CHeadMiddle"/>
              <w:numPr>
                <w:ilvl w:val="0"/>
                <w:numId w:val="6"/>
              </w:numPr>
              <w:spacing w:before="0" w:after="120"/>
              <w:ind w:left="714" w:hanging="357"/>
              <w:rPr>
                <w:b w:val="false"/>
                <w:b w:val="false"/>
                <w:sz w:val="20"/>
                <w:szCs w:val="20"/>
              </w:rPr>
            </w:pPr>
            <w:r>
              <w:rPr>
                <w:b w:val="false"/>
                <w:sz w:val="20"/>
                <w:szCs w:val="20"/>
              </w:rPr>
              <w:t>Podcast interview, OWASP 24/7 Podcast channel, 21st March 2014</w:t>
              <w:br/>
            </w:r>
            <w:hyperlink r:id="rId17">
              <w:r>
                <w:rPr>
                  <w:rStyle w:val="InternetLink"/>
                  <w:b w:val="false"/>
                  <w:sz w:val="20"/>
                  <w:szCs w:val="20"/>
                </w:rPr>
                <w:t>http://trustedsoftwarealliance.com/2014/03/21/the-owasp-cornucopia-project-with-colin-watson/</w:t>
              </w:r>
            </w:hyperlink>
          </w:p>
          <w:p>
            <w:pPr>
              <w:pStyle w:val="CHeadMiddle"/>
              <w:numPr>
                <w:ilvl w:val="0"/>
                <w:numId w:val="6"/>
              </w:numPr>
              <w:spacing w:before="0" w:after="120"/>
              <w:ind w:left="714" w:hanging="357"/>
              <w:rPr>
                <w:b w:val="false"/>
                <w:b w:val="false"/>
                <w:sz w:val="20"/>
                <w:szCs w:val="20"/>
              </w:rPr>
            </w:pPr>
            <w:r>
              <w:rPr>
                <w:b w:val="false"/>
                <w:sz w:val="20"/>
                <w:szCs w:val="20"/>
              </w:rPr>
              <w:tab/>
              <w:t>Video of presentation, OWASP EU Tour 2013 London, 3rd June 2013</w:t>
              <w:br/>
            </w:r>
            <w:hyperlink r:id="rId18">
              <w:r>
                <w:rPr>
                  <w:rStyle w:val="InternetLink"/>
                  <w:b w:val="false"/>
                  <w:sz w:val="20"/>
                  <w:szCs w:val="20"/>
                </w:rPr>
                <w:t>https://www.youtube.com/watch?v=Q_LE-8xNXVk</w:t>
              </w:r>
            </w:hyperlink>
          </w:p>
          <w:p>
            <w:pPr>
              <w:pStyle w:val="CHeadMiddle"/>
              <w:spacing w:before="0" w:after="120"/>
              <w:rPr>
                <w:b w:val="false"/>
                <w:b w:val="false"/>
                <w:sz w:val="20"/>
                <w:szCs w:val="20"/>
              </w:rPr>
            </w:pPr>
            <w:r>
              <w:rPr>
                <w:b w:val="false"/>
                <w:sz w:val="20"/>
                <w:szCs w:val="20"/>
              </w:rPr>
              <w:t>See the project website for further information and presentation materials.</w:t>
            </w:r>
          </w:p>
        </w:tc>
        <w:tc>
          <w:tcPr>
            <w:tcW w:w="7376" w:type="dxa"/>
            <w:tcBorders>
              <w:top w:val="single" w:sz="4" w:space="0" w:color="000000"/>
              <w:left w:val="single" w:sz="4" w:space="0" w:color="000000"/>
              <w:bottom w:val="single" w:sz="4" w:space="0" w:color="000000"/>
              <w:right w:val="single" w:sz="4" w:space="0" w:color="000000"/>
            </w:tcBorders>
          </w:tcPr>
          <w:p>
            <w:pPr>
              <w:pStyle w:val="Normal"/>
              <w:rPr>
                <w:rFonts w:ascii="Garamond" w:hAnsi="Garamond"/>
                <w:sz w:val="20"/>
                <w:szCs w:val="20"/>
              </w:rPr>
            </w:pPr>
            <w:r>
              <w:rPr>
                <w:rFonts w:ascii="Garamond" w:hAnsi="Garamond"/>
                <w:sz w:val="20"/>
                <w:szCs w:val="20"/>
              </w:rPr>
            </w:r>
          </w:p>
          <w:p>
            <w:pPr>
              <w:pStyle w:val="Normal"/>
              <w:rPr>
                <w:rFonts w:ascii="Garamond" w:hAnsi="Garamond"/>
                <w:sz w:val="20"/>
                <w:szCs w:val="20"/>
              </w:rPr>
            </w:pPr>
            <w:r>
              <w:rPr/>
              <w:drawing>
                <wp:inline distT="0" distB="0" distL="0" distR="0">
                  <wp:extent cx="4508500" cy="6619875"/>
                  <wp:effectExtent l="0" t="0" r="0" b="0"/>
                  <wp:docPr id="4"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
                          <pic:cNvPicPr>
                            <a:picLocks noChangeAspect="1" noChangeArrowheads="1"/>
                          </pic:cNvPicPr>
                        </pic:nvPicPr>
                        <pic:blipFill>
                          <a:blip r:embed="rId19"/>
                          <a:stretch>
                            <a:fillRect/>
                          </a:stretch>
                        </pic:blipFill>
                        <pic:spPr bwMode="auto">
                          <a:xfrm>
                            <a:off x="0" y="0"/>
                            <a:ext cx="4508500" cy="6619875"/>
                          </a:xfrm>
                          <a:prstGeom prst="rect">
                            <a:avLst/>
                          </a:prstGeom>
                        </pic:spPr>
                      </pic:pic>
                    </a:graphicData>
                  </a:graphic>
                </wp:inline>
              </w:drawing>
            </w:r>
          </w:p>
        </w:tc>
      </w:tr>
    </w:tbl>
    <w:p>
      <w:pPr>
        <w:pStyle w:val="Normal"/>
        <w:rPr>
          <w:rFonts w:ascii="Garamond" w:hAnsi="Garamond"/>
          <w:sz w:val="20"/>
          <w:szCs w:val="20"/>
        </w:rPr>
      </w:pPr>
      <w:r>
        <w:rPr/>
      </w:r>
    </w:p>
    <w:sectPr>
      <w:headerReference w:type="default" r:id="rId20"/>
      <w:type w:val="nextPage"/>
      <w:pgSz w:orient="landscape" w:w="16838" w:h="11906"/>
      <w:pgMar w:left="851" w:right="851" w:header="227" w:top="567" w:footer="0" w:bottom="284"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Lucida Grande">
    <w:charset w:val="01"/>
    <w:family w:val="roman"/>
    <w:pitch w:val="variable"/>
  </w:font>
  <w:font w:name="Liberation Sans">
    <w:altName w:val="Arial"/>
    <w:charset w:val="01"/>
    <w:family w:val="roman"/>
    <w:pitch w:val="variable"/>
  </w:font>
  <w:font w:name="Garamond">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5354" w:type="dxa"/>
      <w:jc w:val="left"/>
      <w:tblInd w:w="0" w:type="dxa"/>
      <w:tblCellMar>
        <w:top w:w="0" w:type="dxa"/>
        <w:left w:w="108" w:type="dxa"/>
        <w:bottom w:w="0" w:type="dxa"/>
        <w:right w:w="108" w:type="dxa"/>
      </w:tblCellMar>
      <w:tblLook w:val="04a0" w:noHBand="0" w:noVBand="1" w:firstColumn="1" w:lastRow="0" w:lastColumn="0" w:firstRow="1"/>
    </w:tblPr>
    <w:tblGrid>
      <w:gridCol w:w="5352"/>
      <w:gridCol w:w="2693"/>
      <w:gridCol w:w="7309"/>
    </w:tblGrid>
    <w:tr>
      <w:trPr/>
      <w:tc>
        <w:tcPr>
          <w:tcW w:w="5352" w:type="dxa"/>
          <w:tcBorders>
            <w:top w:val="nil"/>
            <w:left w:val="nil"/>
            <w:bottom w:val="nil"/>
            <w:right w:val="nil"/>
          </w:tcBorders>
        </w:tcPr>
        <w:p>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sz w:val="16"/>
              <w:szCs w:val="16"/>
              <w:rFonts w:ascii="Garamond" w:hAnsi="Garamond"/>
              <w:color w:val="BFBFBF"/>
            </w:rPr>
            <w:instrText> TITLE </w:instrText>
          </w:r>
          <w:r>
            <w:rPr>
              <w:sz w:val="16"/>
              <w:szCs w:val="16"/>
              <w:rFonts w:ascii="Garamond" w:hAnsi="Garamond"/>
              <w:color w:val="BFBFBF"/>
            </w:rPr>
            <w:fldChar w:fldCharType="separate"/>
          </w:r>
          <w:r>
            <w:rPr>
              <w:sz w:val="16"/>
              <w:szCs w:val="16"/>
              <w:rFonts w:ascii="Garamond" w:hAnsi="Garamond"/>
              <w:color w:val="BFBFBF"/>
            </w:rPr>
            <w:t>OWASP Cornucopia Ecommerce Website Edition</w:t>
          </w:r>
          <w:r>
            <w:rPr>
              <w:sz w:val="16"/>
              <w:szCs w:val="16"/>
              <w:rFonts w:ascii="Garamond" w:hAnsi="Garamond"/>
              <w:color w:val="BFBFBF"/>
            </w:rPr>
            <w:fldChar w:fldCharType="end"/>
          </w:r>
          <w:r>
            <w:rPr>
              <w:rFonts w:ascii="Garamond" w:hAnsi="Garamond"/>
              <w:color w:val="BFBFBF" w:themeColor="background1" w:themeShade="bf"/>
              <w:sz w:val="16"/>
              <w:szCs w:val="16"/>
            </w:rPr>
            <w:t xml:space="preserve">, </w:t>
          </w:r>
          <w:r>
            <w:rPr>
              <w:rFonts w:ascii="Garamond" w:hAnsi="Garamond"/>
              <w:color w:val="BFBFBF"/>
              <w:sz w:val="16"/>
              <w:szCs w:val="16"/>
            </w:rPr>
            <w:fldChar w:fldCharType="begin"/>
          </w:r>
          <w:r>
            <w:rPr>
              <w:sz w:val="16"/>
              <w:szCs w:val="16"/>
              <w:rFonts w:ascii="Garamond" w:hAnsi="Garamond"/>
              <w:color w:val="BFBFBF"/>
            </w:rPr>
            <w:instrText> SUBJECT </w:instrText>
          </w:r>
          <w:r>
            <w:rPr>
              <w:sz w:val="16"/>
              <w:szCs w:val="16"/>
              <w:rFonts w:ascii="Garamond" w:hAnsi="Garamond"/>
              <w:color w:val="BFBFBF"/>
            </w:rPr>
            <w:fldChar w:fldCharType="separate"/>
          </w:r>
          <w:r>
            <w:rPr>
              <w:sz w:val="16"/>
              <w:szCs w:val="16"/>
              <w:rFonts w:ascii="Garamond" w:hAnsi="Garamond"/>
              <w:color w:val="BFBFBF"/>
            </w:rPr>
            <w:t>v1.20-EN</w:t>
          </w:r>
          <w:r>
            <w:rPr>
              <w:sz w:val="16"/>
              <w:szCs w:val="16"/>
              <w:rFonts w:ascii="Garamond" w:hAnsi="Garamond"/>
              <w:color w:val="BFBFBF"/>
            </w:rPr>
            <w:fldChar w:fldCharType="end"/>
          </w:r>
          <w:r>
            <w:rPr>
              <w:rFonts w:ascii="Garamond" w:hAnsi="Garamond"/>
              <w:color w:val="BFBFBF" w:themeColor="background1" w:themeShade="bf"/>
              <w:sz w:val="16"/>
              <w:szCs w:val="16"/>
            </w:rPr>
            <w:t xml:space="preserve">, Page </w:t>
          </w:r>
          <w:r>
            <w:rPr>
              <w:rFonts w:ascii="Garamond" w:hAnsi="Garamond"/>
              <w:color w:val="BFBFBF"/>
              <w:sz w:val="16"/>
              <w:szCs w:val="16"/>
            </w:rPr>
            <w:fldChar w:fldCharType="begin"/>
          </w:r>
          <w:r>
            <w:rPr>
              <w:sz w:val="16"/>
              <w:szCs w:val="16"/>
              <w:rFonts w:ascii="Garamond" w:hAnsi="Garamond"/>
              <w:color w:val="BFBFBF"/>
            </w:rPr>
            <w:instrText> PAGE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r>
            <w:rPr>
              <w:rFonts w:ascii="Garamond" w:hAnsi="Garamond"/>
              <w:color w:val="BFBFBF" w:themeColor="background1" w:themeShade="bf"/>
              <w:sz w:val="16"/>
              <w:szCs w:val="16"/>
            </w:rPr>
            <w:t xml:space="preserve"> of </w:t>
          </w:r>
          <w:r>
            <w:rPr>
              <w:rFonts w:ascii="Garamond" w:hAnsi="Garamond"/>
              <w:color w:val="BFBFBF"/>
              <w:sz w:val="16"/>
              <w:szCs w:val="16"/>
            </w:rPr>
            <w:fldChar w:fldCharType="begin"/>
          </w:r>
          <w:r>
            <w:rPr>
              <w:sz w:val="16"/>
              <w:szCs w:val="16"/>
              <w:rFonts w:ascii="Garamond" w:hAnsi="Garamond"/>
              <w:color w:val="BFBFBF"/>
            </w:rPr>
            <w:instrText> NUMPAGES </w:instrText>
          </w:r>
          <w:r>
            <w:rPr>
              <w:sz w:val="16"/>
              <w:szCs w:val="16"/>
              <w:rFonts w:ascii="Garamond" w:hAnsi="Garamond"/>
              <w:color w:val="BFBFBF"/>
            </w:rPr>
            <w:fldChar w:fldCharType="separate"/>
          </w:r>
          <w:r>
            <w:rPr>
              <w:sz w:val="16"/>
              <w:szCs w:val="16"/>
              <w:rFonts w:ascii="Garamond" w:hAnsi="Garamond"/>
              <w:color w:val="BFBFBF"/>
            </w:rPr>
            <w:t>25</w:t>
          </w:r>
          <w:r>
            <w:rPr>
              <w:sz w:val="16"/>
              <w:szCs w:val="16"/>
              <w:rFonts w:ascii="Garamond" w:hAnsi="Garamond"/>
              <w:color w:val="BFBFBF"/>
            </w:rPr>
            <w:fldChar w:fldCharType="end"/>
          </w:r>
        </w:p>
      </w:tc>
      <w:tc>
        <w:tcPr>
          <w:tcW w:w="2693" w:type="dxa"/>
          <w:tcBorders>
            <w:top w:val="nil"/>
            <w:left w:val="nil"/>
            <w:bottom w:val="nil"/>
            <w:right w:val="nil"/>
          </w:tcBorders>
        </w:tcPr>
        <w:p>
          <w:pPr>
            <w:pStyle w:val="Header"/>
            <w:jc w:val="center"/>
            <w:rPr>
              <w:rFonts w:ascii="Garamond" w:hAnsi="Garamond"/>
              <w:sz w:val="16"/>
              <w:szCs w:val="16"/>
            </w:rPr>
          </w:pPr>
          <w:r>
            <w:rPr>
              <w:rFonts w:ascii="Garamond" w:hAnsi="Garamond"/>
              <w:sz w:val="16"/>
              <w:szCs w:val="16"/>
            </w:rPr>
          </w:r>
        </w:p>
      </w:tc>
      <w:tc>
        <w:tcPr>
          <w:tcW w:w="7309" w:type="dxa"/>
          <w:tcBorders>
            <w:top w:val="nil"/>
            <w:left w:val="nil"/>
            <w:bottom w:val="nil"/>
            <w:right w:val="nil"/>
          </w:tcBorders>
        </w:tcPr>
        <w:p>
          <w:pPr>
            <w:pStyle w:val="Header"/>
            <w:jc w:val="right"/>
            <w:rPr>
              <w:rFonts w:ascii="Garamond" w:hAnsi="Garamond"/>
              <w:sz w:val="16"/>
              <w:szCs w:val="16"/>
            </w:rPr>
          </w:pPr>
          <w:r>
            <w:rPr>
              <w:rFonts w:ascii="Garamond" w:hAnsi="Garamond"/>
              <w:color w:val="BFBFBF" w:themeColor="background1" w:themeShade="bf"/>
              <w:sz w:val="16"/>
              <w:szCs w:val="16"/>
            </w:rPr>
            <w:t>© 2012-2016 OWASP Foundation</w:t>
          </w:r>
        </w:p>
      </w:tc>
    </w:tr>
  </w:tbl>
  <w:p>
    <w:pPr>
      <w:pStyle w:val="Header"/>
      <w:rPr>
        <w:rFonts w:ascii="Garamond" w:hAnsi="Garamond"/>
        <w:sz w:val="16"/>
        <w:szCs w:val="16"/>
      </w:rPr>
    </w:pPr>
    <w:r>
      <w:rPr>
        <w:rFonts w:ascii="Garamond" w:hAnsi="Garamond"/>
        <w:sz w:val="16"/>
        <w:szCs w:val="16"/>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GB"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GB"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742d9"/>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f76fdb"/>
    <w:rPr/>
  </w:style>
  <w:style w:type="character" w:styleId="FooterChar" w:customStyle="1">
    <w:name w:val="Footer Char"/>
    <w:basedOn w:val="DefaultParagraphFont"/>
    <w:link w:val="Footer"/>
    <w:uiPriority w:val="99"/>
    <w:qFormat/>
    <w:rsid w:val="00f76fdb"/>
    <w:rPr/>
  </w:style>
  <w:style w:type="character" w:styleId="BalloonTextChar" w:customStyle="1">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InternetLink">
    <w:name w:val="Hyperlink"/>
    <w:basedOn w:val="DefaultParagraphFont"/>
    <w:uiPriority w:val="99"/>
    <w:unhideWhenUsed/>
    <w:rsid w:val="00346594"/>
    <w:rPr>
      <w:color w:val="0000FF" w:themeColor="hyperlink"/>
      <w:u w:val="single"/>
    </w:rPr>
  </w:style>
  <w:style w:type="character" w:styleId="VisitedInternet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fill="E1DFDD" w:val="clear"/>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andFooter">
    <w:name w:val="Header and Footer"/>
    <w:basedOn w:val="Normal"/>
    <w:qFormat/>
    <w:pPr/>
    <w:rPr/>
  </w:style>
  <w:style w:type="paragraph" w:styleId="Header">
    <w:name w:val="Header"/>
    <w:basedOn w:val="Normal"/>
    <w:link w:val="HeaderChar"/>
    <w:uiPriority w:val="99"/>
    <w:unhideWhenUsed/>
    <w:rsid w:val="00f76fdb"/>
    <w:pPr>
      <w:tabs>
        <w:tab w:val="clear" w:pos="720"/>
        <w:tab w:val="center" w:pos="4320" w:leader="none"/>
        <w:tab w:val="right" w:pos="8640" w:leader="none"/>
      </w:tabs>
    </w:pPr>
    <w:rPr/>
  </w:style>
  <w:style w:type="paragraph" w:styleId="Footer">
    <w:name w:val="Footer"/>
    <w:basedOn w:val="Normal"/>
    <w:link w:val="FooterChar"/>
    <w:uiPriority w:val="99"/>
    <w:unhideWhenUsed/>
    <w:rsid w:val="00f76fdb"/>
    <w:pPr>
      <w:tabs>
        <w:tab w:val="clear" w:pos="720"/>
        <w:tab w:val="center" w:pos="4320" w:leader="none"/>
        <w:tab w:val="right" w:pos="8640" w:leader="none"/>
      </w:tabs>
    </w:pPr>
    <w:rPr/>
  </w:style>
  <w:style w:type="paragraph" w:styleId="ListParagraph">
    <w:name w:val="List Paragraph"/>
    <w:basedOn w:val="Normal"/>
    <w:uiPriority w:val="34"/>
    <w:qFormat/>
    <w:rsid w:val="009c6edd"/>
    <w:pPr>
      <w:spacing w:before="0" w:after="0"/>
      <w:ind w:left="720" w:hanging="0"/>
      <w:contextualSpacing/>
    </w:pPr>
    <w:rPr/>
  </w:style>
  <w:style w:type="paragraph" w:styleId="BalloonText">
    <w:name w:val="Balloon Text"/>
    <w:basedOn w:val="Normal"/>
    <w:link w:val="BalloonTextChar"/>
    <w:uiPriority w:val="99"/>
    <w:semiHidden/>
    <w:unhideWhenUsed/>
    <w:qFormat/>
    <w:rsid w:val="00777036"/>
    <w:pPr/>
    <w:rPr>
      <w:rFonts w:ascii="Lucida Grande" w:hAnsi="Lucida Grande" w:cs="Lucida Grande"/>
      <w:sz w:val="18"/>
      <w:szCs w:val="18"/>
    </w:rPr>
  </w:style>
  <w:style w:type="paragraph" w:styleId="CHeadTop" w:customStyle="1">
    <w:name w:val="C-Head-Top"/>
    <w:basedOn w:val="Normal"/>
    <w:qFormat/>
    <w:rsid w:val="006a59cd"/>
    <w:pPr>
      <w:spacing w:before="0" w:after="60"/>
    </w:pPr>
    <w:rPr>
      <w:rFonts w:ascii="Garamond" w:hAnsi="Garamond"/>
      <w:b/>
      <w:sz w:val="22"/>
      <w:szCs w:val="22"/>
    </w:rPr>
  </w:style>
  <w:style w:type="paragraph" w:styleId="CHeadMiddle" w:customStyle="1">
    <w:name w:val="C-Head-Middle"/>
    <w:basedOn w:val="CHeadTop"/>
    <w:qFormat/>
    <w:rsid w:val="00505c26"/>
    <w:pPr>
      <w:spacing w:before="240" w:after="60"/>
    </w:pPr>
    <w:rPr/>
  </w:style>
  <w:style w:type="paragraph" w:styleId="Revision">
    <w:name w:val="Revision"/>
    <w:uiPriority w:val="99"/>
    <w:semiHidden/>
    <w:qFormat/>
    <w:rsid w:val="00d6005f"/>
    <w:pPr>
      <w:widowControl/>
      <w:suppressAutoHyphens w:val="true"/>
      <w:bidi w:val="0"/>
      <w:spacing w:before="0" w:after="0"/>
      <w:jc w:val="left"/>
    </w:pPr>
    <w:rPr>
      <w:rFonts w:ascii="Cambria" w:hAnsi="Cambria" w:eastAsia="ＭＳ 明朝" w:cs="" w:asciiTheme="minorHAnsi" w:cstheme="minorBidi" w:eastAsiaTheme="minorEastAsia" w:hAnsiTheme="minorHAnsi"/>
      <w:color w:val="auto"/>
      <w:kern w:val="0"/>
      <w:sz w:val="24"/>
      <w:szCs w:val="24"/>
      <w:lang w:val="en-GB"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690c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wmf"/><Relationship Id="rId3" Type="http://schemas.openxmlformats.org/officeDocument/2006/relationships/image" Target="media/image2.png"/><Relationship Id="rId4" Type="http://schemas.openxmlformats.org/officeDocument/2006/relationships/hyperlink" Target="https://lists.owasp.org/mailman/listinfo/owasp_cornucopia" TargetMode="External"/><Relationship Id="rId5" Type="http://schemas.openxmlformats.org/officeDocument/2006/relationships/hyperlink" Target="https://www.owasp.org/index.php/OWASP_Cornucopia" TargetMode="External"/><Relationship Id="rId6" Type="http://schemas.openxmlformats.org/officeDocument/2006/relationships/hyperlink" Target="https://wiki.owasp.org/index.php/Cornucopia_-_Ecommerce_Website_Edition_-_Wiki_Deck" TargetMode="External"/><Relationship Id="rId7" Type="http://schemas.openxmlformats.org/officeDocument/2006/relationships/hyperlink" Target="https://www.owasp.org/index.php/File:OWASP_SCP_Quick_Reference_Guide_v2.pdf" TargetMode="External"/><Relationship Id="rId8" Type="http://schemas.openxmlformats.org/officeDocument/2006/relationships/hyperlink" Target="https://www.owasp.org/images/3/33/OWASP_Application_Security_Verification_Standard_3.0.1.pdf" TargetMode="External"/><Relationship Id="rId9" Type="http://schemas.openxmlformats.org/officeDocument/2006/relationships/hyperlink" Target="https://www.owasp.org/index.php/AppSensor_DetectionPoints" TargetMode="External"/><Relationship Id="rId10" Type="http://schemas.openxmlformats.org/officeDocument/2006/relationships/hyperlink" Target="http://capec.mitre.org/data/archive/capec_v2.8.zip" TargetMode="External"/><Relationship Id="rId11" Type="http://schemas.openxmlformats.org/officeDocument/2006/relationships/hyperlink" Target="http://www.safecode.org/publications/SAFECode_Agile_Dev_Security0712.pdf" TargetMode="External"/><Relationship Id="rId12" Type="http://schemas.openxmlformats.org/officeDocument/2006/relationships/hyperlink" Target="https://youtu.be/i5Y0akWj31k" TargetMode="External"/><Relationship Id="rId13" Type="http://schemas.openxmlformats.org/officeDocument/2006/relationships/hyperlink" Target="https://www.owasp.org/index.php/File:Cornucopia-scoresheet.pdf" TargetMode="External"/><Relationship Id="rId14" Type="http://schemas.openxmlformats.org/officeDocument/2006/relationships/hyperlink" Target="https://www.owasp.org/index.php/Cornucopia_-_Ecommerce_Website_Edition_-_Wiki_Deck" TargetMode="External"/><Relationship Id="rId15" Type="http://schemas.openxmlformats.org/officeDocument/2006/relationships/image" Target="media/image3.png"/><Relationship Id="rId16" Type="http://schemas.openxmlformats.org/officeDocument/2006/relationships/hyperlink" Target="https://www.youtube.com/watch?v=i5Y0akWj31k" TargetMode="External"/><Relationship Id="rId17" Type="http://schemas.openxmlformats.org/officeDocument/2006/relationships/hyperlink" Target="http://trustedsoftwarealliance.com/2014/03/21/the-owasp-cornucopia-project-with-colin-watson/" TargetMode="External"/><Relationship Id="rId18" Type="http://schemas.openxmlformats.org/officeDocument/2006/relationships/hyperlink" Target="https://www.youtube.com/watch?v=Q_LE-8xNXVk" TargetMode="External"/><Relationship Id="rId19" Type="http://schemas.openxmlformats.org/officeDocument/2006/relationships/image" Target="media/image4.png"/><Relationship Id="rId20" Type="http://schemas.openxmlformats.org/officeDocument/2006/relationships/header" Target="head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1186</TotalTime>
  <Application>LibreOffice/6.4.7.2$Linux_X86_64 LibreOffice_project/40$Build-2</Application>
  <Pages>25</Pages>
  <Words>2110</Words>
  <Characters>22189</Characters>
  <CharactersWithSpaces>24054</CharactersWithSpaces>
  <Paragraphs>1291</Paragraphs>
  <Company>OWASP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2016-06-29T14:34:00Z</dcterms:created>
  <dc:creator>Colin Watson</dc:creator>
  <dc:description>This document is licensed under the Creative Commons Attribution-ShareAlike 3.0 license</dc:description>
  <cp:keywords>ecommerce website security requirements threats attacks</cp:keywords>
  <dc:language>en-GB</dc:language>
  <cp:lastModifiedBy/>
  <cp:lastPrinted>2015-03-31T16:57:00Z</cp:lastPrinted>
  <dcterms:modified xsi:type="dcterms:W3CDTF">2022-07-29T12:50:01Z</dcterms:modified>
  <cp:revision>110</cp:revision>
  <dc:subject>v1.20-EN</dc:subject>
  <dc:title>OWASP Cornucopia Ecommerce Website Edition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