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aramond" w:hAnsi="Garamond"/>
          <w:sz w:val="20"/>
          <w:szCs w:val="20"/>
        </w:rPr>
      </w:pPr>
      <w:r>
        <w:rPr>
          <w:rFonts w:ascii="Garamond" w:hAnsi="Garamond"/>
          <w:sz w:val="20"/>
          <w:szCs w:val="20"/>
        </w:rPr>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477"/>
        <w:gridCol w:w="548"/>
        <w:gridCol w:w="7329"/>
      </w:tblGrid>
      <w:tr>
        <w:trPr/>
        <w:tc>
          <w:tcPr>
            <w:tcW w:w="8025" w:type="dxa"/>
            <w:gridSpan w:val="2"/>
            <w:tcBorders>
              <w:top w:val="nil"/>
              <w:left w:val="nil"/>
              <w:bottom w:val="nil"/>
              <w:right w:val="nil"/>
            </w:tcBorders>
          </w:tcPr>
          <w:p>
            <w:pPr>
              <w:pStyle w:val="Normal"/>
              <w:jc w:val="center"/>
              <w:rPr>
                <w:rFonts w:ascii="Garamond" w:hAnsi="Garamond"/>
                <w:sz w:val="20"/>
                <w:szCs w:val="20"/>
              </w:rPr>
            </w:pPr>
            <w:r>
              <w:rPr/>
              <w:drawing>
                <wp:inline distT="0" distB="0" distL="0" distR="0">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2"/>
                          <a:stretch>
                            <a:fillRect/>
                          </a:stretch>
                        </pic:blipFill>
                        <pic:spPr bwMode="auto">
                          <a:xfrm>
                            <a:off x="0" y="0"/>
                            <a:ext cx="2717800" cy="673100"/>
                          </a:xfrm>
                          <a:prstGeom prst="rect">
                            <a:avLst/>
                          </a:prstGeom>
                        </pic:spPr>
                      </pic:pic>
                    </a:graphicData>
                  </a:graphic>
                </wp:inline>
              </w:drawing>
            </w:r>
          </w:p>
          <w:p>
            <w:pPr>
              <w:pStyle w:val="Normal"/>
              <w:spacing w:before="0" w:after="120"/>
              <w:rPr>
                <w:rFonts w:ascii="Garamond" w:hAnsi="Garamond"/>
                <w:sz w:val="20"/>
                <w:szCs w:val="20"/>
              </w:rPr>
            </w:pPr>
            <w:r>
              <w:rPr>
                <w:rFonts w:ascii="Garamond" w:hAnsi="Garamond"/>
                <w:sz w:val="20"/>
                <w:szCs w:val="20"/>
              </w:rPr>
            </w:r>
          </w:p>
          <w:p>
            <w:pPr>
              <w:pStyle w:val="Normal"/>
              <w:jc w:val="center"/>
              <w:rPr>
                <w:rFonts w:ascii="Garamond" w:hAnsi="Garamond"/>
                <w:b/>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pPr>
              <w:pStyle w:val="Normal"/>
              <w:jc w:val="center"/>
              <w:rPr>
                <w:rFonts w:ascii="Garamond" w:hAnsi="Garamond"/>
                <w:b/>
                <w:b/>
                <w:color w:val="000090"/>
                <w:sz w:val="32"/>
                <w:szCs w:val="32"/>
              </w:rPr>
            </w:pPr>
            <w:r>
              <w:rPr>
                <w:rFonts w:ascii="Garamond" w:hAnsi="Garamond"/>
                <w:b/>
                <w:color w:val="000090"/>
                <w:sz w:val="32"/>
                <w:szCs w:val="32"/>
              </w:rPr>
              <w:t>Ecommerce Website Edition v1.20-ES</w:t>
            </w:r>
          </w:p>
          <w:p>
            <w:pPr>
              <w:pStyle w:val="Normal"/>
              <w:jc w:val="center"/>
              <w:rPr>
                <w:rFonts w:ascii="Garamond" w:hAnsi="Garamond"/>
                <w:sz w:val="20"/>
                <w:szCs w:val="20"/>
              </w:rPr>
            </w:pPr>
            <w:r>
              <w:rPr>
                <w:rFonts w:ascii="Garamond" w:hAnsi="Garamond"/>
                <w:sz w:val="20"/>
                <w:szCs w:val="20"/>
              </w:rPr>
            </w:r>
          </w:p>
          <w:p>
            <w:pPr>
              <w:pStyle w:val="Normal"/>
              <w:ind w:left="720" w:right="567" w:hanging="0"/>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Author</w:t>
            </w:r>
          </w:p>
          <w:p>
            <w:pPr>
              <w:pStyle w:val="Normal"/>
              <w:spacing w:before="0" w:after="120"/>
              <w:jc w:val="center"/>
              <w:rPr>
                <w:rFonts w:ascii="Garamond" w:hAnsi="Garamond"/>
                <w:sz w:val="20"/>
                <w:szCs w:val="20"/>
              </w:rPr>
            </w:pPr>
            <w:r>
              <w:rPr>
                <w:rFonts w:ascii="Garamond" w:hAnsi="Garamond"/>
                <w:sz w:val="20"/>
                <w:szCs w:val="20"/>
              </w:rPr>
              <w:t>Colin Watson</w:t>
            </w:r>
          </w:p>
          <w:p>
            <w:pPr>
              <w:pStyle w:val="Normal"/>
              <w:spacing w:before="120" w:after="20"/>
              <w:jc w:val="center"/>
              <w:rPr>
                <w:rFonts w:ascii="Garamond" w:hAnsi="Garamond"/>
                <w:sz w:val="18"/>
                <w:szCs w:val="18"/>
              </w:rPr>
            </w:pPr>
            <w:r>
              <w:rPr>
                <w:rFonts w:ascii="Garamond" w:hAnsi="Garamond"/>
                <w:sz w:val="18"/>
                <w:szCs w:val="18"/>
              </w:rPr>
              <w:t xml:space="preserve">Project Leaders  </w:t>
            </w:r>
          </w:p>
          <w:p>
            <w:pPr>
              <w:pStyle w:val="Normal"/>
              <w:spacing w:before="0" w:after="120"/>
              <w:jc w:val="center"/>
              <w:rPr>
                <w:rFonts w:ascii="Garamond" w:hAnsi="Garamond"/>
                <w:sz w:val="20"/>
                <w:szCs w:val="20"/>
              </w:rPr>
            </w:pPr>
            <w:r>
              <w:rPr>
                <w:rFonts w:ascii="Garamond" w:hAnsi="Garamond"/>
                <w:sz w:val="20"/>
                <w:szCs w:val="20"/>
              </w:rPr>
              <w:t>Colin Watson and Grant Ongers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Reviewers</w:t>
            </w:r>
          </w:p>
          <w:p>
            <w:pPr>
              <w:pStyle w:val="Normal"/>
              <w:spacing w:before="0" w:after="120"/>
              <w:jc w:val="center"/>
              <w:rPr>
                <w:rFonts w:ascii="Garamond" w:hAnsi="Garamond"/>
                <w:sz w:val="20"/>
                <w:szCs w:val="20"/>
              </w:rPr>
            </w:pPr>
            <w:r>
              <w:rPr>
                <w:rFonts w:ascii="Garamond" w:hAnsi="Garamond"/>
                <w:sz w:val="20"/>
                <w:szCs w:val="20"/>
              </w:rPr>
              <w:t>Tom Brennan, Johanna Curiel, Darío De Filippis and Timo Goosen</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20"/>
                <w:szCs w:val="20"/>
              </w:rPr>
            </w:pPr>
            <w:r>
              <w:rPr>
                <w:rFonts w:ascii="Garamond" w:hAnsi="Garamond"/>
                <w:sz w:val="20"/>
                <w:szCs w:val="20"/>
              </w:rPr>
              <w:t>Reconocimientos del proyecto</w:t>
            </w:r>
          </w:p>
          <w:p>
            <w:pPr>
              <w:pStyle w:val="Normal"/>
              <w:rPr>
                <w:rFonts w:ascii="Garamond" w:hAnsi="Garamond"/>
                <w:sz w:val="18"/>
                <w:szCs w:val="18"/>
              </w:rPr>
            </w:pPr>
            <w:r>
              <w:rPr>
                <w:rFonts w:ascii="Garamond" w:hAnsi="Garamond"/>
                <w:sz w:val="18"/>
                <w:szCs w:val="18"/>
              </w:rPr>
              <w:t>• Microsoft SDL Team para el juego de modelado de amenazas Elevation of Privilege, publicado bajo una licencia Creative Commons Attribution, como inspiración para Cornucopia y del que se copiaron muchas ideas, especialmente la teoría de juego.</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pPr>
              <w:pStyle w:val="Normal"/>
              <w:jc w:val="center"/>
              <w:rPr>
                <w:rFonts w:ascii="Garamond" w:hAnsi="Garamond"/>
                <w:sz w:val="20"/>
                <w:szCs w:val="20"/>
              </w:rPr>
            </w:pPr>
            <w:r>
              <w:rPr>
                <w:rFonts w:ascii="Garamond" w:hAnsi="Garamond"/>
                <w:sz w:val="20"/>
                <w:szCs w:val="20"/>
              </w:rPr>
            </w:r>
          </w:p>
          <w:p>
            <w:pPr>
              <w:pStyle w:val="Normal"/>
              <w:tabs>
                <w:tab w:val="clear" w:pos="720"/>
                <w:tab w:val="left" w:pos="4550" w:leader="none"/>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0880" cy="658622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500880" cy="6586220"/>
                          </a:xfrm>
                          <a:prstGeom prst="rect">
                            <a:avLst/>
                          </a:prstGeom>
                        </pic:spPr>
                      </pic:pic>
                    </a:graphicData>
                  </a:graphic>
                </wp:inline>
              </w:drawing>
            </w:r>
          </w:p>
        </w:tc>
      </w:tr>
      <w:tr>
        <w:trPr/>
        <w:tc>
          <w:tcPr>
            <w:tcW w:w="7477" w:type="dxa"/>
            <w:tcBorders>
              <w:top w:val="nil"/>
              <w:left w:val="nil"/>
              <w:bottom w:val="nil"/>
              <w:right w:val="nil"/>
            </w:tcBorders>
          </w:tcPr>
          <w:p>
            <w:pPr>
              <w:pStyle w:val="CHeadTop"/>
              <w:rPr/>
            </w:pPr>
            <w:r>
              <w:rPr/>
              <w:t>Introducción</w:t>
            </w:r>
          </w:p>
          <w:p>
            <w:pPr>
              <w:pStyle w:val="Normal"/>
              <w:spacing w:before="0"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pPr>
              <w:pStyle w:val="Normal"/>
              <w:spacing w:before="0"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pPr>
              <w:pStyle w:val="Normal"/>
              <w:spacing w:before="0"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pPr>
              <w:pStyle w:val="Normal"/>
              <w:spacing w:before="0"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pPr>
              <w:pStyle w:val="CHeadMiddle"/>
              <w:rPr/>
            </w:pPr>
            <w:r>
              <w:rPr/>
              <w:t>El mazo de cartas (paquete)</w:t>
            </w:r>
          </w:p>
          <w:p>
            <w:pPr>
              <w:pStyle w:val="Normal"/>
              <w:spacing w:before="0"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Validación de Data</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Autenticación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Gestión de Sesiones</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Autorización</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Criptografía</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Cornucopia</w:t>
            </w:r>
          </w:p>
          <w:p>
            <w:pPr>
              <w:pStyle w:val="Normal"/>
              <w:spacing w:before="0"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p>
            <w:pPr>
              <w:pStyle w:val="CHeadMiddle"/>
              <w:rPr/>
            </w:pPr>
            <w:r>
              <w:rPr/>
              <w:t>Mapeos</w:t>
            </w:r>
          </w:p>
          <w:p>
            <w:pPr>
              <w:pStyle w:val="Normal"/>
              <w:spacing w:before="0" w:after="120"/>
              <w:rPr>
                <w:rFonts w:ascii="Garamond" w:hAnsi="Garamond"/>
                <w:sz w:val="20"/>
                <w:szCs w:val="20"/>
              </w:rPr>
            </w:pPr>
            <w:r>
              <w:rPr>
                <w:rFonts w:ascii="Garamond" w:hAnsi="Garamond"/>
                <w:sz w:val="20"/>
                <w:szCs w:val="20"/>
              </w:rPr>
              <w:t>TOtra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v3.0.1 y AppSensor (detección y respuesta de ataques de aplicaciones) para ayudar a los equipos a crear sus propias historias relacionadas con la seguridad para su uso en procesos ágiles.</w:t>
            </w:r>
          </w:p>
        </w:tc>
        <w:tc>
          <w:tcPr>
            <w:tcW w:w="548" w:type="dxa"/>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329" w:type="dxa"/>
            <w:tcBorders>
              <w:top w:val="nil"/>
              <w:left w:val="nil"/>
              <w:bottom w:val="nil"/>
              <w:right w:val="nil"/>
            </w:tcBorders>
          </w:tcPr>
          <w:p>
            <w:pPr>
              <w:pStyle w:val="CHeadTop"/>
              <w:rPr/>
            </w:pPr>
            <w:r>
              <w:rPr/>
              <w:t>Estrategia de Juego</w:t>
            </w:r>
          </w:p>
          <w:p>
            <w:pPr>
              <w:pStyle w:val="Normal"/>
              <w:spacing w:before="0"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pPr>
              <w:pStyle w:val="CHeadMiddle"/>
              <w:rPr/>
            </w:pPr>
            <w:r>
              <w:rPr/>
              <w:t>Printing the cards</w:t>
            </w:r>
          </w:p>
          <w:p>
            <w:pPr>
              <w:pStyle w:val="Normal"/>
              <w:spacing w:before="0" w:after="120"/>
              <w:rPr>
                <w:rFonts w:ascii="Garamond" w:hAnsi="Garamond"/>
                <w:sz w:val="20"/>
                <w:szCs w:val="20"/>
              </w:rPr>
            </w:pPr>
            <w:r>
              <w:rPr>
                <w:rFonts w:ascii="Garamond" w:hAnsi="Garamond"/>
                <w:sz w:val="20"/>
                <w:szCs w:val="20"/>
              </w:rPr>
              <w:t xml:space="preserve">Check the Cornucopia project page for how to obtain pre-printed decks on glossy card. </w:t>
            </w:r>
          </w:p>
          <w:p>
            <w:pPr>
              <w:pStyle w:val="Normal"/>
              <w:spacing w:before="0"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pPr>
              <w:pStyle w:val="Normal"/>
              <w:spacing w:before="0"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pPr>
              <w:pStyle w:val="Normal"/>
              <w:spacing w:before="0"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pPr>
              <w:pStyle w:val="CHeadMiddle"/>
              <w:rPr/>
            </w:pPr>
            <w:r>
              <w:rPr/>
              <w:t>Customization</w:t>
            </w:r>
          </w:p>
          <w:p>
            <w:pPr>
              <w:pStyle w:val="Normal"/>
              <w:spacing w:before="0"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pPr>
              <w:pStyle w:val="CHeadMiddle"/>
              <w:rPr/>
            </w:pPr>
            <w:r>
              <w:rPr/>
              <w:t>Brindar retroalimentación</w:t>
            </w:r>
          </w:p>
          <w:p>
            <w:pPr>
              <w:pStyle w:val="Normal"/>
              <w:spacing w:before="0"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pPr>
              <w:pStyle w:val="Normal"/>
              <w:spacing w:before="0" w:after="120"/>
              <w:rPr>
                <w:rFonts w:ascii="Garamond" w:hAnsi="Garamond"/>
                <w:sz w:val="20"/>
                <w:szCs w:val="20"/>
              </w:rPr>
            </w:pPr>
            <w:r>
              <w:rPr>
                <w:rFonts w:ascii="Garamond" w:hAnsi="Garamond"/>
                <w:sz w:val="20"/>
                <w:szCs w:val="20"/>
              </w:rPr>
              <w:t>El mejor lugar para usar para discutir o contribuir es la lista de correo para el proyecto OWASP:</w:t>
            </w:r>
          </w:p>
          <w:p>
            <w:pPr>
              <w:pStyle w:val="ListParagraph"/>
              <w:numPr>
                <w:ilvl w:val="0"/>
                <w:numId w:val="1"/>
              </w:numPr>
              <w:spacing w:before="0" w:after="120"/>
              <w:contextualSpacing/>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br/>
            </w:r>
            <w:hyperlink r:id="rId4">
              <w:r>
                <w:rPr>
                  <w:rStyle w:val="InternetLink"/>
                  <w:rFonts w:ascii="Garamond" w:hAnsi="Garamond"/>
                  <w:sz w:val="20"/>
                  <w:szCs w:val="20"/>
                </w:rPr>
                <w:t>https://lists.owasp.org/mailman/listinfo/owasp_cornucopia</w:t>
              </w:r>
            </w:hyperlink>
          </w:p>
          <w:p>
            <w:pPr>
              <w:pStyle w:val="ListParagraph"/>
              <w:numPr>
                <w:ilvl w:val="0"/>
                <w:numId w:val="1"/>
              </w:numPr>
              <w:spacing w:before="0" w:after="120"/>
              <w:contextualSpacing/>
              <w:rPr>
                <w:rFonts w:ascii="Garamond" w:hAnsi="Garamond"/>
                <w:sz w:val="20"/>
                <w:szCs w:val="20"/>
              </w:rPr>
            </w:pPr>
            <w:r>
              <w:rPr>
                <w:rFonts w:ascii="Garamond" w:hAnsi="Garamond"/>
                <w:sz w:val="20"/>
                <w:szCs w:val="20"/>
              </w:rPr>
              <w:t>•OWASP’s hard-working employees, especially Kate Hartmann</w:t>
              <w:br/>
            </w:r>
            <w:hyperlink r:id="rId5">
              <w:r>
                <w:rPr>
                  <w:rStyle w:val="InternetLink"/>
                  <w:rFonts w:ascii="Garamond" w:hAnsi="Garamond"/>
                  <w:sz w:val="20"/>
                  <w:szCs w:val="20"/>
                </w:rPr>
                <w:t>https://www.owasp.org/index.php/OWASP_Cornucopia</w:t>
              </w:r>
            </w:hyperlink>
          </w:p>
          <w:p>
            <w:pPr>
              <w:pStyle w:val="Normal"/>
              <w:spacing w:before="0" w:after="120"/>
              <w:rPr>
                <w:rFonts w:ascii="Garamond" w:hAnsi="Garamond"/>
                <w:sz w:val="20"/>
                <w:szCs w:val="20"/>
              </w:rPr>
            </w:pPr>
            <w:r>
              <w:rPr>
                <w:rFonts w:ascii="Garamond" w:hAnsi="Garamond"/>
                <w:sz w:val="20"/>
                <w:szCs w:val="20"/>
              </w:rPr>
              <w:t>Todos los documentos y herramientas de OWASP son de descarga y uso gratuito. OWASP Cornucopia tiene licencia de Creative Commons Attribution ShareAlike 3.0.</w:t>
            </w:r>
          </w:p>
        </w:tc>
      </w:tr>
    </w:tbl>
    <w:p>
      <w:pPr>
        <w:pStyle w:val="Normal"/>
        <w:rPr>
          <w:rFonts w:ascii="Garamond" w:hAnsi="Garamond"/>
          <w:sz w:val="20"/>
          <w:szCs w:val="20"/>
        </w:rPr>
      </w:pPr>
      <w:r>
        <w:rPr>
          <w:rFonts w:ascii="Garamond" w:hAnsi="Garamond"/>
          <w:sz w:val="20"/>
          <w:szCs w:val="20"/>
        </w:rPr>
      </w:r>
      <w:r>
        <w:br w:type="page"/>
      </w:r>
    </w:p>
    <w:tbl>
      <w:tblPr>
        <w:tblStyle w:val="TableGrid"/>
        <w:tblW w:w="15355" w:type="dxa"/>
        <w:jc w:val="left"/>
        <w:tblInd w:w="0" w:type="dxa"/>
        <w:tblCellMar>
          <w:top w:w="0" w:type="dxa"/>
          <w:left w:w="108" w:type="dxa"/>
          <w:bottom w:w="0" w:type="dxa"/>
          <w:right w:w="108" w:type="dxa"/>
        </w:tblCellMar>
        <w:tblLook w:val="04a0" w:noHBand="0" w:noVBand="1" w:firstColumn="1" w:lastRow="0" w:lastColumn="0" w:firstRow="1"/>
      </w:tblPr>
      <w:tblGrid>
        <w:gridCol w:w="109"/>
        <w:gridCol w:w="737"/>
        <w:gridCol w:w="792"/>
        <w:gridCol w:w="2581"/>
        <w:gridCol w:w="851"/>
        <w:gridCol w:w="2458"/>
        <w:gridCol w:w="123"/>
        <w:gridCol w:w="121"/>
        <w:gridCol w:w="703"/>
        <w:gridCol w:w="2580"/>
        <w:gridCol w:w="828"/>
        <w:gridCol w:w="2579"/>
        <w:gridCol w:w="891"/>
      </w:tblGrid>
      <w:tr>
        <w:trPr/>
        <w:tc>
          <w:tcPr>
            <w:tcW w:w="7528" w:type="dxa"/>
            <w:gridSpan w:val="6"/>
            <w:tcBorders>
              <w:top w:val="nil"/>
              <w:left w:val="nil"/>
              <w:bottom w:val="nil"/>
              <w:right w:val="nil"/>
            </w:tcBorders>
          </w:tcPr>
          <w:p>
            <w:pPr>
              <w:pStyle w:val="CHeadTop"/>
              <w:pageBreakBefore/>
              <w:rPr/>
            </w:pPr>
            <w:r>
              <w:rPr/>
              <w:t>Instrucciones</w:t>
            </w:r>
          </w:p>
          <w:p>
            <w:pPr>
              <w:pStyle w:val="Normal"/>
              <w:spacing w:before="0"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Always try to have a mix of roles who can contribute alternative perspectives.</w:t>
            </w:r>
          </w:p>
          <w:p>
            <w:pPr>
              <w:pStyle w:val="Normal"/>
              <w:jc w:val="center"/>
              <w:rPr>
                <w:rFonts w:ascii="Garamond" w:hAnsi="Garamond"/>
                <w:i/>
                <w:i/>
                <w:sz w:val="20"/>
                <w:szCs w:val="20"/>
              </w:rPr>
            </w:pPr>
            <w:r>
              <w:rPr>
                <w:rFonts w:ascii="Garamond" w:hAnsi="Garamond"/>
                <w:i/>
                <w:sz w:val="20"/>
                <w:szCs w:val="20"/>
              </w:rPr>
              <w:t>Wiki Deck link added</w:t>
            </w:r>
          </w:p>
          <w:p>
            <w:pPr>
              <w:pStyle w:val="Normal"/>
              <w:spacing w:before="0"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pPr>
              <w:pStyle w:val="Normal"/>
              <w:spacing w:before="0" w:after="120"/>
              <w:rPr>
                <w:rFonts w:ascii="Garamond" w:hAnsi="Garamond"/>
                <w:sz w:val="20"/>
                <w:szCs w:val="20"/>
              </w:rPr>
            </w:pPr>
            <w:r>
              <w:rPr>
                <w:rFonts w:ascii="Garamond" w:hAnsi="Garamond"/>
                <w:sz w:val="20"/>
                <w:szCs w:val="20"/>
              </w:rPr>
              <w:t>Las relaciones entre los ataques y cinco recursos se ofrecen en la mayoría de las tarjetas</w:t>
            </w:r>
          </w:p>
          <w:p>
            <w:pPr>
              <w:pStyle w:val="Normal"/>
              <w:spacing w:before="0" w:after="120"/>
              <w:rPr/>
            </w:pPr>
            <w:hyperlink r:id="rId6">
              <w:r>
                <w:rPr>
                  <w:rStyle w:val="InternetLink"/>
                  <w:rFonts w:ascii="Garamond" w:hAnsi="Garamond"/>
                  <w:spacing w:val="-7"/>
                  <w:sz w:val="20"/>
                  <w:szCs w:val="20"/>
                </w:rPr>
                <w:t>https://w</w:t>
              </w:r>
              <w:r>
                <w:rPr>
                  <w:rStyle w:val="InternetLink"/>
                  <w:rFonts w:ascii="Garamond" w:hAnsi="Garamond"/>
                  <w:spacing w:val="-7"/>
                  <w:sz w:val="20"/>
                  <w:szCs w:val="20"/>
                </w:rPr>
                <w:t>iki</w:t>
              </w:r>
              <w:r>
                <w:rPr>
                  <w:rStyle w:val="InternetLink"/>
                  <w:rFonts w:ascii="Garamond" w:hAnsi="Garamond"/>
                  <w:spacing w:val="-7"/>
                  <w:sz w:val="20"/>
                  <w:szCs w:val="20"/>
                </w:rPr>
                <w:t>.owasp.org/index.php/Cornucopia_-_Ecommerce_Website_Edition_-_Wiki_Deck</w:t>
              </w:r>
            </w:hyperlink>
          </w:p>
          <w:p>
            <w:pPr>
              <w:pStyle w:val="Normal"/>
              <w:spacing w:before="0" w:after="120"/>
              <w:rPr>
                <w:rFonts w:ascii="Garamond" w:hAnsi="Garamond"/>
                <w:sz w:val="20"/>
                <w:szCs w:val="20"/>
              </w:rPr>
            </w:pPr>
            <w:r>
              <w:rPr>
                <w:rFonts w:ascii="Garamond" w:hAnsi="Garamond"/>
                <w:sz w:val="20"/>
                <w:szCs w:val="20"/>
              </w:rPr>
              <w:t>Las relaciones entre los ataques y cinco recursos se ofrecen en la mayoría de las tarjetas</w:t>
            </w:r>
          </w:p>
          <w:p>
            <w:pPr>
              <w:pStyle w:val="ListParagraph"/>
              <w:numPr>
                <w:ilvl w:val="0"/>
                <w:numId w:val="3"/>
              </w:numPr>
              <w:spacing w:before="0" w:after="120"/>
              <w:contextualSpacing/>
              <w:rPr>
                <w:rFonts w:ascii="Garamond" w:hAnsi="Garamond"/>
                <w:sz w:val="20"/>
                <w:szCs w:val="20"/>
              </w:rPr>
            </w:pPr>
            <w:r>
              <w:rPr>
                <w:rFonts w:ascii="Garamond" w:hAnsi="Garamond"/>
                <w:sz w:val="20"/>
                <w:szCs w:val="20"/>
              </w:rPr>
              <w:t>Release.</w:t>
              <w:br/>
            </w:r>
            <w:hyperlink r:id="rId7">
              <w:r>
                <w:rPr>
                  <w:rStyle w:val="InternetLink"/>
                  <w:rFonts w:ascii="Garamond" w:hAnsi="Garamond"/>
                  <w:spacing w:val="-6"/>
                  <w:sz w:val="20"/>
                  <w:szCs w:val="20"/>
                </w:rPr>
                <w:t>https://www.owasp.org/index.php/File:OWASP_SCP_Quick_Reference_Guide_v2.pdf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 xml:space="preserve">Updates to alternative game rules. </w:t>
              <w:br/>
            </w:r>
            <w:hyperlink r:id="rId8">
              <w:r>
                <w:rPr>
                  <w:rStyle w:val="InternetLink"/>
                  <w:rFonts w:ascii="Garamond" w:hAnsi="Garamond"/>
                  <w:spacing w:val="-14"/>
                  <w:sz w:val="20"/>
                  <w:szCs w:val="20"/>
                </w:rPr>
                <w:t>https</w:t>
              </w:r>
              <w:r>
                <w:rPr>
                  <w:rStyle w:val="InternetLink"/>
                  <w:rFonts w:ascii="Garamond" w:hAnsi="Garamond"/>
                  <w:spacing w:val="-34"/>
                  <w:sz w:val="20"/>
                  <w:szCs w:val="20"/>
                </w:rPr>
                <w:t>://</w:t>
              </w:r>
              <w:r>
                <w:rPr>
                  <w:rStyle w:val="InternetLink"/>
                  <w:rFonts w:ascii="Garamond" w:hAnsi="Garamond"/>
                  <w:spacing w:val="-14"/>
                  <w:sz w:val="20"/>
                  <w:szCs w:val="20"/>
                </w:rPr>
                <w:t>www.owasp.org/images</w:t>
              </w:r>
              <w:r>
                <w:rPr>
                  <w:rStyle w:val="InternetLink"/>
                  <w:rFonts w:ascii="Garamond" w:hAnsi="Garamond"/>
                  <w:spacing w:val="-34"/>
                  <w:sz w:val="20"/>
                  <w:szCs w:val="20"/>
                </w:rPr>
                <w:t>/3/33/</w:t>
              </w:r>
              <w:r>
                <w:rPr>
                  <w:rStyle w:val="InternetLink"/>
                  <w:rFonts w:ascii="Garamond" w:hAnsi="Garamond"/>
                  <w:spacing w:val="-14"/>
                  <w:sz w:val="20"/>
                  <w:szCs w:val="20"/>
                </w:rPr>
                <w:t>OWASP</w:t>
              </w:r>
              <w:r>
                <w:rPr>
                  <w:rStyle w:val="InternetLink"/>
                  <w:rFonts w:ascii="Garamond" w:hAnsi="Garamond"/>
                  <w:spacing w:val="-34"/>
                  <w:sz w:val="20"/>
                  <w:szCs w:val="20"/>
                </w:rPr>
                <w:t>_</w:t>
              </w:r>
              <w:r>
                <w:rPr>
                  <w:rStyle w:val="InternetLink"/>
                  <w:rFonts w:ascii="Garamond" w:hAnsi="Garamond"/>
                  <w:spacing w:val="-14"/>
                  <w:sz w:val="20"/>
                  <w:szCs w:val="20"/>
                </w:rPr>
                <w:t>Application</w:t>
              </w:r>
              <w:r>
                <w:rPr>
                  <w:rStyle w:val="InternetLink"/>
                  <w:rFonts w:ascii="Garamond" w:hAnsi="Garamond"/>
                  <w:spacing w:val="-34"/>
                  <w:sz w:val="20"/>
                  <w:szCs w:val="20"/>
                </w:rPr>
                <w:t>_</w:t>
              </w:r>
              <w:r>
                <w:rPr>
                  <w:rStyle w:val="InternetLink"/>
                  <w:rFonts w:ascii="Garamond" w:hAnsi="Garamond"/>
                  <w:spacing w:val="-14"/>
                  <w:sz w:val="20"/>
                  <w:szCs w:val="20"/>
                </w:rPr>
                <w:t>Security</w:t>
              </w:r>
              <w:r>
                <w:rPr>
                  <w:rStyle w:val="InternetLink"/>
                  <w:rFonts w:ascii="Garamond" w:hAnsi="Garamond"/>
                  <w:spacing w:val="-34"/>
                  <w:sz w:val="20"/>
                  <w:szCs w:val="20"/>
                </w:rPr>
                <w:t>_</w:t>
              </w:r>
              <w:r>
                <w:rPr>
                  <w:rStyle w:val="InternetLink"/>
                  <w:rFonts w:ascii="Garamond" w:hAnsi="Garamond"/>
                  <w:spacing w:val="-14"/>
                  <w:sz w:val="20"/>
                  <w:szCs w:val="20"/>
                </w:rPr>
                <w:t>Verification</w:t>
              </w:r>
              <w:r>
                <w:rPr>
                  <w:rStyle w:val="InternetLink"/>
                  <w:rFonts w:ascii="Garamond" w:hAnsi="Garamond"/>
                  <w:spacing w:val="-34"/>
                  <w:sz w:val="20"/>
                  <w:szCs w:val="20"/>
                </w:rPr>
                <w:t>_</w:t>
              </w:r>
              <w:r>
                <w:rPr>
                  <w:rStyle w:val="InternetLink"/>
                  <w:rFonts w:ascii="Garamond" w:hAnsi="Garamond"/>
                  <w:spacing w:val="-14"/>
                  <w:sz w:val="20"/>
                  <w:szCs w:val="20"/>
                </w:rPr>
                <w:t>Standard</w:t>
              </w:r>
              <w:r>
                <w:rPr>
                  <w:rStyle w:val="InternetLink"/>
                  <w:rFonts w:ascii="Garamond" w:hAnsi="Garamond"/>
                  <w:spacing w:val="-34"/>
                  <w:sz w:val="20"/>
                  <w:szCs w:val="20"/>
                </w:rPr>
                <w:t>_</w:t>
              </w:r>
              <w:r>
                <w:rPr>
                  <w:rStyle w:val="InternetLink"/>
                  <w:rFonts w:ascii="Garamond" w:hAnsi="Garamond"/>
                  <w:spacing w:val="-14"/>
                  <w:sz w:val="20"/>
                  <w:szCs w:val="20"/>
                </w:rPr>
                <w:t>3.0.1.pdf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 xml:space="preserve">Attack descriptions on cards with tinted backgrounds changed to black (from dark grey). </w:t>
              <w:br/>
            </w:r>
            <w:hyperlink r:id="rId9">
              <w:r>
                <w:rPr>
                  <w:rStyle w:val="InternetLink"/>
                  <w:rFonts w:ascii="Garamond" w:hAnsi="Garamond"/>
                  <w:sz w:val="20"/>
                  <w:szCs w:val="20"/>
                </w:rPr>
                <w:t>https://www.owasp.org/index.php/AppSensor_DetectionPoints</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https://www.youtube.com/watch?v=Q_LE-8xNXVk</w:t>
            </w:r>
          </w:p>
          <w:p>
            <w:pPr>
              <w:pStyle w:val="ListParagraph"/>
              <w:spacing w:before="0" w:after="120"/>
              <w:contextualSpacing/>
              <w:rPr>
                <w:rFonts w:ascii="Garamond" w:hAnsi="Garamond"/>
                <w:sz w:val="20"/>
                <w:szCs w:val="20"/>
              </w:rPr>
            </w:pPr>
            <w:hyperlink r:id="rId10">
              <w:r>
                <w:rPr>
                  <w:rStyle w:val="InternetLink"/>
                  <w:rFonts w:ascii="Garamond" w:hAnsi="Garamond"/>
                  <w:sz w:val="20"/>
                  <w:szCs w:val="20"/>
                </w:rPr>
                <w:t>http://capec.mitre.org/data/archive/capec_v2.8.zip</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Reviewers</w:t>
            </w:r>
          </w:p>
          <w:p>
            <w:pPr>
              <w:pStyle w:val="ListParagraph"/>
              <w:spacing w:before="0" w:after="120"/>
              <w:contextualSpacing/>
              <w:rPr>
                <w:rFonts w:ascii="Garamond" w:hAnsi="Garamond"/>
                <w:sz w:val="20"/>
                <w:szCs w:val="20"/>
              </w:rPr>
            </w:pPr>
            <w:hyperlink r:id="rId11">
              <w:r>
                <w:rPr>
                  <w:rStyle w:val="InternetLink"/>
                  <w:rFonts w:ascii="Garamond" w:hAnsi="Garamond"/>
                  <w:sz w:val="20"/>
                  <w:szCs w:val="20"/>
                </w:rPr>
                <w:t>http://www.safecode.org/publications/SAFECode_Agile_Dev_Security0712.pdf</w:t>
              </w:r>
            </w:hyperlink>
          </w:p>
          <w:p>
            <w:pPr>
              <w:pStyle w:val="Normal"/>
              <w:spacing w:before="0" w:after="120"/>
              <w:rPr>
                <w:rFonts w:ascii="Garamond" w:hAnsi="Garamond"/>
                <w:sz w:val="20"/>
                <w:szCs w:val="20"/>
              </w:rPr>
            </w:pPr>
            <w:r>
              <w:rPr>
                <w:rFonts w:ascii="Garamond" w:hAnsi="Garamond"/>
                <w:sz w:val="20"/>
                <w:szCs w:val="20"/>
              </w:rPr>
              <w:t>Una mejora es que el ataque está incluido dentro del elemento referenciado, pero no necesariamente abarca la totalidad de su intención.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pPr>
              <w:pStyle w:val="Normal"/>
              <w:spacing w:before="0" w:after="120"/>
              <w:rPr>
                <w:rFonts w:ascii="Garamond" w:hAnsi="Garamond"/>
                <w:sz w:val="20"/>
                <w:szCs w:val="20"/>
              </w:rPr>
            </w:pPr>
            <w:r>
              <w:rPr>
                <w:rFonts w:ascii="Garamond" w:hAnsi="Garamond"/>
                <w:sz w:val="20"/>
                <w:szCs w:val="20"/>
              </w:rPr>
              <w:t>Es posible jugar Cornucopia de muchas formas diferentes. Here is one way, demonstrated online in a video at https://youtu.be/i5Y0akWj31k , which uses the new (May 2015) score/record sheet at https://www.owasp.org/index.php/File:Cornucopia-scoresheet.pdf</w:t>
            </w:r>
          </w:p>
          <w:p>
            <w:pPr>
              <w:pStyle w:val="Normal"/>
              <w:spacing w:before="0" w:after="120"/>
              <w:rPr>
                <w:rStyle w:val="InternetLink"/>
                <w:rFonts w:ascii="Garamond" w:hAnsi="Garamond"/>
                <w:sz w:val="20"/>
                <w:szCs w:val="20"/>
              </w:rPr>
            </w:pPr>
            <w:hyperlink r:id="rId12">
              <w:r>
                <w:rPr>
                  <w:rStyle w:val="InternetLink"/>
                  <w:rFonts w:ascii="Garamond" w:hAnsi="Garamond"/>
                  <w:sz w:val="20"/>
                  <w:szCs w:val="20"/>
                </w:rPr>
                <w:t>https://youtu.be/i5Y0akWj31k</w:t>
              </w:r>
            </w:hyperlink>
            <w:hyperlink r:id="rId13">
              <w:r>
                <w:rPr>
                  <w:rStyle w:val="InternetLink"/>
                  <w:rFonts w:ascii="Garamond" w:hAnsi="Garamond"/>
                  <w:sz w:val="20"/>
                  <w:szCs w:val="20"/>
                </w:rPr>
                <w:t>https://www.owasp.org/index.php/File:Cornucopia-scoresheet.pdf</w:t>
              </w:r>
            </w:hyperlink>
          </w:p>
          <w:p>
            <w:pPr>
              <w:pStyle w:val="CHeadTop"/>
              <w:rPr/>
            </w:pPr>
            <w:r>
              <w:rPr/>
              <w:t>Reglas alternativas de juego</w:t>
            </w:r>
          </w:p>
          <w:p>
            <w:pPr>
              <w:pStyle w:val="Normal"/>
              <w:spacing w:before="0"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pPr>
              <w:pStyle w:val="Normal"/>
              <w:spacing w:before="0"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pPr>
              <w:pStyle w:val="Normal"/>
              <w:spacing w:before="0"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pPr>
              <w:pStyle w:val="Normal"/>
              <w:spacing w:before="0"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pPr>
              <w:pStyle w:val="Normal"/>
              <w:spacing w:before="0"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pPr>
              <w:pStyle w:val="Normal"/>
              <w:spacing w:before="0"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pPr>
              <w:pStyle w:val="Normal"/>
              <w:spacing w:before="0" w:after="120"/>
              <w:rPr>
                <w:rFonts w:ascii="Garamond" w:hAnsi="Garamond"/>
                <w:sz w:val="20"/>
                <w:szCs w:val="20"/>
              </w:rPr>
            </w:pPr>
            <w:r>
              <w:rPr>
                <w:rFonts w:ascii="Garamond" w:hAnsi="Garamond"/>
                <w:sz w:val="20"/>
                <w:szCs w:val="20"/>
              </w:rPr>
              <w:t>En la guía EoP de Microsoft, recomiendan hacer trampa como una buena estrategia de juego.</w:t>
            </w:r>
          </w:p>
          <w:p>
            <w:pPr>
              <w:pStyle w:val="CHeadMiddle"/>
              <w:rPr/>
            </w:pPr>
            <w:r>
              <w:rPr/>
              <w:t>Marco de desarrollo específico - barajas de cartas modificadas</w:t>
            </w:r>
          </w:p>
          <w:p>
            <w:pPr>
              <w:pStyle w:val="Normal"/>
              <w:spacing w:before="0"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pPr>
              <w:pStyle w:val="Normal"/>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p>
            <w:pPr>
              <w:pStyle w:val="Normal"/>
              <w:spacing w:before="0" w:after="120"/>
              <w:rPr>
                <w:rStyle w:val="InternetLink"/>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t>Preguntas frecuentes</w:t>
            </w:r>
          </w:p>
          <w:p>
            <w:pPr>
              <w:pStyle w:val="Normal"/>
              <w:tabs>
                <w:tab w:val="clear" w:pos="720"/>
                <w:tab w:val="right" w:pos="7263" w:leader="none"/>
              </w:tabs>
              <w:spacing w:before="0" w:after="120"/>
              <w:jc w:val="right"/>
              <w:rPr>
                <w:rFonts w:ascii="Garamond" w:hAnsi="Garamond"/>
                <w:i/>
                <w:i/>
                <w:sz w:val="20"/>
                <w:szCs w:val="20"/>
              </w:rPr>
            </w:pPr>
            <w:r>
              <w:rPr>
                <w:rFonts w:ascii="Garamond" w:hAnsi="Garamond"/>
                <w:i/>
                <w:sz w:val="20"/>
                <w:szCs w:val="20"/>
              </w:rPr>
              <w:t xml:space="preserve">1. ¿Puedo copiar o editar el juego? </w:t>
              <w:tab/>
            </w:r>
          </w:p>
          <w:p>
            <w:pPr>
              <w:pStyle w:val="Normal"/>
              <w:spacing w:before="0" w:after="120"/>
              <w:rPr>
                <w:rFonts w:ascii="Garamond" w:hAnsi="Garamond"/>
                <w:i/>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pPr>
              <w:pStyle w:val="Normal"/>
              <w:spacing w:before="0" w:after="120"/>
              <w:rPr>
                <w:rFonts w:ascii="Garamond" w:hAnsi="Garamond"/>
                <w:i/>
                <w:i/>
                <w:sz w:val="20"/>
                <w:szCs w:val="20"/>
              </w:rPr>
            </w:pPr>
            <w:r>
              <w:rPr>
                <w:rFonts w:ascii="Garamond" w:hAnsi="Garamond"/>
                <w:i/>
                <w:sz w:val="20"/>
                <w:szCs w:val="20"/>
              </w:rPr>
              <w:t>2. ¿Cómo puedo involucrarme?</w:t>
            </w:r>
          </w:p>
          <w:p>
            <w:pPr>
              <w:pStyle w:val="Normal"/>
              <w:spacing w:before="0" w:after="120"/>
              <w:rPr>
                <w:rFonts w:ascii="Garamond" w:hAnsi="Garamond"/>
                <w:i/>
                <w:i/>
                <w:sz w:val="20"/>
                <w:szCs w:val="20"/>
              </w:rPr>
            </w:pPr>
            <w:r>
              <w:rPr>
                <w:rFonts w:ascii="Garamond" w:hAnsi="Garamond"/>
                <w:i/>
                <w:sz w:val="20"/>
                <w:szCs w:val="20"/>
              </w:rPr>
              <w:t>Envíe ideas u ofertas de ayuda a la lista de distribución del proyecto.</w:t>
            </w:r>
          </w:p>
          <w:p>
            <w:pPr>
              <w:pStyle w:val="Normal"/>
              <w:spacing w:before="0" w:after="120"/>
              <w:rPr>
                <w:rFonts w:ascii="Garamond" w:hAnsi="Garamond"/>
                <w:i/>
                <w:i/>
                <w:sz w:val="20"/>
                <w:szCs w:val="20"/>
              </w:rPr>
            </w:pPr>
            <w:r>
              <w:rPr>
                <w:rFonts w:ascii="Garamond" w:hAnsi="Garamond"/>
                <w:i/>
                <w:sz w:val="20"/>
                <w:szCs w:val="20"/>
              </w:rPr>
              <w:t>3. ¿Cómo se eligieron los nombres de los atacantes?</w:t>
            </w:r>
          </w:p>
          <w:p>
            <w:pPr>
              <w:pStyle w:val="Normal"/>
              <w:spacing w:before="0" w:after="120"/>
              <w:rPr>
                <w:rFonts w:ascii="Garamond" w:hAnsi="Garamond"/>
                <w:i/>
                <w:i/>
                <w:sz w:val="20"/>
                <w:szCs w:val="20"/>
              </w:rPr>
            </w:pPr>
            <w:r>
              <w:rPr>
                <w:rFonts w:ascii="Garamond" w:hAnsi="Garamond"/>
                <w:i/>
                <w:sz w:val="20"/>
                <w:szCs w:val="20"/>
              </w:rPr>
              <w:t>Edit this document yourself to make the cards more suitable for your teams, or create new decks completely.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pPr>
              <w:pStyle w:val="Normal"/>
              <w:spacing w:before="0" w:after="120"/>
              <w:rPr>
                <w:rFonts w:ascii="Garamond" w:hAnsi="Garamond"/>
                <w:i/>
                <w:i/>
                <w:sz w:val="20"/>
                <w:szCs w:val="20"/>
              </w:rPr>
            </w:pPr>
            <w:r>
              <w:rPr>
                <w:rFonts w:ascii="Garamond" w:hAnsi="Garamond"/>
                <w:i/>
                <w:sz w:val="20"/>
                <w:szCs w:val="20"/>
              </w:rPr>
              <w:t>4. ¿Por qué no hay imágenes en las caras de las tarjetas?</w:t>
            </w:r>
          </w:p>
          <w:p>
            <w:pPr>
              <w:pStyle w:val="Normal"/>
              <w:spacing w:before="0" w:after="120"/>
              <w:rPr>
                <w:rFonts w:ascii="Garamond" w:hAnsi="Garamond"/>
                <w:i/>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pPr>
              <w:pStyle w:val="Normal"/>
              <w:spacing w:before="0" w:after="120"/>
              <w:rPr>
                <w:rFonts w:ascii="Garamond" w:hAnsi="Garamond"/>
                <w:i/>
                <w:i/>
                <w:sz w:val="20"/>
                <w:szCs w:val="20"/>
              </w:rPr>
            </w:pPr>
            <w:r>
              <w:rPr>
                <w:rFonts w:ascii="Garamond" w:hAnsi="Garamond"/>
                <w:i/>
                <w:sz w:val="20"/>
                <w:szCs w:val="20"/>
              </w:rPr>
              <w:t>5. ¿Se clasifican los ataques según el número de la tarjeta?</w:t>
            </w:r>
          </w:p>
          <w:p>
            <w:pPr>
              <w:pStyle w:val="Normal"/>
              <w:spacing w:before="0" w:after="120"/>
              <w:rPr>
                <w:rFonts w:ascii="Garamond" w:hAnsi="Garamond"/>
                <w:i/>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pPr>
              <w:pStyle w:val="Normal"/>
              <w:spacing w:before="0" w:after="120"/>
              <w:rPr>
                <w:rFonts w:ascii="Garamond" w:hAnsi="Garamond"/>
                <w:i/>
                <w:i/>
                <w:sz w:val="20"/>
                <w:szCs w:val="20"/>
              </w:rPr>
            </w:pPr>
            <w:r>
              <w:rPr>
                <w:rFonts w:ascii="Garamond" w:hAnsi="Garamond"/>
                <w:i/>
                <w:sz w:val="20"/>
                <w:szCs w:val="20"/>
              </w:rPr>
              <w:t>6. ¿Cuánto tiempo se tarda en jugar una ronda de cartas con la baraja completa?</w:t>
            </w:r>
          </w:p>
          <w:p>
            <w:pPr>
              <w:pStyle w:val="Normal"/>
              <w:spacing w:before="0" w:after="120"/>
              <w:rPr>
                <w:rFonts w:ascii="Garamond" w:hAnsi="Garamond"/>
                <w:i/>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pPr>
              <w:pStyle w:val="Normal"/>
              <w:spacing w:before="0" w:after="120"/>
              <w:rPr>
                <w:rFonts w:ascii="Garamond" w:hAnsi="Garamond"/>
                <w:i/>
                <w:i/>
                <w:sz w:val="20"/>
                <w:szCs w:val="20"/>
              </w:rPr>
            </w:pPr>
            <w:r>
              <w:rPr>
                <w:rFonts w:ascii="Garamond" w:hAnsi="Garamond"/>
                <w:i/>
                <w:sz w:val="20"/>
                <w:szCs w:val="20"/>
              </w:rPr>
              <w:t>7. What sort of people should play the game?</w:t>
            </w:r>
          </w:p>
          <w:p>
            <w:pPr>
              <w:pStyle w:val="Normal"/>
              <w:spacing w:before="0" w:after="120"/>
              <w:rPr>
                <w:rFonts w:ascii="Garamond" w:hAnsi="Garamond"/>
                <w:i/>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pPr>
              <w:pStyle w:val="Normal"/>
              <w:spacing w:before="0" w:after="120"/>
              <w:rPr>
                <w:rFonts w:ascii="Garamond" w:hAnsi="Garamond"/>
                <w:i/>
                <w:i/>
                <w:sz w:val="20"/>
                <w:szCs w:val="20"/>
              </w:rPr>
            </w:pPr>
            <w:r>
              <w:rPr>
                <w:rFonts w:ascii="Garamond" w:hAnsi="Garamond"/>
                <w:i/>
                <w:sz w:val="20"/>
                <w:szCs w:val="20"/>
              </w:rPr>
              <w:t>8. Who should take notes and record scores?</w:t>
            </w:r>
          </w:p>
          <w:p>
            <w:pPr>
              <w:pStyle w:val="Normal"/>
              <w:spacing w:before="0" w:after="120"/>
              <w:rPr>
                <w:rFonts w:ascii="Garamond" w:hAnsi="Garamond"/>
                <w:i/>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sz w:val="20"/>
                <w:szCs w:val="20"/>
              </w:rPr>
            </w:pPr>
            <w:r>
              <w:rPr>
                <w:rFonts w:ascii="Garamond" w:hAnsi="Garamond"/>
                <w:sz w:val="20"/>
                <w:szCs w:val="20"/>
              </w:rPr>
            </w:r>
          </w:p>
        </w:tc>
        <w:tc>
          <w:tcPr>
            <w:tcW w:w="244" w:type="dxa"/>
            <w:gridSpan w:val="2"/>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581" w:type="dxa"/>
            <w:gridSpan w:val="5"/>
            <w:tcBorders>
              <w:top w:val="nil"/>
              <w:left w:val="nil"/>
              <w:bottom w:val="nil"/>
              <w:right w:val="nil"/>
            </w:tcBorders>
          </w:tcPr>
          <w:p>
            <w:pPr>
              <w:pStyle w:val="CHeadTop"/>
              <w:rPr/>
            </w:pPr>
            <w:r>
              <w:rPr/>
              <w:t>A - Preparativos</w:t>
            </w:r>
          </w:p>
          <w:p>
            <w:pPr>
              <w:pStyle w:val="CHeadTop"/>
              <w:ind w:left="720" w:hanging="0"/>
              <w:rPr>
                <w:b w:val="false"/>
                <w:b w:val="false"/>
                <w:bCs/>
                <w:sz w:val="20"/>
                <w:szCs w:val="20"/>
              </w:rPr>
            </w:pPr>
            <w:r>
              <w:rPr>
                <w:b w:val="false"/>
                <w:bCs/>
                <w:sz w:val="20"/>
                <w:szCs w:val="20"/>
              </w:rPr>
              <w:t xml:space="preserve">A1.Use las cartas de este paquete                                                                   A2.Identifique una solicitud o proceso de solicitud para revisar; esto podría ser un concepto, diseño o una implementación real </w:t>
              <w:br/>
              <w:t xml:space="preserve">A3.Cree un diagrama de flujo de datos, historias de usuarios u otros artefactos para ayudar en la revisión.                                                                      A4.Identifique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A5.Tenga algunos premios a mano (estrellas doradas, chocolate, pizza, cerveza o flores según la cultura de su oficina)                                                                                                                                                                                                            </w:t>
            </w:r>
          </w:p>
          <w:p>
            <w:pPr>
              <w:pStyle w:val="CHeadMiddle"/>
              <w:rPr/>
            </w:pPr>
            <w:r>
              <w:rPr/>
              <w:t>B - El juego</w:t>
            </w:r>
          </w:p>
          <w:p>
            <w:pPr>
              <w:pStyle w:val="Normal"/>
              <w:spacing w:before="0" w:after="120"/>
              <w:rPr>
                <w:rFonts w:ascii="Garamond" w:hAnsi="Garamond"/>
                <w:sz w:val="20"/>
                <w:szCs w:val="20"/>
              </w:rPr>
            </w:pPr>
            <w:r>
              <w:rPr>
                <w:rFonts w:ascii="Garamond" w:hAnsi="Garamond"/>
                <w:sz w:val="20"/>
                <w:szCs w:val="20"/>
              </w:rPr>
              <w:t>Un palo, Cornucopia, actúa como triunfo.  Los ases son altos (es decir, vencieron a los reyes).  Ayuda si hay alguien que no es jugador para documentar los problemas y las puntuaciones.</w:t>
            </w:r>
          </w:p>
          <w:p>
            <w:pPr>
              <w:pStyle w:val="Normal"/>
              <w:spacing w:before="0" w:after="120"/>
              <w:ind w:left="720" w:hanging="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B2. Baraja la baraja y reparte todas las cartas..                                                                  B3. Para comenzar, elija un jugador al azar que jugará la primera carta; puede jugar cualquier carta de su mano, excepto del palo de triunfo: Cornucopia                                                                       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br/>
              <w:t xml:space="preserve">B6. La persona que gana la ronda lidera la siguiente ronda (es decir, juega primero) y, por lo tanto, define el siguiente palo principal.                                                                                                      B7. Repita hasta que se jueguen todas las cartas.                </w:t>
            </w:r>
          </w:p>
          <w:p>
            <w:pPr>
              <w:pStyle w:val="CHeadMiddle"/>
              <w:rPr/>
            </w:pPr>
            <w:r>
              <w:rPr/>
              <w:t>C - Puntuación</w:t>
            </w:r>
          </w:p>
          <w:p>
            <w:pPr>
              <w:pStyle w:val="Normal"/>
              <w:spacing w:before="0" w:after="120"/>
              <w:rPr>
                <w:rFonts w:ascii="Garamond" w:hAnsi="Garamond"/>
                <w:sz w:val="20"/>
                <w:szCs w:val="20"/>
              </w:rPr>
            </w:pPr>
            <w:r>
              <w:rPr>
                <w:rFonts w:ascii="Garamond" w:hAnsi="Garamond"/>
                <w:sz w:val="20"/>
                <w:szCs w:val="20"/>
              </w:rPr>
              <w:t>El objetivo es identificar las amenazas aplicables y ganar manos (rondas):</w:t>
            </w:r>
          </w:p>
          <w:p>
            <w:pPr>
              <w:pStyle w:val="Normal"/>
              <w:spacing w:before="0" w:after="120"/>
              <w:ind w:left="720" w:hanging="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br/>
              <w:t xml:space="preserve">C2. Obtén +1 si ganas una ronda.                                                                                                      C3. Una vez que se han jugado todas las cartas, gana el que tenga más puntos.                                                          </w:t>
            </w:r>
          </w:p>
          <w:p>
            <w:pPr>
              <w:pStyle w:val="CHeadMiddle"/>
              <w:rPr/>
            </w:pPr>
            <w:r>
              <w:rPr/>
              <w:t>D - Cierre</w:t>
            </w:r>
          </w:p>
          <w:p>
            <w:pPr>
              <w:pStyle w:val="Normal"/>
              <w:spacing w:before="0" w:after="120"/>
              <w:ind w:left="720" w:hanging="0"/>
              <w:rPr>
                <w:rFonts w:ascii="Garamond" w:hAnsi="Garamond"/>
                <w:sz w:val="20"/>
                <w:szCs w:val="20"/>
              </w:rPr>
            </w:pPr>
            <w:r>
              <w:rPr>
                <w:rFonts w:ascii="Garamond" w:hAnsi="Garamond"/>
                <w:sz w:val="20"/>
                <w:szCs w:val="20"/>
              </w:rPr>
              <w:t>D1. Revise todas las amenazas aplicables y los requisitos de seguridad correspondientes.                                                                      D2. Cree historias de usuario, especificaciones y casos de prueba según sea necesario para su metodología de desarrollo.</w:t>
            </w:r>
          </w:p>
          <w:p>
            <w:pPr>
              <w:pStyle w:val="CHeadTop"/>
              <w:rPr/>
            </w:pPr>
            <w:r>
              <w:rPr/>
            </w:r>
          </w:p>
          <w:p>
            <w:pPr>
              <w:pStyle w:val="CHeadTop"/>
              <w:rPr/>
            </w:pPr>
            <w:r>
              <w:rPr/>
              <w:t>Estándares de codificación internos</w:t>
            </w:r>
          </w:p>
          <w:p>
            <w:pPr>
              <w:pStyle w:val="Normal"/>
              <w:spacing w:before="0"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Validación de Data</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Autenticación</w:t>
                  </w:r>
                </w:p>
                <w:p>
                  <w:pPr>
                    <w:pStyle w:val="Normal"/>
                    <w:rPr>
                      <w:rFonts w:ascii="Garamond" w:hAnsi="Garamond"/>
                      <w:i/>
                      <w:i/>
                      <w:sz w:val="20"/>
                      <w:szCs w:val="20"/>
                    </w:rPr>
                  </w:pPr>
                  <w:r>
                    <w:rPr>
                      <w:rFonts w:ascii="Garamond" w:hAnsi="Garamond"/>
                      <w:i/>
                      <w:sz w:val="20"/>
                      <w:szCs w:val="20"/>
                    </w:rPr>
                    <w:t>[your list]</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Gestión de Sesiones</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Autorización</w:t>
                  </w:r>
                </w:p>
                <w:p>
                  <w:pPr>
                    <w:pStyle w:val="Normal"/>
                    <w:rPr>
                      <w:rFonts w:ascii="Garamond" w:hAnsi="Garamond"/>
                      <w:i/>
                      <w:i/>
                      <w:sz w:val="20"/>
                      <w:szCs w:val="20"/>
                    </w:rPr>
                  </w:pPr>
                  <w:r>
                    <w:rPr>
                      <w:rFonts w:ascii="Garamond" w:hAnsi="Garamond"/>
                      <w:i/>
                      <w:sz w:val="20"/>
                      <w:szCs w:val="20"/>
                    </w:rPr>
                    <w:t>[your list]</w:t>
                  </w:r>
                </w:p>
              </w:tc>
              <w:tc>
                <w:tcPr>
                  <w:tcW w:w="2167" w:type="dxa"/>
                  <w:tcBorders>
                    <w:left w:val="nil"/>
                  </w:tcBorders>
                </w:tcPr>
                <w:p>
                  <w:pPr>
                    <w:pStyle w:val="Normal"/>
                    <w:rPr>
                      <w:rFonts w:ascii="Garamond" w:hAnsi="Garamond"/>
                      <w:sz w:val="20"/>
                      <w:szCs w:val="20"/>
                    </w:rPr>
                  </w:pPr>
                  <w:r>
                    <w:rPr>
                      <w:rFonts w:ascii="Garamond" w:hAnsi="Garamond"/>
                      <w:sz w:val="20"/>
                      <w:szCs w:val="20"/>
                    </w:rPr>
                    <w:t>Criptografía</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[your list]</w:t>
                  </w:r>
                </w:p>
              </w:tc>
            </w:tr>
          </w:tbl>
          <w:p>
            <w:pPr>
              <w:pStyle w:val="CHeadMiddle"/>
              <w:rPr/>
            </w:pPr>
            <w:r>
              <w:rPr/>
              <w:t>Mazos de requisitos de cumplimiento</w:t>
            </w:r>
          </w:p>
          <w:p>
            <w:pPr>
              <w:pStyle w:val="Normal"/>
              <w:spacing w:before="0"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 xml:space="preserve"> Requerimientos de Cumplimiento</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Validación de Data</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Autenticación</w:t>
                  </w:r>
                </w:p>
                <w:p>
                  <w:pPr>
                    <w:pStyle w:val="Normal"/>
                    <w:rPr>
                      <w:rFonts w:ascii="Garamond" w:hAnsi="Garamond"/>
                      <w:i/>
                      <w:i/>
                      <w:sz w:val="20"/>
                      <w:szCs w:val="20"/>
                    </w:rPr>
                  </w:pPr>
                  <w:r>
                    <w:rPr>
                      <w:rFonts w:ascii="Garamond" w:hAnsi="Garamond"/>
                      <w:i/>
                      <w:sz w:val="20"/>
                      <w:szCs w:val="20"/>
                    </w:rPr>
                    <w:t>[your list]</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Gestión de Sesiones</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Autorización</w:t>
                  </w:r>
                </w:p>
                <w:p>
                  <w:pPr>
                    <w:pStyle w:val="Normal"/>
                    <w:rPr>
                      <w:rFonts w:ascii="Garamond" w:hAnsi="Garamond"/>
                      <w:i/>
                      <w:i/>
                      <w:sz w:val="20"/>
                      <w:szCs w:val="20"/>
                    </w:rPr>
                  </w:pPr>
                  <w:r>
                    <w:rPr>
                      <w:rFonts w:ascii="Garamond" w:hAnsi="Garamond"/>
                      <w:i/>
                      <w:sz w:val="20"/>
                      <w:szCs w:val="20"/>
                    </w:rPr>
                    <w:t>[your list]</w:t>
                  </w:r>
                </w:p>
              </w:tc>
              <w:tc>
                <w:tcPr>
                  <w:tcW w:w="2167" w:type="dxa"/>
                  <w:tcBorders>
                    <w:left w:val="nil"/>
                  </w:tcBorders>
                </w:tcPr>
                <w:p>
                  <w:pPr>
                    <w:pStyle w:val="Normal"/>
                    <w:rPr>
                      <w:rFonts w:ascii="Garamond" w:hAnsi="Garamond"/>
                      <w:sz w:val="20"/>
                      <w:szCs w:val="20"/>
                    </w:rPr>
                  </w:pPr>
                  <w:r>
                    <w:rPr>
                      <w:rFonts w:ascii="Garamond" w:hAnsi="Garamond"/>
                      <w:sz w:val="20"/>
                      <w:szCs w:val="20"/>
                    </w:rPr>
                    <w:t>Criptografía</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[your list]</w:t>
                  </w:r>
                </w:p>
              </w:tc>
            </w:tr>
          </w:tbl>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t>9. Should we always use the full deck of cards?</w:t>
            </w:r>
          </w:p>
          <w:p>
            <w:pPr>
              <w:pStyle w:val="Normal"/>
              <w:spacing w:before="0" w:after="120"/>
              <w:rPr>
                <w:rFonts w:ascii="Garamond" w:hAnsi="Garamond"/>
                <w:i/>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pPr>
              <w:pStyle w:val="Normal"/>
              <w:spacing w:before="0" w:after="120"/>
              <w:rPr>
                <w:rFonts w:ascii="Garamond" w:hAnsi="Garamond"/>
                <w:i/>
                <w:i/>
                <w:sz w:val="20"/>
                <w:szCs w:val="20"/>
              </w:rPr>
            </w:pPr>
            <w:r>
              <w:rPr>
                <w:rFonts w:ascii="Garamond" w:hAnsi="Garamond"/>
                <w:i/>
                <w:sz w:val="20"/>
                <w:szCs w:val="20"/>
              </w:rPr>
              <w:t>10. What should players do when they have an Ace card that says “invented a new X attack”?</w:t>
            </w:r>
          </w:p>
          <w:p>
            <w:pPr>
              <w:pStyle w:val="Normal"/>
              <w:spacing w:before="0" w:after="120"/>
              <w:rPr>
                <w:rFonts w:ascii="Garamond" w:hAnsi="Garamond"/>
                <w:i/>
                <w:i/>
                <w:sz w:val="20"/>
                <w:szCs w:val="20"/>
              </w:rPr>
            </w:pPr>
            <w:r>
              <w:rPr>
                <w:rFonts w:ascii="Garamond" w:hAnsi="Garamond"/>
                <w:i/>
                <w:sz w:val="20"/>
                <w:szCs w:val="20"/>
              </w:rPr>
              <w:t>TOtra motivación para Cornucopia es vincular los ataques con los requisitos y las técnicas de verificación. With players new to the game, it can be better to remove these to begin with (see also FAQ 9).</w:t>
            </w:r>
          </w:p>
          <w:p>
            <w:pPr>
              <w:pStyle w:val="Normal"/>
              <w:spacing w:before="0" w:after="120"/>
              <w:rPr>
                <w:rFonts w:ascii="Garamond" w:hAnsi="Garamond"/>
                <w:i/>
                <w:i/>
                <w:sz w:val="20"/>
                <w:szCs w:val="20"/>
              </w:rPr>
            </w:pPr>
            <w:r>
              <w:rPr>
                <w:rFonts w:ascii="Garamond" w:hAnsi="Garamond"/>
                <w:i/>
                <w:sz w:val="20"/>
                <w:szCs w:val="20"/>
              </w:rPr>
              <w:t>11. I don’t understand what the attack means on each card - is there more detailed information?</w:t>
            </w:r>
          </w:p>
          <w:p>
            <w:pPr>
              <w:pStyle w:val="Normal"/>
              <w:spacing w:before="0" w:after="120"/>
              <w:rPr>
                <w:rFonts w:ascii="Garamond" w:hAnsi="Garamond"/>
                <w:i/>
                <w:i/>
                <w:sz w:val="20"/>
                <w:szCs w:val="20"/>
              </w:rPr>
            </w:pPr>
            <w:r>
              <w:rPr>
                <w:rFonts w:ascii="Garamond" w:hAnsi="Garamond"/>
                <w:i/>
                <w:sz w:val="20"/>
                <w:szCs w:val="20"/>
              </w:rPr>
              <w:t>Yes, the online Wiki Deck at was created to help players understand the attacks.  See</w:t>
            </w:r>
          </w:p>
          <w:p>
            <w:pPr>
              <w:pStyle w:val="Normal"/>
              <w:spacing w:before="0" w:after="120"/>
              <w:rPr>
                <w:rFonts w:ascii="Garamond" w:hAnsi="Garamond"/>
                <w:spacing w:val="-7"/>
                <w:sz w:val="20"/>
                <w:szCs w:val="20"/>
              </w:rPr>
            </w:pPr>
            <w:hyperlink r:id="rId14">
              <w:r>
                <w:rPr>
                  <w:rStyle w:val="InternetLink"/>
                  <w:rFonts w:ascii="Garamond" w:hAnsi="Garamond"/>
                  <w:spacing w:val="-7"/>
                  <w:sz w:val="20"/>
                  <w:szCs w:val="20"/>
                </w:rPr>
                <w:t>https://www.owasp.org/index.php/Cornucopia_-_Ecommerce_Website_Edition_-_Wiki_Deck</w:t>
              </w:r>
            </w:hyperlink>
          </w:p>
          <w:p>
            <w:pPr>
              <w:pStyle w:val="Normal"/>
              <w:spacing w:before="0" w:after="120"/>
              <w:rPr>
                <w:rFonts w:ascii="Garamond" w:hAnsi="Garamond"/>
                <w:i/>
                <w:i/>
                <w:sz w:val="20"/>
                <w:szCs w:val="20"/>
              </w:rPr>
            </w:pPr>
            <w:r>
              <w:rPr>
                <w:rFonts w:ascii="Garamond" w:hAnsi="Garamond"/>
                <w:i/>
                <w:sz w:val="20"/>
                <w:szCs w:val="20"/>
              </w:rPr>
              <w:t>12. My company wants to print its own version of OWASP Cornucopia - what license do we need to refer to? Please contact the mailing list or project leaders directly, if anyone is missing from the below lists.</w:t>
            </w:r>
          </w:p>
          <w:p>
            <w:pPr>
              <w:pStyle w:val="Normal"/>
              <w:spacing w:before="0" w:after="120"/>
              <w:rPr>
                <w:rFonts w:ascii="Garamond" w:hAnsi="Garamond"/>
                <w:sz w:val="20"/>
                <w:szCs w:val="20"/>
              </w:rPr>
            </w:pPr>
            <w:r>
              <w:fldChar w:fldCharType="begin"/>
            </w:r>
            <w:r>
              <w:rPr>
                <w:rStyle w:val="InternetLink"/>
                <w:sz w:val="20"/>
                <w:spacing w:val="-4"/>
                <w:szCs w:val="20"/>
                <w:rFonts w:ascii="Garamond" w:hAnsi="Garamond"/>
              </w:rPr>
              <w:instrText> HYPERLINK "https://www.owasp.org/index.php/OWASP_Cornucopia" \l "tab=FAQs"</w:instrText>
            </w:r>
            <w:r>
              <w:rPr>
                <w:rStyle w:val="InternetLink"/>
                <w:sz w:val="20"/>
                <w:spacing w:val="-4"/>
                <w:szCs w:val="20"/>
                <w:rFonts w:ascii="Garamond" w:hAnsi="Garamond"/>
              </w:rPr>
              <w:fldChar w:fldCharType="separate"/>
            </w:r>
            <w:r>
              <w:rPr>
                <w:rStyle w:val="InternetLink"/>
                <w:rFonts w:ascii="Garamond" w:hAnsi="Garamond"/>
                <w:spacing w:val="-4"/>
                <w:sz w:val="20"/>
                <w:szCs w:val="20"/>
              </w:rPr>
              <w:t>https://www.owasp.org/index.php/OWASP_Cornucopia - tab=FAQs</w:t>
            </w:r>
            <w:r>
              <w:rPr>
                <w:rStyle w:val="InternetLink"/>
                <w:sz w:val="20"/>
                <w:spacing w:val="-4"/>
                <w:szCs w:val="20"/>
                <w:rFonts w:ascii="Garamond" w:hAnsi="Garamond"/>
              </w:rPr>
              <w:fldChar w:fldCharType="end"/>
            </w:r>
          </w:p>
          <w:p>
            <w:pPr>
              <w:pStyle w:val="Normal"/>
              <w:spacing w:before="0" w:after="120"/>
              <w:rPr>
                <w:rFonts w:ascii="Garamond" w:hAnsi="Garamond" w:eastAsia="ＭＳ ゴシック" w:cs="" w:cstheme="majorBidi" w:eastAsiaTheme="majorEastAsia"/>
                <w:b/>
                <w:b/>
                <w:bCs/>
                <w:i/>
                <w:i/>
                <w:iCs/>
                <w:color w:val="404040" w:themeColor="text1" w:themeTint="bf"/>
                <w:sz w:val="20"/>
                <w:szCs w:val="20"/>
              </w:rPr>
            </w:pPr>
            <w:r>
              <w:rPr>
                <w:rFonts w:eastAsia="ＭＳ ゴシック" w:cs="" w:cstheme="majorBidi" w:eastAsiaTheme="majorEastAsia" w:ascii="Garamond" w:hAnsi="Garamond"/>
                <w:b/>
                <w:bCs/>
                <w:i/>
                <w:iCs/>
                <w:color w:val="404040" w:themeColor="text1" w:themeTint="bf"/>
                <w:sz w:val="20"/>
                <w:szCs w:val="20"/>
              </w:rPr>
            </w:r>
          </w:p>
        </w:tc>
      </w:tr>
      <w:tr>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pPr>
              <w:pStyle w:val="Normal"/>
              <w:rPr>
                <w:rFonts w:ascii="Garamond" w:hAnsi="Garamond"/>
                <w:sz w:val="20"/>
                <w:szCs w:val="20"/>
              </w:rPr>
            </w:pPr>
            <w:r>
              <w:rPr>
                <w:rFonts w:ascii="Garamond" w:hAnsi="Garamond"/>
                <w:sz w:val="20"/>
                <w:szCs w:val="20"/>
              </w:rPr>
            </w:r>
          </w:p>
        </w:tc>
        <w:tc>
          <w:tcPr>
            <w:tcW w:w="792" w:type="dxa"/>
            <w:tcBorders>
              <w:top w:val="single" w:sz="4" w:space="0" w:color="000000"/>
              <w:left w:val="single" w:sz="4" w:space="0" w:color="000000"/>
              <w:bottom w:val="single" w:sz="4" w:space="0" w:color="000000"/>
              <w:right w:val="single" w:sz="4" w:space="0" w:color="000000"/>
            </w:tcBorders>
            <w:shd w:color="auto" w:fill="929292" w:val="clear"/>
            <w:tcMar>
              <w:left w:w="0" w:type="dxa"/>
              <w:right w:w="0" w:type="dxa"/>
            </w:tcM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51"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gridSpan w:val="2"/>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4" w:type="dxa"/>
            <w:gridSpan w:val="2"/>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0"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8"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7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BFBFBF" w:themeColor="background1" w:themeShade="bf"/>
                <w:sz w:val="48"/>
                <w:szCs w:val="48"/>
              </w:rPr>
            </w:pPr>
            <w:r>
              <w:rPr>
                <w:rFonts w:ascii="Garamond" w:hAnsi="Garamond"/>
                <w:b/>
                <w:color w:val="BFBFBF" w:themeColor="background1" w:themeShade="bf"/>
                <w:sz w:val="48"/>
                <w:szCs w:val="48"/>
              </w:rPr>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Has creado un nuevo ataque contra validación de datos y codificación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041"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1.10, 4.5, 8.1, 11.5, 19.1, 19.5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54, 541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5.1, 5.16, 5.17, 5.18, 5.19, 5.20, 11.1, 11.2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155"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4.16, 5.16, 5.17, 15.1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1.7, 5.15, 5.21, 5.22, 5.23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1.7, 5.6, 5.19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5.6, 11.8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FBFBF"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color="auto" w:fill="929292" w:val="clear"/>
            <w:tcMar>
              <w:right w:w="113" w:type="dxa"/>
            </w:tcMar>
            <w:textDirection w:val="tbRl"/>
          </w:tcPr>
          <w:p>
            <w:pPr>
              <w:pStyle w:val="Normal"/>
              <w:ind w:left="113" w:right="113" w:hanging="0"/>
              <w:jc w:val="both"/>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15, 169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1.7, 5.21, 5.23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5.19, 10.6, 16.2, 16.3, 16.4, 16.5, 16.8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1, 17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5.5, 5.18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trPr/>
              <w:tc>
                <w:tcPr>
                  <w:tcW w:w="2410" w:type="dxa"/>
                  <w:tcBorders>
                    <w:top w:val="nil"/>
                    <w:left w:val="nil"/>
                    <w:bottom w:val="single" w:sz="4" w:space="0" w:color="7F7F7F"/>
                    <w:right w:val="nil"/>
                  </w:tcBorders>
                  <w:shd w:color="auto" w:fill="BFBFBF" w:val="clear"/>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5.15, 5.22, 5.23, 5.24, 5.25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5.10, 5.11, 5.12, 5.13, 5.14, 5.16, 5.21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19-20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95B3D7" w:themeColor="accent1"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Usted tiene inventado un nuevo ataque contra la autenticación</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47, 52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2.12, 8.4, 8.10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2.2, 2.17, 2.24, 8.7, 9.1, 9.4, 9.5, 9.9, 9.11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2.18, 2.28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383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595959" w:themeColor="text1" w:themeTint="a6"/>
                      <w:sz w:val="12"/>
                      <w:szCs w:val="12"/>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2.7, 2.20, 2.23, 2.25, 2.27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8CCE4"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55-56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2.1, 2.9, 2.26, 2.31, 4.15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1.7, 2.30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Olga puede influir o alterar el código o rutina de autenticación o puede evitarlo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b/>
                <w:b/>
                <w:sz w:val="20"/>
                <w:szCs w:val="20"/>
              </w:rPr>
            </w:pPr>
            <w:r>
              <w:rPr>
                <w:rFonts w:ascii="Garamond" w:hAnsi="Garamond"/>
                <w:b/>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C2D69B" w:themeColor="accent3" w:themeTint="99"/>
                <w:sz w:val="48"/>
                <w:szCs w:val="48"/>
              </w:rPr>
            </w:pPr>
            <w:r>
              <w:rPr>
                <w:rFonts w:ascii="Garamond" w:hAnsi="Garamond"/>
                <w:b/>
                <w:color w:val="C2D69B" w:themeColor="accent3" w:themeTint="99"/>
                <w:sz w:val="48"/>
                <w:szCs w:val="48"/>
              </w:rPr>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Has inventado un nuevo ataque contra la gestión de sesión</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Ryan puede usar una sola cuenta en paralelo ya que permite sesiones concurrentes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58-59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59, 61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3.2, 3.7, 3.11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64-65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3.3, 3.4, 3.16, 3.17, 3.18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62-63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6E3BC"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3.6, 8.7, 10.3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27"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73-74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62, 111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58, 60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E0DE92"/>
                <w:sz w:val="48"/>
                <w:szCs w:val="48"/>
              </w:rPr>
            </w:pPr>
            <w:r>
              <w:rPr>
                <w:rFonts w:ascii="Garamond" w:hAnsi="Garamond"/>
                <w:b/>
                <w:color w:val="E0DE92"/>
                <w:sz w:val="48"/>
                <w:szCs w:val="48"/>
              </w:rPr>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Has inventado un nuevo ataque contra la Autorización</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Tim puede influir a donde se envía o reenvía la data</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4.1, 4.16, 16.1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8.2, 9.1-9.6, 9.11, 16.6-16.7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69, 213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79-80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4.1, 4.4, 4.9, 19.3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E8E697"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Dinis puede acceder a la información de configuración de seguridad, o listas de control de acceso</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4.10, 4.15, 4.16, 8.13, 15.1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10-12</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1.7, 4.11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Christopher puede inyectar un comando para que la aplicación se ejecute con un nivel de privilegios más alto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 xml:space="preserve">Ryan puede influir o alterar controles y permisos de autorización, y por ende puede </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4.9, 4.10, 13.2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7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Has inventado un nuevo ataque contra la Criptografía</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8.11, 11.7, 13.2, 19.5, 19.6, 19.7, 19.8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01" w:leader="none"/>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7.12, 9.2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185-187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7.2, 10.3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2.16, 9.2, 9.11, 10.3, 19.2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10.1, 10.5, 10.10, 10.11, 10.12, 10.13, 10.14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31, 216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3CBDE"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2.13, 7.7, 7.8, 9.2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7.6, 7.7, 7.8, 7.15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Randolph puede acceder o predecir los algoritmos o llaves de los secretos criptográficos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35, 102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7.8, 7.9, 7.11, 7.13, 7.14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31, 101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Has inventado un nuevo ataque de cualquier tipo</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Keith puede realizar una acción y no es posible atribuirla a él</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8.2, 8.4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16"/>
                <w:szCs w:val="16"/>
              </w:rPr>
            </w:pPr>
            <w:r>
              <w:rPr>
                <w:rFonts w:ascii="Garamond" w:hAnsi="Garamond"/>
                <w:sz w:val="16"/>
                <w:szCs w:val="16"/>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C6D9F1" w:themeFill="text2" w:themeFillTint="33"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19.5, 19.9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Jim puede emprender acciones maliciosas, no normales sin detección y respuesta por la aplicación en tiempo real</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Gareth puede utilizar la aplicación para negar el servicio a algunos o todos sus usuarios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Alice puede utilizar la aplicación para atacar los sistemas y datos de los usuarios.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4.14, 9.8, 15.1, 15.2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(All)</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
        </w:tc>
      </w:tr>
    </w:tbl>
    <w:p>
      <w:pPr>
        <w:pStyle w:val="Normal"/>
        <w:rPr>
          <w:rFonts w:ascii="Garamond" w:hAnsi="Garamond"/>
          <w:sz w:val="20"/>
          <w:szCs w:val="20"/>
        </w:rPr>
      </w:pPr>
      <w:r>
        <w:rPr>
          <w:rFonts w:ascii="Garamond" w:hAnsi="Garamond"/>
          <w:sz w:val="20"/>
          <w:szCs w:val="20"/>
        </w:rPr>
      </w:r>
      <w:r>
        <w:br w:type="page"/>
      </w:r>
    </w:p>
    <w:tbl>
      <w:tblPr>
        <w:tblStyle w:val="TableGrid"/>
        <w:tblW w:w="14889" w:type="dxa"/>
        <w:jc w:val="left"/>
        <w:tblInd w:w="0" w:type="dxa"/>
        <w:tblCellMar>
          <w:top w:w="0" w:type="dxa"/>
          <w:left w:w="0" w:type="dxa"/>
          <w:bottom w:w="57" w:type="dxa"/>
          <w:right w:w="57" w:type="dxa"/>
        </w:tblCellMar>
        <w:tblLook w:val="04a0" w:noHBand="0" w:noVBand="1" w:firstColumn="1" w:lastRow="0" w:lastColumn="0" w:firstRow="1"/>
      </w:tblPr>
      <w:tblGrid>
        <w:gridCol w:w="856"/>
        <w:gridCol w:w="3061"/>
        <w:gridCol w:w="341"/>
        <w:gridCol w:w="3061"/>
        <w:gridCol w:w="341"/>
        <w:gridCol w:w="3063"/>
        <w:gridCol w:w="339"/>
        <w:gridCol w:w="3063"/>
        <w:gridCol w:w="762"/>
      </w:tblGrid>
      <w:tr>
        <w:trPr>
          <w:trHeight w:val="340" w:hRule="atLeast"/>
        </w:trPr>
        <w:tc>
          <w:tcPr>
            <w:tcW w:w="856" w:type="dxa"/>
            <w:tcBorders>
              <w:top w:val="nil"/>
              <w:left w:val="nil"/>
              <w:bottom w:val="dashed" w:sz="4" w:space="0" w:color="000000"/>
              <w:right w:val="dashed" w:sz="4" w:space="0" w:color="000000"/>
            </w:tcBorders>
            <w:shd w:color="auto" w:fill="auto" w:val="clear"/>
            <w:vAlign w:val="bottom"/>
          </w:tcPr>
          <w:p>
            <w:pPr>
              <w:pStyle w:val="Normal"/>
              <w:pageBreakBefore/>
              <w:jc w:val="right"/>
              <w:rPr>
                <w:rFonts w:ascii="Garamond" w:hAnsi="Garamond"/>
                <w:sz w:val="16"/>
                <w:szCs w:val="16"/>
              </w:rPr>
            </w:pPr>
            <w:r>
              <w:rPr>
                <w:rFonts w:ascii="Garamond" w:hAnsi="Garamond"/>
                <w:sz w:val="16"/>
                <w:szCs w:val="16"/>
              </w:rPr>
              <w:t>Cut here</w:t>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0"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39"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762" w:type="dxa"/>
            <w:tcBorders>
              <w:top w:val="nil"/>
              <w:left w:val="dashed" w:sz="4" w:space="0" w:color="000000"/>
              <w:bottom w:val="dashed" w:sz="4" w:space="0" w:color="000000"/>
              <w:right w:val="nil"/>
            </w:tcBorders>
            <w:tcMar>
              <w:bottom w:w="0" w:type="dxa"/>
              <w:right w:w="5" w:type="dxa"/>
            </w:tcMar>
          </w:tcPr>
          <w:p>
            <w:pPr>
              <w:pStyle w:val="Normal"/>
              <w:rPr>
                <w:rFonts w:ascii="Garamond" w:hAnsi="Garamond"/>
                <w:sz w:val="20"/>
                <w:szCs w:val="20"/>
              </w:rPr>
            </w:pPr>
            <w:r>
              <w:rPr>
                <w:rFonts w:ascii="Garamond" w:hAnsi="Garamond"/>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nil"/>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nil"/>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drawing>
          <wp:inline distT="0" distB="0" distL="0" distR="0">
            <wp:extent cx="9612630" cy="6838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5"/>
                    <a:stretch>
                      <a:fillRect/>
                    </a:stretch>
                  </pic:blipFill>
                  <pic:spPr bwMode="auto">
                    <a:xfrm>
                      <a:off x="0" y="0"/>
                      <a:ext cx="9612630" cy="6838950"/>
                    </a:xfrm>
                    <a:prstGeom prst="rect">
                      <a:avLst/>
                    </a:prstGeom>
                  </pic:spPr>
                </pic:pic>
              </a:graphicData>
            </a:graphic>
          </wp:inline>
        </w:drawing>
      </w:r>
    </w:p>
    <w:p>
      <w:pPr>
        <w:pStyle w:val="Normal"/>
        <w:rPr>
          <w:rFonts w:ascii="Garamond" w:hAnsi="Garamond"/>
          <w:sz w:val="20"/>
          <w:szCs w:val="20"/>
        </w:rPr>
      </w:pPr>
      <w:r>
        <w:rPr>
          <w:rFonts w:ascii="Garamond" w:hAnsi="Garamond"/>
          <w:sz w:val="20"/>
          <w:szCs w:val="20"/>
        </w:rPr>
      </w:r>
    </w:p>
    <w:p>
      <w:pPr>
        <w:pStyle w:val="CHeadTop"/>
        <w:rPr/>
      </w:pPr>
      <w:r>
        <w:rPr/>
        <w:t>Change Log</w:t>
      </w:r>
    </w:p>
    <w:tbl>
      <w:tblPr>
        <w:tblStyle w:val="TableGrid"/>
        <w:tblW w:w="14940" w:type="dxa"/>
        <w:jc w:val="left"/>
        <w:tblInd w:w="-51" w:type="dxa"/>
        <w:tblCellMar>
          <w:top w:w="0" w:type="dxa"/>
          <w:left w:w="57" w:type="dxa"/>
          <w:bottom w:w="0" w:type="dxa"/>
          <w:right w:w="57" w:type="dxa"/>
        </w:tblCellMar>
        <w:tblLook w:val="04a0" w:noHBand="0" w:noVBand="1" w:firstColumn="1" w:lastRow="0" w:lastColumn="0" w:firstRow="1"/>
      </w:tblPr>
      <w:tblGrid>
        <w:gridCol w:w="1900"/>
        <w:gridCol w:w="2552"/>
        <w:gridCol w:w="10488"/>
      </w:tblGrid>
      <w:tr>
        <w:trPr>
          <w:tblHeader w:val="true"/>
        </w:trPr>
        <w:tc>
          <w:tcPr>
            <w:tcW w:w="4452" w:type="dxa"/>
            <w:gridSpan w:val="2"/>
            <w:tcBorders/>
            <w:shd w:color="auto" w:fill="17365D" w:themeFill="text2" w:themeFillShade="bf" w:val="clear"/>
          </w:tcPr>
          <w:p>
            <w:pPr>
              <w:pStyle w:val="Normal"/>
              <w:rPr>
                <w:rFonts w:ascii="Garamond" w:hAnsi="Garamond"/>
                <w:sz w:val="20"/>
                <w:szCs w:val="20"/>
              </w:rPr>
            </w:pPr>
            <w:r>
              <w:rPr>
                <w:rFonts w:ascii="Garamond" w:hAnsi="Garamond"/>
                <w:sz w:val="20"/>
                <w:szCs w:val="20"/>
              </w:rPr>
              <w:t>Version / Date</w:t>
            </w:r>
          </w:p>
        </w:tc>
        <w:tc>
          <w:tcPr>
            <w:tcW w:w="10488" w:type="dxa"/>
            <w:tcBorders/>
            <w:shd w:color="auto" w:fill="17365D" w:themeFill="text2" w:themeFillShade="bf" w:val="clear"/>
          </w:tcPr>
          <w:p>
            <w:pPr>
              <w:pStyle w:val="Normal"/>
              <w:rPr>
                <w:rFonts w:ascii="Garamond" w:hAnsi="Garamond"/>
                <w:sz w:val="20"/>
                <w:szCs w:val="20"/>
              </w:rPr>
            </w:pPr>
            <w:r>
              <w:rPr>
                <w:rFonts w:ascii="Garamond" w:hAnsi="Garamond"/>
                <w:sz w:val="20"/>
                <w:szCs w:val="20"/>
              </w:rPr>
              <w:t>Comments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30 Jul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Original Draft</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reviewed and updated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15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announced OWASP SCP mailing list for comment.</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Release.</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 Jun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14 Aug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18 Sep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 Feb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21 Mar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 Mar 2015</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 ¿Puedo copiar o editar el juego?</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29 Jun 2016</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bl>
    <w:p>
      <w:pPr>
        <w:pStyle w:val="Normal"/>
        <w:rPr/>
      </w:pPr>
      <w:r>
        <w:rPr/>
      </w:r>
    </w:p>
    <w:p>
      <w:pPr>
        <w:pStyle w:val="Normal"/>
        <w:rPr/>
      </w:pPr>
      <w:r>
        <w:rPr/>
      </w:r>
    </w:p>
    <w:p>
      <w:pPr>
        <w:pStyle w:val="Normal"/>
        <w:rPr/>
      </w:pPr>
      <w:r>
        <w:rPr/>
      </w:r>
      <w:r>
        <w:br w:type="page"/>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977"/>
        <w:gridCol w:w="7376"/>
      </w:tblGrid>
      <w:tr>
        <w:trPr/>
        <w:tc>
          <w:tcPr>
            <w:tcW w:w="7977" w:type="dxa"/>
            <w:tcBorders>
              <w:top w:val="nil"/>
              <w:left w:val="nil"/>
              <w:bottom w:val="nil"/>
              <w:right w:val="nil"/>
            </w:tcBorders>
          </w:tcPr>
          <w:p>
            <w:pPr>
              <w:pStyle w:val="CHeadTop"/>
              <w:pageBreakBefore/>
              <w:rPr/>
            </w:pPr>
            <w:r>
              <w:rPr/>
              <w:t>Project contributors</w:t>
            </w:r>
          </w:p>
          <w:p>
            <w:pPr>
              <w:pStyle w:val="CHeadTop"/>
              <w:rPr>
                <w:b w:val="false"/>
                <w:b w:val="false"/>
                <w:sz w:val="20"/>
                <w:szCs w:val="20"/>
              </w:rPr>
            </w:pPr>
            <w:r>
              <w:rPr>
                <w:b w:val="false"/>
                <w:sz w:val="20"/>
                <w:szCs w:val="20"/>
              </w:rPr>
              <w:t xml:space="preserve">All OWASP projects rely on the voluntary efforts of people in the software development and information security sectors. </w:t>
            </w:r>
          </w:p>
          <w:p>
            <w:pPr>
              <w:pStyle w:val="CHeadTop"/>
              <w:rPr>
                <w:b w:val="false"/>
                <w:b w:val="false"/>
                <w:sz w:val="20"/>
                <w:szCs w:val="20"/>
              </w:rPr>
            </w:pPr>
            <w:r>
              <w:rPr>
                <w:b w:val="false"/>
                <w:sz w:val="20"/>
                <w:szCs w:val="20"/>
              </w:rPr>
              <w:t xml:space="preserve">They have contributed their time and energy to make suggestions, provide feedback, write, review and edit documentation, give encouragement, trial the game, and promote the concept. </w:t>
            </w:r>
          </w:p>
          <w:p>
            <w:pPr>
              <w:pStyle w:val="CHeadTop"/>
              <w:rPr>
                <w:b w:val="false"/>
                <w:b w:val="false"/>
                <w:sz w:val="20"/>
                <w:szCs w:val="20"/>
              </w:rPr>
            </w:pPr>
            <w:r>
              <w:rPr>
                <w:b w:val="false"/>
                <w:sz w:val="20"/>
                <w:szCs w:val="20"/>
              </w:rPr>
              <w:t xml:space="preserve">Without all their efforts, the project would not have progressed to this point. </w:t>
            </w:r>
          </w:p>
          <w:p>
            <w:pPr>
              <w:pStyle w:val="CHeadTop"/>
              <w:rPr>
                <w:b w:val="false"/>
                <w:b w:val="false"/>
                <w:sz w:val="20"/>
                <w:szCs w:val="20"/>
              </w:rPr>
            </w:pPr>
            <w:r>
              <w:rPr>
                <w:b w:val="false"/>
                <w:sz w:val="20"/>
                <w:szCs w:val="20"/>
              </w:rPr>
              <w:t>Please contact the mailing list or project leaders directly, if anyone is missing from the below lists.</w:t>
            </w:r>
          </w:p>
          <w:p>
            <w:pPr>
              <w:pStyle w:val="CHeadTop"/>
              <w:rPr>
                <w:sz w:val="20"/>
                <w:szCs w:val="20"/>
              </w:rPr>
            </w:pPr>
            <w:r>
              <w:rPr>
                <w:sz w:val="20"/>
                <w:szCs w:val="20"/>
              </w:rPr>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87"/>
              <w:gridCol w:w="2587"/>
              <w:gridCol w:w="2587"/>
            </w:tblGrid>
            <w:tr>
              <w:trPr/>
              <w:tc>
                <w:tcPr>
                  <w:tcW w:w="2587" w:type="dxa"/>
                  <w:tcBorders>
                    <w:top w:val="nil"/>
                    <w:left w:val="nil"/>
                    <w:bottom w:val="nil"/>
                    <w:right w:val="nil"/>
                  </w:tcBorders>
                </w:tcPr>
                <w:p>
                  <w:pPr>
                    <w:pStyle w:val="CHeadTop"/>
                    <w:numPr>
                      <w:ilvl w:val="0"/>
                      <w:numId w:val="4"/>
                    </w:numPr>
                    <w:spacing w:before="0" w:after="40"/>
                    <w:ind w:left="714" w:hanging="357"/>
                    <w:rPr>
                      <w:rFonts w:eastAsia="ＭＳ ゴシック" w:cs="" w:cstheme="majorBidi" w:eastAsiaTheme="majorEastAsia"/>
                      <w:b w:val="false"/>
                      <w:b w:val="false"/>
                      <w:bCs/>
                      <w:color w:val="243F60" w:themeColor="accent1" w:themeShade="7f"/>
                      <w:sz w:val="20"/>
                      <w:szCs w:val="20"/>
                    </w:rPr>
                  </w:pPr>
                  <w:r>
                    <w:rPr>
                      <w:b w:val="false"/>
                      <w:sz w:val="20"/>
                      <w:szCs w:val="20"/>
                    </w:rPr>
                    <w:t>Simon Bennetts</w:t>
                  </w:r>
                </w:p>
                <w:p>
                  <w:pPr>
                    <w:pStyle w:val="CHeadTop"/>
                    <w:numPr>
                      <w:ilvl w:val="0"/>
                      <w:numId w:val="4"/>
                    </w:numPr>
                    <w:spacing w:before="0" w:after="40"/>
                    <w:ind w:left="714" w:hanging="357"/>
                    <w:rPr>
                      <w:sz w:val="20"/>
                      <w:szCs w:val="20"/>
                    </w:rPr>
                  </w:pPr>
                  <w:r>
                    <w:rPr>
                      <w:b w:val="false"/>
                      <w:sz w:val="20"/>
                      <w:szCs w:val="20"/>
                    </w:rPr>
                    <w:t>Tom Brennan</w:t>
                  </w:r>
                </w:p>
                <w:p>
                  <w:pPr>
                    <w:pStyle w:val="CHeadTop"/>
                    <w:numPr>
                      <w:ilvl w:val="0"/>
                      <w:numId w:val="4"/>
                    </w:numPr>
                    <w:spacing w:before="0" w:after="40"/>
                    <w:ind w:left="714" w:hanging="357"/>
                    <w:rPr>
                      <w:b w:val="false"/>
                      <w:b w:val="false"/>
                      <w:sz w:val="20"/>
                      <w:szCs w:val="20"/>
                    </w:rPr>
                  </w:pPr>
                  <w:r>
                    <w:rPr>
                      <w:b w:val="false"/>
                      <w:sz w:val="20"/>
                      <w:szCs w:val="20"/>
                    </w:rPr>
                    <w:t>Fabio Cerullo</w:t>
                  </w:r>
                </w:p>
                <w:p>
                  <w:pPr>
                    <w:pStyle w:val="CHeadTop"/>
                    <w:numPr>
                      <w:ilvl w:val="0"/>
                      <w:numId w:val="4"/>
                    </w:numPr>
                    <w:spacing w:before="0" w:after="40"/>
                    <w:ind w:left="714" w:hanging="357"/>
                    <w:rPr>
                      <w:b w:val="false"/>
                      <w:b w:val="false"/>
                      <w:sz w:val="20"/>
                      <w:szCs w:val="20"/>
                    </w:rPr>
                  </w:pPr>
                  <w:r>
                    <w:rPr>
                      <w:b w:val="false"/>
                      <w:sz w:val="20"/>
                      <w:szCs w:val="20"/>
                    </w:rPr>
                    <w:t>Oana Cornea</w:t>
                  </w:r>
                </w:p>
                <w:p>
                  <w:pPr>
                    <w:pStyle w:val="CHeadTop"/>
                    <w:numPr>
                      <w:ilvl w:val="0"/>
                      <w:numId w:val="4"/>
                    </w:numPr>
                    <w:spacing w:before="0" w:after="40"/>
                    <w:ind w:left="714" w:hanging="357"/>
                    <w:rPr>
                      <w:b w:val="false"/>
                      <w:b w:val="false"/>
                      <w:sz w:val="20"/>
                      <w:szCs w:val="20"/>
                    </w:rPr>
                  </w:pPr>
                  <w:r>
                    <w:rPr>
                      <w:b w:val="false"/>
                      <w:sz w:val="20"/>
                      <w:szCs w:val="20"/>
                    </w:rPr>
                    <w:t>Johanna Curiel</w:t>
                  </w:r>
                </w:p>
                <w:p>
                  <w:pPr>
                    <w:pStyle w:val="CHeadTop"/>
                    <w:numPr>
                      <w:ilvl w:val="0"/>
                      <w:numId w:val="4"/>
                    </w:numPr>
                    <w:spacing w:before="0" w:after="40"/>
                    <w:ind w:left="714" w:hanging="357"/>
                    <w:rPr>
                      <w:b w:val="false"/>
                      <w:b w:val="false"/>
                      <w:sz w:val="20"/>
                      <w:szCs w:val="20"/>
                    </w:rPr>
                  </w:pPr>
                  <w:r>
                    <w:rPr>
                      <w:b w:val="false"/>
                      <w:sz w:val="20"/>
                      <w:szCs w:val="20"/>
                    </w:rPr>
                    <w:t>Todd Dahl</w:t>
                  </w:r>
                </w:p>
                <w:p>
                  <w:pPr>
                    <w:pStyle w:val="CHeadTop"/>
                    <w:numPr>
                      <w:ilvl w:val="0"/>
                      <w:numId w:val="4"/>
                    </w:numPr>
                    <w:spacing w:before="0" w:after="40"/>
                    <w:ind w:left="714" w:hanging="357"/>
                    <w:rPr>
                      <w:b w:val="false"/>
                      <w:b w:val="false"/>
                      <w:sz w:val="20"/>
                      <w:szCs w:val="20"/>
                    </w:rPr>
                  </w:pPr>
                  <w:r>
                    <w:rPr>
                      <w:b w:val="false"/>
                      <w:sz w:val="20"/>
                      <w:szCs w:val="20"/>
                    </w:rPr>
                    <w:t>Luis Enriquez</w:t>
                  </w:r>
                </w:p>
                <w:p>
                  <w:pPr>
                    <w:pStyle w:val="CHeadTop"/>
                    <w:numPr>
                      <w:ilvl w:val="0"/>
                      <w:numId w:val="4"/>
                    </w:numPr>
                    <w:spacing w:before="0" w:after="40"/>
                    <w:ind w:left="714" w:hanging="357"/>
                    <w:rPr>
                      <w:b w:val="false"/>
                      <w:b w:val="false"/>
                      <w:sz w:val="20"/>
                      <w:szCs w:val="20"/>
                    </w:rPr>
                  </w:pPr>
                  <w:r>
                    <w:rPr>
                      <w:b w:val="false"/>
                      <w:sz w:val="20"/>
                      <w:szCs w:val="20"/>
                    </w:rPr>
                    <w:t>Ken Ferris</w:t>
                  </w:r>
                </w:p>
                <w:p>
                  <w:pPr>
                    <w:pStyle w:val="CHeadTop"/>
                    <w:numPr>
                      <w:ilvl w:val="0"/>
                      <w:numId w:val="4"/>
                    </w:numPr>
                    <w:spacing w:before="0" w:after="40"/>
                    <w:ind w:left="714" w:hanging="357"/>
                    <w:rPr>
                      <w:b w:val="false"/>
                      <w:b w:val="false"/>
                      <w:sz w:val="20"/>
                      <w:szCs w:val="20"/>
                    </w:rPr>
                  </w:pPr>
                  <w:r>
                    <w:rPr>
                      <w:b w:val="false"/>
                      <w:sz w:val="20"/>
                      <w:szCs w:val="20"/>
                      <w:lang w:val="en-US"/>
                    </w:rPr>
                    <w:t>Darío De Filippis</w:t>
                  </w:r>
                </w:p>
              </w:tc>
              <w:tc>
                <w:tcPr>
                  <w:tcW w:w="2587" w:type="dxa"/>
                  <w:tcBorders>
                    <w:top w:val="nil"/>
                    <w:left w:val="nil"/>
                    <w:bottom w:val="nil"/>
                    <w:right w:val="nil"/>
                  </w:tcBorders>
                </w:tcPr>
                <w:p>
                  <w:pPr>
                    <w:pStyle w:val="CHeadTop"/>
                    <w:numPr>
                      <w:ilvl w:val="0"/>
                      <w:numId w:val="4"/>
                    </w:numPr>
                    <w:spacing w:before="0" w:after="40"/>
                    <w:ind w:left="527" w:hanging="357"/>
                    <w:rPr>
                      <w:b w:val="false"/>
                      <w:b w:val="false"/>
                      <w:sz w:val="20"/>
                      <w:szCs w:val="20"/>
                    </w:rPr>
                  </w:pPr>
                  <w:r>
                    <w:rPr>
                      <w:b w:val="false"/>
                      <w:sz w:val="20"/>
                      <w:szCs w:val="20"/>
                    </w:rPr>
                    <w:t>Sebastien Gioria</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Tobias Gondrom</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Timo Goosen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 xml:space="preserve">Anthony Harrison </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John Herrlin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Jerry Hoff</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Marios Kourtesis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Antonis Manaras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Jim Manico</w:t>
                  </w:r>
                </w:p>
              </w:tc>
              <w:tc>
                <w:tcPr>
                  <w:tcW w:w="2587" w:type="dxa"/>
                  <w:tcBorders>
                    <w:top w:val="nil"/>
                    <w:left w:val="nil"/>
                    <w:bottom w:val="nil"/>
                    <w:right w:val="nil"/>
                  </w:tcBorders>
                </w:tcPr>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Mark Miller</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Cam Morris</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lang w:val="en-US"/>
                    </w:rPr>
                    <w:t>Susana Romaniz</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Ravishankar Sahadevan</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Tao Sauvage</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Stephen de Vries</w:t>
                  </w:r>
                </w:p>
                <w:p>
                  <w:pPr>
                    <w:pStyle w:val="CHeadTop"/>
                    <w:numPr>
                      <w:ilvl w:val="0"/>
                      <w:numId w:val="4"/>
                    </w:numPr>
                    <w:spacing w:before="0" w:after="60"/>
                    <w:ind w:left="494" w:hanging="357"/>
                    <w:rPr>
                      <w:b w:val="false"/>
                      <w:b w:val="false"/>
                      <w:sz w:val="20"/>
                      <w:szCs w:val="20"/>
                    </w:rPr>
                  </w:pPr>
                  <w:r>
                    <w:rPr>
                      <w:b w:val="false"/>
                      <w:sz w:val="20"/>
                      <w:szCs w:val="20"/>
                    </w:rPr>
                    <w:t>Colin Watson</w:t>
                  </w:r>
                </w:p>
              </w:tc>
            </w:tr>
          </w:tbl>
          <w:p>
            <w:pPr>
              <w:pStyle w:val="CHeadTop"/>
              <w:rPr>
                <w:b w:val="false"/>
                <w:b w:val="false"/>
                <w:sz w:val="20"/>
                <w:szCs w:val="20"/>
              </w:rPr>
            </w:pPr>
            <w:r>
              <w:rPr>
                <w:b w:val="false"/>
                <w:sz w:val="20"/>
                <w:szCs w:val="20"/>
              </w:rPr>
            </w:r>
          </w:p>
          <w:p>
            <w:pPr>
              <w:pStyle w:val="CHeadTop"/>
              <w:numPr>
                <w:ilvl w:val="0"/>
                <w:numId w:val="5"/>
              </w:numPr>
              <w:rPr>
                <w:b w:val="false"/>
                <w:b w:val="false"/>
                <w:sz w:val="20"/>
                <w:szCs w:val="20"/>
              </w:rPr>
            </w:pPr>
            <w:r>
              <w:rPr>
                <w:b w:val="false"/>
                <w:sz w:val="20"/>
                <w:szCs w:val="20"/>
              </w:rPr>
              <w:t>•OWASP’s hard-working employees, especially Kate Hartmann</w:t>
            </w:r>
          </w:p>
          <w:p>
            <w:pPr>
              <w:pStyle w:val="CHeadTop"/>
              <w:numPr>
                <w:ilvl w:val="0"/>
                <w:numId w:val="5"/>
              </w:numPr>
              <w:rPr>
                <w:b w:val="false"/>
                <w:b w:val="false"/>
                <w:sz w:val="20"/>
                <w:szCs w:val="20"/>
              </w:rPr>
            </w:pPr>
            <w:r>
              <w:rPr>
                <w:b w:val="false"/>
                <w:sz w:val="20"/>
                <w:szCs w:val="20"/>
              </w:rPr>
              <w:t>•Attendees at OWASP London, OWASP Manchester, OWASP Netherlands and OWASP Scotland chapter meetings, and the London Gamification meetup, who made helpful suggestions and asked challenging questions</w:t>
            </w:r>
          </w:p>
          <w:p>
            <w:pPr>
              <w:pStyle w:val="CHeadTop"/>
              <w:numPr>
                <w:ilvl w:val="0"/>
                <w:numId w:val="5"/>
              </w:numPr>
              <w:rPr>
                <w:b w:val="false"/>
                <w:b w:val="false"/>
                <w:sz w:val="20"/>
                <w:szCs w:val="20"/>
              </w:rPr>
            </w:pPr>
            <w:r>
              <w:rPr>
                <w:b w:val="false"/>
                <w:sz w:val="20"/>
                <w:szCs w:val="20"/>
              </w:rPr>
              <w:t>•Blackfoot UK Limited for gifting print-ready design files and hundreds of professionally printed card decks for distribution by post and at OWASP chapter meetings</w:t>
            </w:r>
          </w:p>
          <w:p>
            <w:pPr>
              <w:pStyle w:val="CHeadTop"/>
              <w:numPr>
                <w:ilvl w:val="0"/>
                <w:numId w:val="5"/>
              </w:numPr>
              <w:rPr>
                <w:b w:val="false"/>
                <w:b w:val="false"/>
                <w:sz w:val="20"/>
                <w:szCs w:val="20"/>
              </w:rPr>
            </w:pPr>
            <w:r>
              <w:rPr>
                <w:b w:val="false"/>
                <w:sz w:val="20"/>
                <w:szCs w:val="20"/>
              </w:rPr>
              <w:t xml:space="preserve"> • Video of presentation, OWASP EU Tour 2013 London, 3rd June 2013</w:t>
            </w:r>
          </w:p>
          <w:p>
            <w:pPr>
              <w:pStyle w:val="CHeadMiddle"/>
              <w:rPr/>
            </w:pPr>
            <w:r>
              <w:rPr/>
              <w:t>Podcasts and videos</w:t>
            </w:r>
          </w:p>
          <w:p>
            <w:pPr>
              <w:pStyle w:val="Normal"/>
              <w:rPr>
                <w:rFonts w:ascii="Garamond" w:hAnsi="Garamond"/>
                <w:sz w:val="20"/>
                <w:szCs w:val="20"/>
              </w:rPr>
            </w:pPr>
            <w:r>
              <w:rPr>
                <w:rFonts w:ascii="Garamond" w:hAnsi="Garamond"/>
                <w:sz w:val="20"/>
                <w:szCs w:val="20"/>
              </w:rPr>
              <w:t xml:space="preserve"> • Video of presentation, OWASP EU Tour 2013 London, 3rd June 2013</w:t>
              <w:br/>
            </w:r>
          </w:p>
          <w:p>
            <w:pPr>
              <w:pStyle w:val="CHeadMiddle"/>
              <w:numPr>
                <w:ilvl w:val="0"/>
                <w:numId w:val="6"/>
              </w:numPr>
              <w:spacing w:before="0" w:after="120"/>
              <w:ind w:left="714" w:hanging="357"/>
              <w:rPr>
                <w:b w:val="false"/>
                <w:b w:val="false"/>
                <w:sz w:val="20"/>
                <w:szCs w:val="20"/>
              </w:rPr>
            </w:pPr>
            <w:r>
              <w:rPr>
                <w:b w:val="false"/>
                <w:sz w:val="20"/>
                <w:szCs w:val="20"/>
              </w:rPr>
              <w:t>Version / Date</w:t>
              <w:br/>
            </w:r>
            <w:hyperlink r:id="rId16">
              <w:r>
                <w:rPr>
                  <w:rStyle w:val="InternetLink"/>
                  <w:b w:val="false"/>
                  <w:sz w:val="20"/>
                  <w:szCs w:val="20"/>
                </w:rPr>
                <w:t>https://www.youtube.com/watch?v=i5Y0akWj31k</w:t>
              </w:r>
            </w:hyperlink>
          </w:p>
          <w:p>
            <w:pPr>
              <w:pStyle w:val="CHeadMiddle"/>
              <w:numPr>
                <w:ilvl w:val="0"/>
                <w:numId w:val="6"/>
              </w:numPr>
              <w:spacing w:before="0" w:after="120"/>
              <w:ind w:left="714" w:hanging="357"/>
              <w:rPr>
                <w:b w:val="false"/>
                <w:b w:val="false"/>
                <w:sz w:val="20"/>
                <w:szCs w:val="20"/>
              </w:rPr>
            </w:pPr>
            <w:r>
              <w:rPr>
                <w:b w:val="false"/>
                <w:sz w:val="20"/>
                <w:szCs w:val="20"/>
              </w:rPr>
              <w:t>Podcast and video links added.</w:t>
              <w:br/>
            </w:r>
            <w:hyperlink r:id="rId17">
              <w:r>
                <w:rPr>
                  <w:rStyle w:val="InternetLink"/>
                  <w:b w:val="false"/>
                  <w:sz w:val="20"/>
                  <w:szCs w:val="20"/>
                </w:rPr>
                <w:t>http://trustedsoftwarealliance.com/2014/03/21/the-owasp-cornucopia-project-with-colin-watson/</w:t>
              </w:r>
            </w:hyperlink>
          </w:p>
          <w:p>
            <w:pPr>
              <w:pStyle w:val="CHeadMiddle"/>
              <w:numPr>
                <w:ilvl w:val="0"/>
                <w:numId w:val="6"/>
              </w:numPr>
              <w:spacing w:before="0" w:after="120"/>
              <w:ind w:left="714" w:hanging="357"/>
              <w:rPr>
                <w:b w:val="false"/>
                <w:b w:val="false"/>
                <w:sz w:val="20"/>
                <w:szCs w:val="20"/>
              </w:rPr>
            </w:pPr>
            <w:r>
              <w:rPr>
                <w:b w:val="false"/>
                <w:sz w:val="20"/>
                <w:szCs w:val="20"/>
              </w:rPr>
              <w:t xml:space="preserve"> • Video of presentation, OWASP EU Tour 2013 London, 3rd June 2013</w:t>
              <w:br/>
            </w:r>
            <w:hyperlink r:id="rId18">
              <w:r>
                <w:rPr>
                  <w:rStyle w:val="InternetLink"/>
                  <w:b w:val="false"/>
                  <w:sz w:val="20"/>
                  <w:szCs w:val="20"/>
                </w:rPr>
                <w:t>https://www.youtube.com/watch?v=Q_LE-8xNXVk</w:t>
              </w:r>
            </w:hyperlink>
          </w:p>
          <w:p>
            <w:pPr>
              <w:pStyle w:val="CHeadMiddle"/>
              <w:spacing w:before="0" w:after="120"/>
              <w:rPr>
                <w:b w:val="false"/>
                <w:b w:val="false"/>
                <w:sz w:val="20"/>
                <w:szCs w:val="20"/>
              </w:rPr>
            </w:pPr>
            <w:r>
              <w:rPr>
                <w:b w:val="false"/>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8500" cy="66198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9"/>
                          <a:stretch>
                            <a:fillRect/>
                          </a:stretch>
                        </pic:blipFill>
                        <pic:spPr bwMode="auto">
                          <a:xfrm>
                            <a:off x="0" y="0"/>
                            <a:ext cx="4508500" cy="6619875"/>
                          </a:xfrm>
                          <a:prstGeom prst="rect">
                            <a:avLst/>
                          </a:prstGeom>
                        </pic:spPr>
                      </pic:pic>
                    </a:graphicData>
                  </a:graphic>
                </wp:inline>
              </w:drawing>
            </w:r>
          </w:p>
        </w:tc>
      </w:tr>
    </w:tbl>
    <w:p>
      <w:pPr>
        <w:pStyle w:val="Normal"/>
        <w:rPr>
          <w:rFonts w:ascii="Garamond" w:hAnsi="Garamond"/>
          <w:sz w:val="20"/>
          <w:szCs w:val="20"/>
        </w:rPr>
      </w:pPr>
      <w:r>
        <w:rPr/>
      </w:r>
    </w:p>
    <w:sectPr>
      <w:headerReference w:type="default" r:id="rId20"/>
      <w:type w:val="nextPage"/>
      <w:pgSz w:orient="landscape" w:w="16838" w:h="11906"/>
      <w:pgMar w:left="851" w:right="851" w:header="227" w:top="567" w:footer="0" w:bottom="28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Garamon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5352"/>
      <w:gridCol w:w="2693"/>
      <w:gridCol w:w="7309"/>
    </w:tblGrid>
    <w:tr>
      <w:trPr/>
      <w:tc>
        <w:tcPr>
          <w:tcW w:w="5352" w:type="dxa"/>
          <w:tcBorders>
            <w:top w:val="nil"/>
            <w:left w:val="nil"/>
            <w:bottom w:val="nil"/>
            <w:right w:val="nil"/>
          </w:tcBorders>
        </w:tcPr>
        <w:p>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sz w:val="16"/>
              <w:szCs w:val="16"/>
              <w:rFonts w:ascii="Garamond" w:hAnsi="Garamond"/>
              <w:color w:val="BFBFBF"/>
            </w:rPr>
            <w:instrText> TITLE </w:instrText>
          </w:r>
          <w:r>
            <w:rPr>
              <w:sz w:val="16"/>
              <w:szCs w:val="16"/>
              <w:rFonts w:ascii="Garamond" w:hAnsi="Garamond"/>
              <w:color w:val="BFBFBF"/>
            </w:rPr>
            <w:fldChar w:fldCharType="separate"/>
          </w:r>
          <w:r>
            <w:rPr>
              <w:sz w:val="16"/>
              <w:szCs w:val="16"/>
              <w:rFonts w:ascii="Garamond" w:hAnsi="Garamond"/>
              <w:color w:val="BFBFBF"/>
            </w:rPr>
            <w:t>OWASP Cornucopia Ecommerce Website Edition</w:t>
          </w:r>
          <w:r>
            <w:rPr>
              <w:sz w:val="16"/>
              <w:szCs w:val="16"/>
              <w:rFonts w:ascii="Garamond" w:hAnsi="Garamond"/>
              <w:color w:val="BFBFBF"/>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sz w:val="16"/>
              <w:szCs w:val="16"/>
              <w:rFonts w:ascii="Garamond" w:hAnsi="Garamond"/>
              <w:color w:val="BFBFBF"/>
            </w:rPr>
            <w:instrText> SUBJECT </w:instrText>
          </w:r>
          <w:r>
            <w:rPr>
              <w:sz w:val="16"/>
              <w:szCs w:val="16"/>
              <w:rFonts w:ascii="Garamond" w:hAnsi="Garamond"/>
              <w:color w:val="BFBFBF"/>
            </w:rPr>
            <w:fldChar w:fldCharType="separate"/>
          </w:r>
          <w:r>
            <w:rPr>
              <w:sz w:val="16"/>
              <w:szCs w:val="16"/>
              <w:rFonts w:ascii="Garamond" w:hAnsi="Garamond"/>
              <w:color w:val="BFBFBF"/>
            </w:rPr>
            <w:t>v1.20-EN</w:t>
          </w:r>
          <w:r>
            <w:rPr>
              <w:sz w:val="16"/>
              <w:szCs w:val="16"/>
              <w:rFonts w:ascii="Garamond" w:hAnsi="Garamond"/>
              <w:color w:val="BFBFBF"/>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sz w:val="16"/>
              <w:szCs w:val="16"/>
              <w:rFonts w:ascii="Garamond" w:hAnsi="Garamond"/>
              <w:color w:val="BFBFBF"/>
            </w:rPr>
            <w:instrText> PAGE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sz w:val="16"/>
              <w:szCs w:val="16"/>
              <w:rFonts w:ascii="Garamond" w:hAnsi="Garamond"/>
              <w:color w:val="BFBFBF"/>
            </w:rPr>
            <w:instrText> NUMPAGES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p>
      </w:tc>
      <w:tc>
        <w:tcPr>
          <w:tcW w:w="2693" w:type="dxa"/>
          <w:tcBorders>
            <w:top w:val="nil"/>
            <w:left w:val="nil"/>
            <w:bottom w:val="nil"/>
            <w:right w:val="nil"/>
          </w:tcBorders>
        </w:tcPr>
        <w:p>
          <w:pPr>
            <w:pStyle w:val="Header"/>
            <w:jc w:val="center"/>
            <w:rPr>
              <w:rFonts w:ascii="Garamond" w:hAnsi="Garamond"/>
              <w:sz w:val="16"/>
              <w:szCs w:val="16"/>
            </w:rPr>
          </w:pPr>
          <w:r>
            <w:rPr>
              <w:rFonts w:ascii="Garamond" w:hAnsi="Garamond"/>
              <w:sz w:val="16"/>
              <w:szCs w:val="16"/>
            </w:rPr>
          </w:r>
        </w:p>
      </w:tc>
      <w:tc>
        <w:tcPr>
          <w:tcW w:w="7309" w:type="dxa"/>
          <w:tcBorders>
            <w:top w:val="nil"/>
            <w:left w:val="nil"/>
            <w:bottom w:val="nil"/>
            <w:right w:val="nil"/>
          </w:tcBorders>
        </w:tcPr>
        <w:p>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pPr>
      <w:pStyle w:val="Header"/>
      <w:rPr>
        <w:rFonts w:ascii="Garamond" w:hAnsi="Garamond"/>
        <w:sz w:val="16"/>
        <w:szCs w:val="16"/>
      </w:rPr>
    </w:pPr>
    <w:r>
      <w:rPr>
        <w:rFonts w:ascii="Garamond" w:hAnsi="Garamond"/>
        <w:sz w:val="16"/>
        <w:szCs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42d9"/>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76fdb"/>
    <w:rPr/>
  </w:style>
  <w:style w:type="character" w:styleId="FooterChar" w:customStyle="1">
    <w:name w:val="Footer Char"/>
    <w:basedOn w:val="DefaultParagraphFont"/>
    <w:link w:val="Footer"/>
    <w:uiPriority w:val="99"/>
    <w:qFormat/>
    <w:rsid w:val="00f76fdb"/>
    <w:rPr/>
  </w:style>
  <w:style w:type="character" w:styleId="BalloonTextChar" w:customStyle="1">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InternetLink">
    <w:name w:val="Hyperlink"/>
    <w:basedOn w:val="DefaultParagraphFont"/>
    <w:uiPriority w:val="99"/>
    <w:unhideWhenUsed/>
    <w:rsid w:val="00346594"/>
    <w:rPr>
      <w:color w:val="0000FF" w:themeColor="hyperlink"/>
      <w:u w:val="single"/>
    </w:rPr>
  </w:style>
  <w:style w:type="character" w:styleId="VisitedInternet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76fdb"/>
    <w:pPr>
      <w:tabs>
        <w:tab w:val="clear" w:pos="720"/>
        <w:tab w:val="center" w:pos="4320" w:leader="none"/>
        <w:tab w:val="right" w:pos="8640" w:leader="none"/>
      </w:tabs>
    </w:pPr>
    <w:rPr/>
  </w:style>
  <w:style w:type="paragraph" w:styleId="Footer">
    <w:name w:val="Footer"/>
    <w:basedOn w:val="Normal"/>
    <w:link w:val="FooterChar"/>
    <w:uiPriority w:val="99"/>
    <w:unhideWhenUsed/>
    <w:rsid w:val="00f76fdb"/>
    <w:pPr>
      <w:tabs>
        <w:tab w:val="clear" w:pos="720"/>
        <w:tab w:val="center" w:pos="4320" w:leader="none"/>
        <w:tab w:val="right" w:pos="8640" w:leader="none"/>
      </w:tabs>
    </w:pPr>
    <w:rPr/>
  </w:style>
  <w:style w:type="paragraph" w:styleId="ListParagraph">
    <w:name w:val="List Paragraph"/>
    <w:basedOn w:val="Normal"/>
    <w:uiPriority w:val="34"/>
    <w:qFormat/>
    <w:rsid w:val="009c6edd"/>
    <w:pPr>
      <w:spacing w:before="0" w:after="0"/>
      <w:ind w:left="720" w:hanging="0"/>
      <w:contextualSpacing/>
    </w:pPr>
    <w:rPr/>
  </w:style>
  <w:style w:type="paragraph" w:styleId="BalloonText">
    <w:name w:val="Balloon Text"/>
    <w:basedOn w:val="Normal"/>
    <w:link w:val="BalloonTextChar"/>
    <w:uiPriority w:val="99"/>
    <w:semiHidden/>
    <w:unhideWhenUsed/>
    <w:qFormat/>
    <w:rsid w:val="00777036"/>
    <w:pPr/>
    <w:rPr>
      <w:rFonts w:ascii="Lucida Grande" w:hAnsi="Lucida Grande" w:cs="Lucida Grande"/>
      <w:sz w:val="18"/>
      <w:szCs w:val="18"/>
    </w:rPr>
  </w:style>
  <w:style w:type="paragraph" w:styleId="CHeadTop" w:customStyle="1">
    <w:name w:val="C-Head-Top"/>
    <w:basedOn w:val="Normal"/>
    <w:qFormat/>
    <w:rsid w:val="006a59cd"/>
    <w:pPr>
      <w:spacing w:before="0" w:after="60"/>
    </w:pPr>
    <w:rPr>
      <w:rFonts w:ascii="Garamond" w:hAnsi="Garamond"/>
      <w:b/>
      <w:sz w:val="22"/>
      <w:szCs w:val="22"/>
    </w:rPr>
  </w:style>
  <w:style w:type="paragraph" w:styleId="CHeadMiddle" w:customStyle="1">
    <w:name w:val="C-Head-Middle"/>
    <w:basedOn w:val="CHeadTop"/>
    <w:qFormat/>
    <w:rsid w:val="00505c26"/>
    <w:pPr>
      <w:spacing w:before="240" w:after="60"/>
    </w:pPr>
    <w:rPr/>
  </w:style>
  <w:style w:type="paragraph" w:styleId="Revision">
    <w:name w:val="Revision"/>
    <w:uiPriority w:val="99"/>
    <w:semiHidden/>
    <w:qFormat/>
    <w:rsid w:val="00d6005f"/>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90c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yperlink" Target="https://lists.owasp.org/mailman/listinfo/owasp_cornucopia" TargetMode="External"/><Relationship Id="rId5" Type="http://schemas.openxmlformats.org/officeDocument/2006/relationships/hyperlink" Target="https://www.owasp.org/index.php/OWASP_Cornucopia" TargetMode="External"/><Relationship Id="rId6" Type="http://schemas.openxmlformats.org/officeDocument/2006/relationships/hyperlink" Target="https://wiki.owasp.org/index.php/Cornucopia_-_Ecommerce_Website_Edition_-_Wiki_Deck" TargetMode="External"/><Relationship Id="rId7" Type="http://schemas.openxmlformats.org/officeDocument/2006/relationships/hyperlink" Target="https://www.owasp.org/index.php/File:OWASP_SCP_Quick_Reference_Guide_v2.pdf" TargetMode="External"/><Relationship Id="rId8" Type="http://schemas.openxmlformats.org/officeDocument/2006/relationships/hyperlink" Target="https://www.owasp.org/images/3/33/OWASP_Application_Security_Verification_Standard_3.0.1.pdf" TargetMode="External"/><Relationship Id="rId9" Type="http://schemas.openxmlformats.org/officeDocument/2006/relationships/hyperlink" Target="https://www.owasp.org/index.php/AppSensor_DetectionPoints" TargetMode="External"/><Relationship Id="rId10" Type="http://schemas.openxmlformats.org/officeDocument/2006/relationships/hyperlink" Target="http://capec.mitre.org/data/archive/capec_v2.8.zip"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s://youtu.be/i5Y0akWj31k" TargetMode="External"/><Relationship Id="rId13" Type="http://schemas.openxmlformats.org/officeDocument/2006/relationships/hyperlink" Target="https://www.owasp.org/index.php/File:Cornucopia-scoresheet.pdf" TargetMode="External"/><Relationship Id="rId14" Type="http://schemas.openxmlformats.org/officeDocument/2006/relationships/hyperlink" Target="https://www.owasp.org/index.php/Cornucopia_-_Ecommerce_Website_Edition_-_Wiki_Deck" TargetMode="External"/><Relationship Id="rId15" Type="http://schemas.openxmlformats.org/officeDocument/2006/relationships/image" Target="media/image3.png"/><Relationship Id="rId16" Type="http://schemas.openxmlformats.org/officeDocument/2006/relationships/hyperlink" Target="https://www.youtube.com/watch?v=i5Y0akWj31k" TargetMode="External"/><Relationship Id="rId17" Type="http://schemas.openxmlformats.org/officeDocument/2006/relationships/hyperlink" Target="http://trustedsoftwarealliance.com/2014/03/21/the-owasp-cornucopia-project-with-colin-watson/" TargetMode="External"/><Relationship Id="rId18" Type="http://schemas.openxmlformats.org/officeDocument/2006/relationships/hyperlink" Target="https://www.youtube.com/watch?v=Q_LE-8xNXVk" TargetMode="External"/><Relationship Id="rId19" Type="http://schemas.openxmlformats.org/officeDocument/2006/relationships/image" Target="media/image4.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1186</TotalTime>
  <Application>LibreOffice/6.4.7.2$Linux_X86_64 LibreOffice_project/40$Build-2</Application>
  <Pages>25</Pages>
  <Words>2110</Words>
  <Characters>22189</Characters>
  <CharactersWithSpaces>24054</CharactersWithSpaces>
  <Paragraphs>1291</Paragraphs>
  <Company>OWASP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2016-06-29T14:34:00Z</dcterms:created>
  <dc:creator>Colin Watson</dc:creator>
  <dc:description>This document is licensed under the Creative Commons Attribution-ShareAlike 3.0 license</dc:description>
  <cp:keywords>ecommerce website security requirements threats attacks</cp:keywords>
  <dc:language>en-GB</dc:language>
  <cp:lastModifiedBy/>
  <cp:lastPrinted>2015-03-31T16:57:00Z</cp:lastPrinted>
  <dcterms:modified xsi:type="dcterms:W3CDTF">2022-07-29T12:50:01Z</dcterms:modified>
  <cp:revision>110</cp:revision>
  <dc:subject>v1.20-EN</dc:subject>
  <dc:title>OWASP Cornucopia Ecommerce Website Edition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