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aramond" w:hAnsi="Garamond"/>
          <w:sz w:val="20"/>
          <w:szCs w:val="20"/>
        </w:rPr>
      </w:pPr>
      <w:r>
        <w:rPr>
          <w:rFonts w:ascii="Garamond" w:hAnsi="Garamond"/>
          <w:sz w:val="20"/>
          <w:szCs w:val="20"/>
        </w:rPr>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477"/>
        <w:gridCol w:w="548"/>
        <w:gridCol w:w="7329"/>
      </w:tblGrid>
      <w:tr>
        <w:trPr/>
        <w:tc>
          <w:tcPr>
            <w:tcW w:w="8025" w:type="dxa"/>
            <w:gridSpan w:val="2"/>
            <w:tcBorders>
              <w:top w:val="nil"/>
              <w:left w:val="nil"/>
              <w:bottom w:val="nil"/>
              <w:right w:val="nil"/>
            </w:tcBorders>
          </w:tcPr>
          <w:p>
            <w:pPr>
              <w:pStyle w:val="Normal"/>
              <w:jc w:val="center"/>
              <w:rPr>
                <w:rFonts w:ascii="Garamond" w:hAnsi="Garamond"/>
                <w:sz w:val="20"/>
                <w:szCs w:val="20"/>
              </w:rPr>
            </w:pPr>
            <w:r>
              <w:rPr/>
              <w:drawing>
                <wp:inline distT="0" distB="0" distL="0" distR="0">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2"/>
                          <a:stretch>
                            <a:fillRect/>
                          </a:stretch>
                        </pic:blipFill>
                        <pic:spPr bwMode="auto">
                          <a:xfrm>
                            <a:off x="0" y="0"/>
                            <a:ext cx="2717800" cy="673100"/>
                          </a:xfrm>
                          <a:prstGeom prst="rect">
                            <a:avLst/>
                          </a:prstGeom>
                        </pic:spPr>
                      </pic:pic>
                    </a:graphicData>
                  </a:graphic>
                </wp:inline>
              </w:drawing>
            </w:r>
          </w:p>
          <w:p>
            <w:pPr>
              <w:pStyle w:val="Normal"/>
              <w:spacing w:before="0" w:after="120"/>
              <w:rPr>
                <w:rFonts w:ascii="Garamond" w:hAnsi="Garamond"/>
                <w:sz w:val="20"/>
                <w:szCs w:val="20"/>
              </w:rPr>
            </w:pPr>
            <w:r>
              <w:rPr>
                <w:rFonts w:ascii="Garamond" w:hAnsi="Garamond"/>
                <w:sz w:val="20"/>
                <w:szCs w:val="20"/>
              </w:rPr>
            </w:r>
          </w:p>
          <w:p>
            <w:pPr>
              <w:pStyle w:val="Normal"/>
              <w:jc w:val="center"/>
              <w:rPr>
                <w:rFonts w:ascii="Garamond" w:hAnsi="Garamond"/>
                <w:b/>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pPr>
              <w:pStyle w:val="Normal"/>
              <w:jc w:val="center"/>
              <w:rPr>
                <w:rFonts w:ascii="Garamond" w:hAnsi="Garamond"/>
                <w:b/>
                <w:b/>
                <w:color w:val="000090"/>
                <w:sz w:val="32"/>
                <w:szCs w:val="32"/>
              </w:rPr>
            </w:pPr>
            <w:r>
              <w:rPr>
                <w:rFonts w:ascii="Garamond" w:hAnsi="Garamond"/>
                <w:b/>
                <w:color w:val="000090"/>
                <w:sz w:val="32"/>
                <w:szCs w:val="32"/>
              </w:rPr>
              <w:t>Édition de Ecommerce v1.20-FR</w:t>
            </w:r>
          </w:p>
          <w:p>
            <w:pPr>
              <w:pStyle w:val="Normal"/>
              <w:jc w:val="center"/>
              <w:rPr>
                <w:rFonts w:ascii="Garamond" w:hAnsi="Garamond"/>
                <w:sz w:val="20"/>
                <w:szCs w:val="20"/>
              </w:rPr>
            </w:pPr>
            <w:r>
              <w:rPr>
                <w:rFonts w:ascii="Garamond" w:hAnsi="Garamond"/>
                <w:sz w:val="20"/>
                <w:szCs w:val="20"/>
              </w:rPr>
            </w:r>
          </w:p>
          <w:p>
            <w:pPr>
              <w:pStyle w:val="Normal"/>
              <w:ind w:left="720" w:right="567" w:hanging="0"/>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Auteur</w:t>
            </w:r>
          </w:p>
          <w:p>
            <w:pPr>
              <w:pStyle w:val="Normal"/>
              <w:spacing w:before="0" w:after="120"/>
              <w:jc w:val="center"/>
              <w:rPr>
                <w:rFonts w:ascii="Garamond" w:hAnsi="Garamond"/>
                <w:sz w:val="20"/>
                <w:szCs w:val="20"/>
              </w:rPr>
            </w:pPr>
            <w:r>
              <w:rPr>
                <w:rFonts w:ascii="Garamond" w:hAnsi="Garamond"/>
                <w:sz w:val="20"/>
                <w:szCs w:val="20"/>
              </w:rPr>
              <w:t>Colin Watson</w:t>
            </w:r>
          </w:p>
          <w:p>
            <w:pPr>
              <w:pStyle w:val="Normal"/>
              <w:spacing w:before="120" w:after="20"/>
              <w:jc w:val="center"/>
              <w:rPr>
                <w:rFonts w:ascii="Garamond" w:hAnsi="Garamond"/>
                <w:sz w:val="18"/>
                <w:szCs w:val="18"/>
              </w:rPr>
            </w:pPr>
            <w:r>
              <w:rPr>
                <w:rFonts w:ascii="Garamond" w:hAnsi="Garamond"/>
                <w:sz w:val="18"/>
                <w:szCs w:val="18"/>
              </w:rPr>
              <w:t xml:space="preserve">Chefs de Projet </w:t>
            </w:r>
          </w:p>
          <w:p>
            <w:pPr>
              <w:pStyle w:val="Normal"/>
              <w:spacing w:before="0" w:after="120"/>
              <w:jc w:val="center"/>
              <w:rPr>
                <w:rFonts w:ascii="Garamond" w:hAnsi="Garamond"/>
                <w:sz w:val="20"/>
                <w:szCs w:val="20"/>
              </w:rPr>
            </w:pPr>
            <w:r>
              <w:rPr>
                <w:rFonts w:ascii="Garamond" w:hAnsi="Garamond"/>
                <w:sz w:val="20"/>
                <w:szCs w:val="20"/>
              </w:rPr>
              <w:t>Colin Watson and Grant Ongers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Traducteurs / Relecteurs (version française)</w:t>
            </w:r>
          </w:p>
          <w:p>
            <w:pPr>
              <w:pStyle w:val="Normal"/>
              <w:spacing w:before="0" w:after="120"/>
              <w:jc w:val="center"/>
              <w:rPr>
                <w:rFonts w:ascii="Garamond" w:hAnsi="Garamond"/>
                <w:sz w:val="20"/>
                <w:szCs w:val="20"/>
              </w:rPr>
            </w:pPr>
            <w:r>
              <w:rPr>
                <w:rFonts w:ascii="Garamond" w:hAnsi="Garamond"/>
                <w:sz w:val="20"/>
                <w:szCs w:val="20"/>
              </w:rPr>
              <w:t>Tom Brennan, Johanna Curiel, Darío De Filippis and Timo Goosen</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20"/>
                <w:szCs w:val="20"/>
              </w:rPr>
            </w:pPr>
            <w:r>
              <w:rPr>
                <w:rFonts w:ascii="Garamond" w:hAnsi="Garamond"/>
                <w:sz w:val="20"/>
                <w:szCs w:val="20"/>
              </w:rPr>
              <w:t>Remerciements</w:t>
            </w:r>
          </w:p>
          <w:p>
            <w:pPr>
              <w:pStyle w:val="Normal"/>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pPr>
              <w:pStyle w:val="Normal"/>
              <w:jc w:val="center"/>
              <w:rPr>
                <w:rFonts w:ascii="Garamond" w:hAnsi="Garamond"/>
                <w:sz w:val="20"/>
                <w:szCs w:val="20"/>
              </w:rPr>
            </w:pPr>
            <w:r>
              <w:rPr>
                <w:rFonts w:ascii="Garamond" w:hAnsi="Garamond"/>
                <w:sz w:val="20"/>
                <w:szCs w:val="20"/>
              </w:rPr>
            </w:r>
          </w:p>
          <w:p>
            <w:pPr>
              <w:pStyle w:val="Normal"/>
              <w:tabs>
                <w:tab w:val="clear" w:pos="720"/>
                <w:tab w:val="left" w:pos="4550" w:leader="none"/>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0880" cy="658622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500880" cy="6586220"/>
                          </a:xfrm>
                          <a:prstGeom prst="rect">
                            <a:avLst/>
                          </a:prstGeom>
                        </pic:spPr>
                      </pic:pic>
                    </a:graphicData>
                  </a:graphic>
                </wp:inline>
              </w:drawing>
            </w:r>
          </w:p>
        </w:tc>
      </w:tr>
      <w:tr>
        <w:trPr/>
        <w:tc>
          <w:tcPr>
            <w:tcW w:w="7477" w:type="dxa"/>
            <w:tcBorders>
              <w:top w:val="nil"/>
              <w:left w:val="nil"/>
              <w:bottom w:val="nil"/>
              <w:right w:val="nil"/>
            </w:tcBorders>
          </w:tcPr>
          <w:p>
            <w:pPr>
              <w:pStyle w:val="CHeadTop"/>
              <w:rPr/>
            </w:pPr>
            <w:r>
              <w:rPr/>
              <w:t>Introduction</w:t>
            </w:r>
          </w:p>
          <w:p>
            <w:pPr>
              <w:pStyle w:val="Normal"/>
              <w:spacing w:before="0"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pPr>
              <w:pStyle w:val="Normal"/>
              <w:spacing w:before="0"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pPr>
              <w:pStyle w:val="Normal"/>
              <w:spacing w:before="0"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pPr>
              <w:pStyle w:val="Normal"/>
              <w:spacing w:before="0"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pPr>
              <w:pStyle w:val="CHeadMiddle"/>
              <w:rPr/>
            </w:pPr>
            <w:r>
              <w:rPr/>
              <w:t>Le jeu de cartes (paquet)</w:t>
            </w:r>
          </w:p>
          <w:p>
            <w:pPr>
              <w:pStyle w:val="Normal"/>
              <w:spacing w:before="0"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Validation des données et encodage (VE -EN)</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Authentification (AT -EN)</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Gestion des sessions (SM -EN)</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Habilitation (AZ -EN)</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Cryptographie (CR -EN)</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Cornucopia (C -EN)</w:t>
            </w:r>
          </w:p>
          <w:p>
            <w:pPr>
              <w:pStyle w:val="Normal"/>
              <w:spacing w:before="0"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p>
            <w:pPr>
              <w:pStyle w:val="CHeadMiddle"/>
              <w:rPr/>
            </w:pPr>
            <w:r>
              <w:rPr/>
              <w:t>Correspondances</w:t>
            </w:r>
          </w:p>
          <w:p>
            <w:pPr>
              <w:pStyle w:val="Normal"/>
              <w:spacing w:before="0" w:after="120"/>
              <w:rPr>
                <w:rFonts w:ascii="Garamond" w:hAnsi="Garamond"/>
                <w:sz w:val="20"/>
                <w:szCs w:val="20"/>
              </w:rPr>
            </w:pPr>
            <w:r>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v3.0.1 et AppSensor (application attack detection and response) pour aider les équipes à créer leurs propres scenarii de sécurité pour utilisation dans les processus Agile.</w:t>
            </w:r>
          </w:p>
        </w:tc>
        <w:tc>
          <w:tcPr>
            <w:tcW w:w="548" w:type="dxa"/>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329" w:type="dxa"/>
            <w:tcBorders>
              <w:top w:val="nil"/>
              <w:left w:val="nil"/>
              <w:bottom w:val="nil"/>
              <w:right w:val="nil"/>
            </w:tcBorders>
          </w:tcPr>
          <w:p>
            <w:pPr>
              <w:pStyle w:val="CHeadTop"/>
              <w:rPr/>
            </w:pPr>
            <w:r>
              <w:rPr/>
              <w:t>Stratégie de jeu</w:t>
            </w:r>
          </w:p>
          <w:p>
            <w:pPr>
              <w:pStyle w:val="Normal"/>
              <w:spacing w:before="0" w:after="120"/>
              <w:rPr>
                <w:rFonts w:ascii="Garamond" w:hAnsi="Garamond"/>
                <w:sz w:val="20"/>
                <w:szCs w:val="20"/>
              </w:rPr>
            </w:pPr>
            <w:r>
              <w:rPr>
                <w:rFonts w:ascii="Garamond" w:hAnsi="Garamond"/>
                <w:sz w:val="20"/>
                <w:szCs w:val="20"/>
              </w:rPr>
              <w:t>A part les différences de contenu, les règles du jeu sont identiques à celles de l’EoP</w:t>
            </w:r>
          </w:p>
          <w:p>
            <w:pPr>
              <w:pStyle w:val="CHeadMiddle"/>
              <w:rPr/>
            </w:pPr>
            <w:r>
              <w:rPr/>
              <w:t>Imprimer les cartes</w:t>
            </w:r>
          </w:p>
          <w:p>
            <w:pPr>
              <w:pStyle w:val="Normal"/>
              <w:spacing w:before="0"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pPr>
              <w:pStyle w:val="Normal"/>
              <w:spacing w:before="0"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pPr>
              <w:pStyle w:val="Normal"/>
              <w:spacing w:before="0"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pPr>
              <w:pStyle w:val="Normal"/>
              <w:spacing w:before="0"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pPr>
              <w:pStyle w:val="CHeadMiddle"/>
              <w:rPr/>
            </w:pPr>
            <w:r>
              <w:rPr/>
              <w:t>Personnalisation</w:t>
            </w:r>
          </w:p>
          <w:p>
            <w:pPr>
              <w:pStyle w:val="Normal"/>
              <w:spacing w:before="0"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p>
            <w:pPr>
              <w:pStyle w:val="CHeadMiddle"/>
              <w:rPr/>
            </w:pPr>
            <w:r>
              <w:rPr/>
              <w:t>Faites un retour</w:t>
            </w:r>
          </w:p>
          <w:p>
            <w:pPr>
              <w:pStyle w:val="Normal"/>
              <w:spacing w:before="0"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pPr>
              <w:pStyle w:val="Normal"/>
              <w:spacing w:before="0" w:after="120"/>
              <w:rPr>
                <w:rFonts w:ascii="Garamond" w:hAnsi="Garamond"/>
                <w:sz w:val="20"/>
                <w:szCs w:val="20"/>
              </w:rPr>
            </w:pPr>
            <w:r>
              <w:rPr>
                <w:rFonts w:ascii="Garamond" w:hAnsi="Garamond"/>
                <w:sz w:val="20"/>
                <w:szCs w:val="20"/>
              </w:rPr>
              <w:t>Le meilleur moyen de contribution et de discussion est la liste de diffusion du projet OWASP :</w:t>
            </w:r>
          </w:p>
          <w:p>
            <w:pPr>
              <w:pStyle w:val="ListParagraph"/>
              <w:numPr>
                <w:ilvl w:val="0"/>
                <w:numId w:val="1"/>
              </w:numPr>
              <w:spacing w:before="0" w:after="120"/>
              <w:contextualSpacing/>
              <w:rPr>
                <w:rFonts w:ascii="Garamond" w:hAnsi="Garamond"/>
                <w:sz w:val="20"/>
                <w:szCs w:val="20"/>
              </w:rPr>
            </w:pPr>
            <w:r>
              <w:rPr>
                <w:rFonts w:ascii="Garamond" w:hAnsi="Garamond"/>
                <w:sz w:val="20"/>
                <w:szCs w:val="20"/>
              </w:rPr>
              <w:t>• Liste de diffusion</w:t>
              <w:br/>
            </w:r>
            <w:hyperlink r:id="rId4">
              <w:r>
                <w:rPr>
                  <w:rStyle w:val="InternetLink"/>
                  <w:rFonts w:ascii="Garamond" w:hAnsi="Garamond"/>
                  <w:sz w:val="20"/>
                  <w:szCs w:val="20"/>
                </w:rPr>
                <w:t>https://lists.owasp.org/mailman/listinfo/owasp_cornucopia</w:t>
              </w:r>
            </w:hyperlink>
          </w:p>
          <w:p>
            <w:pPr>
              <w:pStyle w:val="ListParagraph"/>
              <w:numPr>
                <w:ilvl w:val="0"/>
                <w:numId w:val="1"/>
              </w:numPr>
              <w:spacing w:before="0" w:after="120"/>
              <w:contextualSpacing/>
              <w:rPr>
                <w:rFonts w:ascii="Garamond" w:hAnsi="Garamond"/>
                <w:sz w:val="20"/>
                <w:szCs w:val="20"/>
              </w:rPr>
            </w:pPr>
            <w:r>
              <w:rPr>
                <w:rFonts w:ascii="Garamond" w:hAnsi="Garamond"/>
                <w:sz w:val="20"/>
                <w:szCs w:val="20"/>
              </w:rPr>
              <w:t>• Page d’accueil du projet</w:t>
              <w:br/>
            </w:r>
            <w:hyperlink r:id="rId5">
              <w:r>
                <w:rPr>
                  <w:rStyle w:val="InternetLink"/>
                  <w:rFonts w:ascii="Garamond" w:hAnsi="Garamond"/>
                  <w:sz w:val="20"/>
                  <w:szCs w:val="20"/>
                </w:rPr>
                <w:t>https://www.owasp.org/index.php/OWASP_Cornucopia</w:t>
              </w:r>
            </w:hyperlink>
          </w:p>
          <w:p>
            <w:pPr>
              <w:pStyle w:val="Normal"/>
              <w:spacing w:before="0" w:after="120"/>
              <w:rPr>
                <w:rFonts w:ascii="Garamond" w:hAnsi="Garamond"/>
                <w:sz w:val="20"/>
                <w:szCs w:val="20"/>
              </w:rPr>
            </w:pPr>
            <w:r>
              <w:rPr>
                <w:rFonts w:ascii="Garamond" w:hAnsi="Garamond"/>
                <w:sz w:val="20"/>
                <w:szCs w:val="20"/>
              </w:rPr>
              <w:t>Tous les documents et outils OWASP sont libres de téléchargement et d’utilisation.  OWASP Cornucopia est publié sous une licence Creative Commons Attribution-ShareAlike 3.0 .</w:t>
            </w:r>
          </w:p>
        </w:tc>
      </w:tr>
    </w:tbl>
    <w:p>
      <w:pPr>
        <w:pStyle w:val="Normal"/>
        <w:rPr>
          <w:rFonts w:ascii="Garamond" w:hAnsi="Garamond"/>
          <w:sz w:val="20"/>
          <w:szCs w:val="20"/>
        </w:rPr>
      </w:pPr>
      <w:r>
        <w:rPr>
          <w:rFonts w:ascii="Garamond" w:hAnsi="Garamond"/>
          <w:sz w:val="20"/>
          <w:szCs w:val="20"/>
        </w:rPr>
      </w:r>
      <w:r>
        <w:br w:type="page"/>
      </w:r>
    </w:p>
    <w:tbl>
      <w:tblPr>
        <w:tblStyle w:val="TableGrid"/>
        <w:tblW w:w="15355" w:type="dxa"/>
        <w:jc w:val="left"/>
        <w:tblInd w:w="0" w:type="dxa"/>
        <w:tblCellMar>
          <w:top w:w="0" w:type="dxa"/>
          <w:left w:w="108" w:type="dxa"/>
          <w:bottom w:w="0" w:type="dxa"/>
          <w:right w:w="108" w:type="dxa"/>
        </w:tblCellMar>
        <w:tblLook w:val="04a0" w:noHBand="0" w:noVBand="1" w:firstColumn="1" w:lastRow="0" w:lastColumn="0" w:firstRow="1"/>
      </w:tblPr>
      <w:tblGrid>
        <w:gridCol w:w="109"/>
        <w:gridCol w:w="737"/>
        <w:gridCol w:w="792"/>
        <w:gridCol w:w="2581"/>
        <w:gridCol w:w="851"/>
        <w:gridCol w:w="2458"/>
        <w:gridCol w:w="123"/>
        <w:gridCol w:w="121"/>
        <w:gridCol w:w="703"/>
        <w:gridCol w:w="2580"/>
        <w:gridCol w:w="828"/>
        <w:gridCol w:w="2579"/>
        <w:gridCol w:w="891"/>
      </w:tblGrid>
      <w:tr>
        <w:trPr/>
        <w:tc>
          <w:tcPr>
            <w:tcW w:w="7528" w:type="dxa"/>
            <w:gridSpan w:val="6"/>
            <w:tcBorders>
              <w:top w:val="nil"/>
              <w:left w:val="nil"/>
              <w:bottom w:val="nil"/>
              <w:right w:val="nil"/>
            </w:tcBorders>
          </w:tcPr>
          <w:p>
            <w:pPr>
              <w:pStyle w:val="CHeadTop"/>
              <w:pageBreakBefore/>
              <w:rPr/>
            </w:pPr>
            <w:r>
              <w:rPr/>
              <w:t>Instructions</w:t>
            </w:r>
          </w:p>
          <w:p>
            <w:pPr>
              <w:pStyle w:val="Normal"/>
              <w:spacing w:before="0"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pPr>
              <w:pStyle w:val="Normal"/>
              <w:jc w:val="center"/>
              <w:rPr>
                <w:rFonts w:ascii="Garamond" w:hAnsi="Garamond"/>
                <w:i/>
                <w:i/>
                <w:sz w:val="20"/>
                <w:szCs w:val="20"/>
              </w:rPr>
            </w:pPr>
            <w:r>
              <w:rPr>
                <w:rFonts w:ascii="Garamond" w:hAnsi="Garamond"/>
                <w:i/>
                <w:sz w:val="20"/>
                <w:szCs w:val="20"/>
              </w:rPr>
              <w:t>William a le contrôle sur la génération des identifiants de session.</w:t>
            </w:r>
          </w:p>
          <w:p>
            <w:pPr>
              <w:pStyle w:val="Normal"/>
              <w:spacing w:before="0"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pPr>
              <w:pStyle w:val="Normal"/>
              <w:spacing w:before="0"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pPr>
              <w:pStyle w:val="Normal"/>
              <w:spacing w:before="0" w:after="120"/>
              <w:rPr/>
            </w:pPr>
            <w:hyperlink r:id="rId6">
              <w:r>
                <w:rPr>
                  <w:rStyle w:val="InternetLink"/>
                  <w:rFonts w:ascii="Garamond" w:hAnsi="Garamond"/>
                  <w:spacing w:val="-7"/>
                  <w:sz w:val="20"/>
                  <w:szCs w:val="20"/>
                </w:rPr>
                <w:t>https://w</w:t>
              </w:r>
              <w:r>
                <w:rPr>
                  <w:rStyle w:val="InternetLink"/>
                  <w:rFonts w:ascii="Garamond" w:hAnsi="Garamond"/>
                  <w:spacing w:val="-7"/>
                  <w:sz w:val="20"/>
                  <w:szCs w:val="20"/>
                </w:rPr>
                <w:t>iki</w:t>
              </w:r>
              <w:r>
                <w:rPr>
                  <w:rStyle w:val="InternetLink"/>
                  <w:rFonts w:ascii="Garamond" w:hAnsi="Garamond"/>
                  <w:spacing w:val="-7"/>
                  <w:sz w:val="20"/>
                  <w:szCs w:val="20"/>
                </w:rPr>
                <w:t>.owasp.org/index.php/Cornucopia_-_Ecommerce_Website_Edition_-_Wiki_Deck</w:t>
              </w:r>
            </w:hyperlink>
          </w:p>
          <w:p>
            <w:pPr>
              <w:pStyle w:val="Normal"/>
              <w:spacing w:before="0" w:after="120"/>
              <w:rPr>
                <w:rFonts w:ascii="Garamond" w:hAnsi="Garamond"/>
                <w:sz w:val="20"/>
                <w:szCs w:val="20"/>
              </w:rPr>
            </w:pPr>
            <w:r>
              <w:rPr>
                <w:rFonts w:ascii="Garamond" w:hAnsi="Garamond"/>
                <w:sz w:val="20"/>
                <w:szCs w:val="20"/>
              </w:rPr>
              <w:t>Des renvois entre les attaques et cinq ressources sont fournis sur la plupart des cartes</w:t>
            </w:r>
          </w:p>
          <w:p>
            <w:pPr>
              <w:pStyle w:val="ListParagraph"/>
              <w:numPr>
                <w:ilvl w:val="0"/>
                <w:numId w:val="3"/>
              </w:numPr>
              <w:spacing w:before="0" w:after="120"/>
              <w:contextualSpacing/>
              <w:rPr>
                <w:rFonts w:ascii="Garamond" w:hAnsi="Garamond"/>
                <w:sz w:val="20"/>
                <w:szCs w:val="20"/>
              </w:rPr>
            </w:pPr>
            <w:r>
              <w:rPr>
                <w:rFonts w:ascii="Garamond" w:hAnsi="Garamond"/>
                <w:sz w:val="20"/>
                <w:szCs w:val="20"/>
              </w:rPr>
              <w:t>Exigences dans “Secure Coding Practices (SCP) - Quick Reference Guide”, v2, OWASP, novembre 2010</w:t>
              <w:br/>
            </w:r>
            <w:hyperlink r:id="rId7">
              <w:r>
                <w:rPr>
                  <w:rStyle w:val="InternetLink"/>
                  <w:rFonts w:ascii="Garamond" w:hAnsi="Garamond"/>
                  <w:spacing w:val="-6"/>
                  <w:sz w:val="20"/>
                  <w:szCs w:val="20"/>
                </w:rPr>
                <w:t>https://www.owasp.org/index.php/File:OWASP_SCP_Quick_Reference_Guide_v2.pdf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Identifiants de vérification dans “Application Security Verification Standard (ASVS) for Web Applications”, OWASP, v3.0.1, 2016 (sauf sections 18 and 19)</w:t>
              <w:br/>
            </w:r>
            <w:hyperlink r:id="rId8">
              <w:r>
                <w:rPr>
                  <w:rStyle w:val="InternetLink"/>
                  <w:rFonts w:ascii="Garamond" w:hAnsi="Garamond"/>
                  <w:spacing w:val="-14"/>
                  <w:sz w:val="20"/>
                  <w:szCs w:val="20"/>
                </w:rPr>
                <w:t>https</w:t>
              </w:r>
              <w:r>
                <w:rPr>
                  <w:rStyle w:val="InternetLink"/>
                  <w:rFonts w:ascii="Garamond" w:hAnsi="Garamond"/>
                  <w:spacing w:val="-34"/>
                  <w:sz w:val="20"/>
                  <w:szCs w:val="20"/>
                </w:rPr>
                <w:t>://</w:t>
              </w:r>
              <w:r>
                <w:rPr>
                  <w:rStyle w:val="InternetLink"/>
                  <w:rFonts w:ascii="Garamond" w:hAnsi="Garamond"/>
                  <w:spacing w:val="-14"/>
                  <w:sz w:val="20"/>
                  <w:szCs w:val="20"/>
                </w:rPr>
                <w:t>www.owasp.org/images</w:t>
              </w:r>
              <w:r>
                <w:rPr>
                  <w:rStyle w:val="InternetLink"/>
                  <w:rFonts w:ascii="Garamond" w:hAnsi="Garamond"/>
                  <w:spacing w:val="-34"/>
                  <w:sz w:val="20"/>
                  <w:szCs w:val="20"/>
                </w:rPr>
                <w:t>/3/33/</w:t>
              </w:r>
              <w:r>
                <w:rPr>
                  <w:rStyle w:val="InternetLink"/>
                  <w:rFonts w:ascii="Garamond" w:hAnsi="Garamond"/>
                  <w:spacing w:val="-14"/>
                  <w:sz w:val="20"/>
                  <w:szCs w:val="20"/>
                </w:rPr>
                <w:t>OWASP</w:t>
              </w:r>
              <w:r>
                <w:rPr>
                  <w:rStyle w:val="InternetLink"/>
                  <w:rFonts w:ascii="Garamond" w:hAnsi="Garamond"/>
                  <w:spacing w:val="-34"/>
                  <w:sz w:val="20"/>
                  <w:szCs w:val="20"/>
                </w:rPr>
                <w:t>_</w:t>
              </w:r>
              <w:r>
                <w:rPr>
                  <w:rStyle w:val="InternetLink"/>
                  <w:rFonts w:ascii="Garamond" w:hAnsi="Garamond"/>
                  <w:spacing w:val="-14"/>
                  <w:sz w:val="20"/>
                  <w:szCs w:val="20"/>
                </w:rPr>
                <w:t>Application</w:t>
              </w:r>
              <w:r>
                <w:rPr>
                  <w:rStyle w:val="InternetLink"/>
                  <w:rFonts w:ascii="Garamond" w:hAnsi="Garamond"/>
                  <w:spacing w:val="-34"/>
                  <w:sz w:val="20"/>
                  <w:szCs w:val="20"/>
                </w:rPr>
                <w:t>_</w:t>
              </w:r>
              <w:r>
                <w:rPr>
                  <w:rStyle w:val="InternetLink"/>
                  <w:rFonts w:ascii="Garamond" w:hAnsi="Garamond"/>
                  <w:spacing w:val="-14"/>
                  <w:sz w:val="20"/>
                  <w:szCs w:val="20"/>
                </w:rPr>
                <w:t>Security</w:t>
              </w:r>
              <w:r>
                <w:rPr>
                  <w:rStyle w:val="InternetLink"/>
                  <w:rFonts w:ascii="Garamond" w:hAnsi="Garamond"/>
                  <w:spacing w:val="-34"/>
                  <w:sz w:val="20"/>
                  <w:szCs w:val="20"/>
                </w:rPr>
                <w:t>_</w:t>
              </w:r>
              <w:r>
                <w:rPr>
                  <w:rStyle w:val="InternetLink"/>
                  <w:rFonts w:ascii="Garamond" w:hAnsi="Garamond"/>
                  <w:spacing w:val="-14"/>
                  <w:sz w:val="20"/>
                  <w:szCs w:val="20"/>
                </w:rPr>
                <w:t>Verification</w:t>
              </w:r>
              <w:r>
                <w:rPr>
                  <w:rStyle w:val="InternetLink"/>
                  <w:rFonts w:ascii="Garamond" w:hAnsi="Garamond"/>
                  <w:spacing w:val="-34"/>
                  <w:sz w:val="20"/>
                  <w:szCs w:val="20"/>
                </w:rPr>
                <w:t>_</w:t>
              </w:r>
              <w:r>
                <w:rPr>
                  <w:rStyle w:val="InternetLink"/>
                  <w:rFonts w:ascii="Garamond" w:hAnsi="Garamond"/>
                  <w:spacing w:val="-14"/>
                  <w:sz w:val="20"/>
                  <w:szCs w:val="20"/>
                </w:rPr>
                <w:t>Standard</w:t>
              </w:r>
              <w:r>
                <w:rPr>
                  <w:rStyle w:val="InternetLink"/>
                  <w:rFonts w:ascii="Garamond" w:hAnsi="Garamond"/>
                  <w:spacing w:val="-34"/>
                  <w:sz w:val="20"/>
                  <w:szCs w:val="20"/>
                </w:rPr>
                <w:t>_</w:t>
              </w:r>
              <w:r>
                <w:rPr>
                  <w:rStyle w:val="InternetLink"/>
                  <w:rFonts w:ascii="Garamond" w:hAnsi="Garamond"/>
                  <w:spacing w:val="-14"/>
                  <w:sz w:val="20"/>
                  <w:szCs w:val="20"/>
                </w:rPr>
                <w:t>3.0.1.pdf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Identifiants de points de détection d’attaque dans “AppSensor”, OWASP, août 2010-2015</w:t>
              <w:br/>
            </w:r>
            <w:hyperlink r:id="rId9">
              <w:r>
                <w:rPr>
                  <w:rStyle w:val="InternetLink"/>
                  <w:rFonts w:ascii="Garamond" w:hAnsi="Garamond"/>
                  <w:sz w:val="20"/>
                  <w:szCs w:val="20"/>
                </w:rPr>
                <w:t>https://www.owasp.org/index.php/AppSensor_DetectionPoints</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Identifiants dans “Common Attack Pattern Enumeration and Classification (CAPEC)”, v2.8, Mitre Corporation, novembre 2015</w:t>
            </w:r>
          </w:p>
          <w:p>
            <w:pPr>
              <w:pStyle w:val="ListParagraph"/>
              <w:spacing w:before="0" w:after="120"/>
              <w:contextualSpacing/>
              <w:rPr>
                <w:rFonts w:ascii="Garamond" w:hAnsi="Garamond"/>
                <w:sz w:val="20"/>
                <w:szCs w:val="20"/>
              </w:rPr>
            </w:pPr>
            <w:hyperlink r:id="rId10">
              <w:r>
                <w:rPr>
                  <w:rStyle w:val="InternetLink"/>
                  <w:rFonts w:ascii="Garamond" w:hAnsi="Garamond"/>
                  <w:sz w:val="20"/>
                  <w:szCs w:val="20"/>
                </w:rPr>
                <w:t>http://capec.mitre.org/data/archive/capec_v2.8.zip</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p>
          <w:p>
            <w:pPr>
              <w:pStyle w:val="ListParagraph"/>
              <w:spacing w:before="0" w:after="120"/>
              <w:contextualSpacing/>
              <w:rPr>
                <w:rFonts w:ascii="Garamond" w:hAnsi="Garamond"/>
                <w:sz w:val="20"/>
                <w:szCs w:val="20"/>
              </w:rPr>
            </w:pPr>
            <w:hyperlink r:id="rId11">
              <w:r>
                <w:rPr>
                  <w:rStyle w:val="InternetLink"/>
                  <w:rFonts w:ascii="Garamond" w:hAnsi="Garamond"/>
                  <w:sz w:val="20"/>
                  <w:szCs w:val="20"/>
                </w:rPr>
                <w:t>http://www.safecode.org/publications/SAFECode_Agile_Dev_Security0712.pdf</w:t>
              </w:r>
            </w:hyperlink>
          </w:p>
          <w:p>
            <w:pPr>
              <w:pStyle w:val="Normal"/>
              <w:spacing w:before="0"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pPr>
              <w:pStyle w:val="Normal"/>
              <w:spacing w:before="0" w:after="120"/>
              <w:rPr>
                <w:rFonts w:ascii="Garamond" w:hAnsi="Garamond"/>
                <w:sz w:val="20"/>
                <w:szCs w:val="20"/>
              </w:rPr>
            </w:pPr>
            <w:r>
              <w:rPr>
                <w:rFonts w:ascii="Garamond" w:hAnsi="Garamond"/>
                <w:sz w:val="20"/>
                <w:szCs w:val="20"/>
              </w:rPr>
              <w:t>Il y a bien des manières de jouer à Cornucopia. Il y a bien des manières de jouer à Cornucopia. En voici une, en situation dans une vidéo en ligne sur https://youtu.be/i5Y0akWj31k, qui utilise la nouvelle (mai 2015) feuille de scores disponible ici : https://www.owasp.org/index.php/File:Cornucopia-scoresheet.pdf</w:t>
            </w:r>
          </w:p>
          <w:p>
            <w:pPr>
              <w:pStyle w:val="Normal"/>
              <w:spacing w:before="0" w:after="120"/>
              <w:rPr>
                <w:rStyle w:val="InternetLink"/>
                <w:rFonts w:ascii="Garamond" w:hAnsi="Garamond"/>
                <w:sz w:val="20"/>
                <w:szCs w:val="20"/>
              </w:rPr>
            </w:pPr>
            <w:hyperlink r:id="rId12">
              <w:r>
                <w:rPr>
                  <w:rStyle w:val="InternetLink"/>
                  <w:rFonts w:ascii="Garamond" w:hAnsi="Garamond"/>
                  <w:sz w:val="20"/>
                  <w:szCs w:val="20"/>
                </w:rPr>
                <w:t>https://youtu.be/i5Y0akWj31k</w:t>
              </w:r>
            </w:hyperlink>
            <w:hyperlink r:id="rId13">
              <w:r>
                <w:rPr>
                  <w:rStyle w:val="InternetLink"/>
                  <w:rFonts w:ascii="Garamond" w:hAnsi="Garamond"/>
                  <w:sz w:val="20"/>
                  <w:szCs w:val="20"/>
                </w:rPr>
                <w:t>https://www.owasp.org/index.php/File:Cornucopia-scoresheet.pdf</w:t>
              </w:r>
            </w:hyperlink>
          </w:p>
          <w:p>
            <w:pPr>
              <w:pStyle w:val="CHeadTop"/>
              <w:rPr/>
            </w:pPr>
            <w:r>
              <w:rPr/>
              <w:t>Règles alternatives</w:t>
            </w:r>
          </w:p>
          <w:p>
            <w:pPr>
              <w:pStyle w:val="Normal"/>
              <w:spacing w:before="0"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pPr>
              <w:pStyle w:val="Normal"/>
              <w:spacing w:before="0"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pPr>
              <w:pStyle w:val="Normal"/>
              <w:spacing w:before="0"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pPr>
              <w:pStyle w:val="Normal"/>
              <w:spacing w:before="0"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pPr>
              <w:pStyle w:val="Normal"/>
              <w:spacing w:before="0"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pPr>
              <w:pStyle w:val="Normal"/>
              <w:spacing w:before="0"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pPr>
              <w:pStyle w:val="Normal"/>
              <w:spacing w:before="0" w:after="120"/>
              <w:rPr>
                <w:rFonts w:ascii="Garamond" w:hAnsi="Garamond"/>
                <w:sz w:val="20"/>
                <w:szCs w:val="20"/>
              </w:rPr>
            </w:pPr>
            <w:r>
              <w:rPr>
                <w:rFonts w:ascii="Garamond" w:hAnsi="Garamond"/>
                <w:sz w:val="20"/>
                <w:szCs w:val="20"/>
              </w:rPr>
              <w:t>L’EoP Microsoft recommande la tricherie en tant que stratégie de jeu.</w:t>
            </w:r>
          </w:p>
          <w:p>
            <w:pPr>
              <w:pStyle w:val="CHeadMiddle"/>
              <w:rPr/>
            </w:pPr>
            <w:r>
              <w:rPr/>
              <w:t>Jeux de cartes spécifiques aux frameworks de développement</w:t>
            </w:r>
          </w:p>
          <w:p>
            <w:pPr>
              <w:pStyle w:val="Normal"/>
              <w:spacing w:before="0"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pPr>
              <w:pStyle w:val="Normal"/>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p>
            <w:pPr>
              <w:pStyle w:val="Normal"/>
              <w:spacing w:before="0" w:after="120"/>
              <w:rPr>
                <w:rStyle w:val="InternetLink"/>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t>Foire aux questions</w:t>
            </w:r>
          </w:p>
          <w:p>
            <w:pPr>
              <w:pStyle w:val="Normal"/>
              <w:tabs>
                <w:tab w:val="clear" w:pos="720"/>
                <w:tab w:val="right" w:pos="7263" w:leader="none"/>
              </w:tabs>
              <w:spacing w:before="0" w:after="120"/>
              <w:jc w:val="right"/>
              <w:rPr>
                <w:rFonts w:ascii="Garamond" w:hAnsi="Garamond"/>
                <w:i/>
                <w:i/>
                <w:sz w:val="20"/>
                <w:szCs w:val="20"/>
              </w:rPr>
            </w:pPr>
            <w:r>
              <w:rPr>
                <w:rFonts w:ascii="Garamond" w:hAnsi="Garamond"/>
                <w:i/>
                <w:sz w:val="20"/>
                <w:szCs w:val="20"/>
              </w:rPr>
              <w:t xml:space="preserve">1. Est-ce que je peux copier ou éditer ce jeu? </w:t>
              <w:tab/>
            </w:r>
          </w:p>
          <w:p>
            <w:pPr>
              <w:pStyle w:val="Normal"/>
              <w:spacing w:before="0" w:after="120"/>
              <w:rPr>
                <w:rFonts w:ascii="Garamond" w:hAnsi="Garamond"/>
                <w:i/>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pPr>
              <w:pStyle w:val="Normal"/>
              <w:spacing w:before="0" w:after="120"/>
              <w:rPr>
                <w:rFonts w:ascii="Garamond" w:hAnsi="Garamond"/>
                <w:i/>
                <w:i/>
                <w:sz w:val="20"/>
                <w:szCs w:val="20"/>
              </w:rPr>
            </w:pPr>
            <w:r>
              <w:rPr>
                <w:rFonts w:ascii="Garamond" w:hAnsi="Garamond"/>
                <w:i/>
                <w:sz w:val="20"/>
                <w:szCs w:val="20"/>
              </w:rPr>
              <w:t>Envoyez des idées ou des offres d’aide à la liste de diffusion du projet.</w:t>
            </w:r>
          </w:p>
          <w:p>
            <w:pPr>
              <w:pStyle w:val="Normal"/>
              <w:spacing w:before="0" w:after="120"/>
              <w:rPr>
                <w:rFonts w:ascii="Garamond" w:hAnsi="Garamond"/>
                <w:i/>
                <w:i/>
                <w:sz w:val="20"/>
                <w:szCs w:val="20"/>
              </w:rPr>
            </w:pPr>
            <w:r>
              <w:rPr>
                <w:rFonts w:ascii="Garamond" w:hAnsi="Garamond"/>
                <w:i/>
                <w:sz w:val="20"/>
                <w:szCs w:val="20"/>
              </w:rPr>
              <w:t>3. Comment ont été choisis les noms des attaquants?</w:t>
            </w:r>
          </w:p>
          <w:p>
            <w:pPr>
              <w:pStyle w:val="Normal"/>
              <w:spacing w:before="0" w:after="120"/>
              <w:rPr>
                <w:rFonts w:ascii="Garamond" w:hAnsi="Garamond"/>
                <w:i/>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pPr>
              <w:pStyle w:val="Normal"/>
              <w:spacing w:before="0" w:after="120"/>
              <w:rPr>
                <w:rFonts w:ascii="Garamond" w:hAnsi="Garamond"/>
                <w:i/>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pPr>
              <w:pStyle w:val="Normal"/>
              <w:spacing w:before="0" w:after="120"/>
              <w:rPr>
                <w:rFonts w:ascii="Garamond" w:hAnsi="Garamond"/>
                <w:i/>
                <w:i/>
                <w:sz w:val="20"/>
                <w:szCs w:val="20"/>
              </w:rPr>
            </w:pPr>
            <w:r>
              <w:rPr>
                <w:rFonts w:ascii="Garamond" w:hAnsi="Garamond"/>
                <w:i/>
                <w:sz w:val="20"/>
                <w:szCs w:val="20"/>
              </w:rPr>
              <w:t>4. Pourquoi n’y a-t-il pas d’images sur les cartes?</w:t>
            </w:r>
          </w:p>
          <w:p>
            <w:pPr>
              <w:pStyle w:val="Normal"/>
              <w:spacing w:before="0" w:after="120"/>
              <w:rPr>
                <w:rFonts w:ascii="Garamond" w:hAnsi="Garamond"/>
                <w:i/>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pPr>
              <w:pStyle w:val="Normal"/>
              <w:spacing w:before="0" w:after="120"/>
              <w:rPr>
                <w:rFonts w:ascii="Garamond" w:hAnsi="Garamond"/>
                <w:i/>
                <w:i/>
                <w:sz w:val="20"/>
                <w:szCs w:val="20"/>
              </w:rPr>
            </w:pPr>
            <w:r>
              <w:rPr>
                <w:rFonts w:ascii="Garamond" w:hAnsi="Garamond"/>
                <w:i/>
                <w:sz w:val="20"/>
                <w:szCs w:val="20"/>
              </w:rPr>
              <w:t>5. Est-ce que les attaques sont classées en fonction de leur valeur faciale</w:t>
            </w:r>
          </w:p>
          <w:p>
            <w:pPr>
              <w:pStyle w:val="Normal"/>
              <w:spacing w:before="0" w:after="120"/>
              <w:rPr>
                <w:rFonts w:ascii="Garamond" w:hAnsi="Garamond"/>
                <w:i/>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pPr>
              <w:pStyle w:val="Normal"/>
              <w:spacing w:before="0" w:after="120"/>
              <w:rPr>
                <w:rFonts w:ascii="Garamond" w:hAnsi="Garamond"/>
                <w:i/>
                <w:i/>
                <w:sz w:val="20"/>
                <w:szCs w:val="20"/>
              </w:rPr>
            </w:pPr>
            <w:r>
              <w:rPr>
                <w:rFonts w:ascii="Garamond" w:hAnsi="Garamond"/>
                <w:i/>
                <w:sz w:val="20"/>
                <w:szCs w:val="20"/>
              </w:rPr>
              <w:t>6. Combien de temps faut-il pour jouer une main en utilisant le jeu complet?</w:t>
            </w:r>
          </w:p>
          <w:p>
            <w:pPr>
              <w:pStyle w:val="Normal"/>
              <w:spacing w:before="0" w:after="120"/>
              <w:rPr>
                <w:rFonts w:ascii="Garamond" w:hAnsi="Garamond"/>
                <w:i/>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pPr>
              <w:pStyle w:val="Normal"/>
              <w:spacing w:before="0" w:after="120"/>
              <w:rPr>
                <w:rFonts w:ascii="Garamond" w:hAnsi="Garamond"/>
                <w:i/>
                <w:i/>
                <w:sz w:val="20"/>
                <w:szCs w:val="20"/>
              </w:rPr>
            </w:pPr>
            <w:r>
              <w:rPr>
                <w:rFonts w:ascii="Garamond" w:hAnsi="Garamond"/>
                <w:i/>
                <w:sz w:val="20"/>
                <w:szCs w:val="20"/>
              </w:rPr>
              <w:t>7. Quels profils de joueurs peuvent participer?</w:t>
            </w:r>
          </w:p>
          <w:p>
            <w:pPr>
              <w:pStyle w:val="Normal"/>
              <w:spacing w:before="0" w:after="120"/>
              <w:rPr>
                <w:rFonts w:ascii="Garamond" w:hAnsi="Garamond"/>
                <w:i/>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p>
            <w:pPr>
              <w:pStyle w:val="Normal"/>
              <w:spacing w:before="0" w:after="120"/>
              <w:rPr>
                <w:rFonts w:ascii="Garamond" w:hAnsi="Garamond"/>
                <w:i/>
                <w:i/>
                <w:sz w:val="20"/>
                <w:szCs w:val="20"/>
              </w:rPr>
            </w:pPr>
            <w:r>
              <w:rPr>
                <w:rFonts w:ascii="Garamond" w:hAnsi="Garamond"/>
                <w:i/>
                <w:sz w:val="20"/>
                <w:szCs w:val="20"/>
              </w:rPr>
              <w:t>8. Qui doit prendre des notes et noter les scores?</w:t>
            </w:r>
          </w:p>
          <w:p>
            <w:pPr>
              <w:pStyle w:val="Normal"/>
              <w:spacing w:before="0" w:after="120"/>
              <w:rPr>
                <w:rFonts w:ascii="Garamond" w:hAnsi="Garamond"/>
                <w:i/>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sz w:val="20"/>
                <w:szCs w:val="20"/>
              </w:rPr>
            </w:pPr>
            <w:r>
              <w:rPr>
                <w:rFonts w:ascii="Garamond" w:hAnsi="Garamond"/>
                <w:sz w:val="20"/>
                <w:szCs w:val="20"/>
              </w:rPr>
            </w:r>
          </w:p>
        </w:tc>
        <w:tc>
          <w:tcPr>
            <w:tcW w:w="244" w:type="dxa"/>
            <w:gridSpan w:val="2"/>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581" w:type="dxa"/>
            <w:gridSpan w:val="5"/>
            <w:tcBorders>
              <w:top w:val="nil"/>
              <w:left w:val="nil"/>
              <w:bottom w:val="nil"/>
              <w:right w:val="nil"/>
            </w:tcBorders>
          </w:tcPr>
          <w:p>
            <w:pPr>
              <w:pStyle w:val="CHeadTop"/>
              <w:rPr/>
            </w:pPr>
            <w:r>
              <w:rPr/>
              <w:t>A - Préparations</w:t>
            </w:r>
          </w:p>
          <w:p>
            <w:pPr>
              <w:pStyle w:val="CHeadTop"/>
              <w:ind w:left="720" w:hanging="0"/>
              <w:rPr>
                <w:b w:val="false"/>
                <w:b w:val="false"/>
                <w:bCs/>
                <w:sz w:val="20"/>
                <w:szCs w:val="20"/>
              </w:rPr>
            </w:pPr>
            <w:r>
              <w:rPr>
                <w:b w:val="false"/>
                <w:bCs/>
                <w:sz w:val="20"/>
                <w:szCs w:val="20"/>
              </w:rPr>
              <w:t>A1.</w:t>
              <w:tab/>
              <w:t>Procurez-vous un jeu, ou imprimez votre propre jeu de cartes Cornucopia (voir page 2 de ce document), et séparez/découpez les cartes.                                                                   A2.</w:t>
              <w:tab/>
              <w:t xml:space="preserve">Identifiez une application ou processus à évaluer, cela peut être un concept, une spécification ou une véritable implémentation </w:t>
              <w:br/>
              <w:t>A3.</w:t>
              <w:tab/>
              <w:t>Créez un diagramme de flux de données, des cas d’utilisation, ou d’autres supports pour aider à l’évaluation.                                                                     A4.</w:t>
              <w:tab/>
              <w:t>Identifiez et invitez un groupe de 3-6 architectes, développeurs, testeurs et autres participants métier ensemble et asseyez-vous autour d’une table (essayez d’inclure un profil sensibilisé à la sécurité applicative).                                                                                                      A5.</w:t>
              <w:tab/>
              <w:t xml:space="preserve">Prévoyez une distribution de prix (étoiles, pizza, bière ou fleurs en fonction de la culture d’entreprise).                                                                                                                                                                                                            </w:t>
            </w:r>
          </w:p>
          <w:p>
            <w:pPr>
              <w:pStyle w:val="CHeadMiddle"/>
              <w:rPr/>
            </w:pPr>
            <w:r>
              <w:rPr/>
              <w:t>B - Jouer</w:t>
            </w:r>
          </w:p>
          <w:p>
            <w:pPr>
              <w:pStyle w:val="Normal"/>
              <w:spacing w:before="0"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pPr>
              <w:pStyle w:val="Normal"/>
              <w:spacing w:before="0" w:after="120"/>
              <w:ind w:left="720" w:hanging="0"/>
              <w:rPr>
                <w:rFonts w:ascii="Garamond" w:hAnsi="Garamond"/>
                <w:sz w:val="20"/>
                <w:szCs w:val="20"/>
              </w:rPr>
            </w:pPr>
            <w:r>
              <w:rPr>
                <w:rFonts w:ascii="Garamond" w:hAnsi="Garamond"/>
                <w:sz w:val="20"/>
                <w:szCs w:val="20"/>
              </w:rPr>
              <w:t>B1.</w:t>
              <w:tab/>
              <w:t>Retirez les Jokers et quelques cartes de bas niveau (2, 3, 4) du jeu Cornucopia pour s’assurer que chaque joueur ait le même nombre de cartes.                                                                      B2.</w:t>
              <w:tab/>
              <w:t>Battez les cartes et distribuez-les toutes.                                                                  B3.</w:t>
              <w:tab/>
              <w:t>Pour commencer, choisissez au hasard un joueur qui jouera en premier – qui peut jouer n’importe quelle carte en main sauf un atout – Cornucopia                                                                       B4.</w:t>
              <w:tab/>
              <w:t>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B5.</w:t>
              <w:tab/>
              <w:t xml:space="preserve">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br/>
              <w:t>B6.</w:t>
              <w:tab/>
              <w:t>Le joueur qui gagne la main, commence au tour suivant, donnant une couleur à suivre.                                                                                                      B7.</w:t>
              <w:tab/>
              <w:t xml:space="preserve">Continuez jusqu’à ce que toutes les cartes soient jouées.                </w:t>
            </w:r>
          </w:p>
          <w:p>
            <w:pPr>
              <w:pStyle w:val="CHeadMiddle"/>
              <w:rPr/>
            </w:pPr>
            <w:r>
              <w:rPr/>
              <w:t>C - Scores</w:t>
            </w:r>
          </w:p>
          <w:p>
            <w:pPr>
              <w:pStyle w:val="Normal"/>
              <w:spacing w:before="0" w:after="120"/>
              <w:rPr>
                <w:rFonts w:ascii="Garamond" w:hAnsi="Garamond"/>
                <w:sz w:val="20"/>
                <w:szCs w:val="20"/>
              </w:rPr>
            </w:pPr>
            <w:r>
              <w:rPr>
                <w:rFonts w:ascii="Garamond" w:hAnsi="Garamond"/>
                <w:sz w:val="20"/>
                <w:szCs w:val="20"/>
              </w:rPr>
              <w:t>L’objectif est d’identifier des menaces applicables, et de gagner des mains (des tours):</w:t>
            </w:r>
          </w:p>
          <w:p>
            <w:pPr>
              <w:pStyle w:val="Normal"/>
              <w:spacing w:before="0" w:after="120"/>
              <w:ind w:left="720" w:hanging="0"/>
              <w:rPr>
                <w:rFonts w:ascii="Garamond" w:hAnsi="Garamond"/>
                <w:sz w:val="20"/>
                <w:szCs w:val="20"/>
              </w:rPr>
            </w:pPr>
            <w:r>
              <w:rPr>
                <w:rFonts w:ascii="Garamond" w:hAnsi="Garamond"/>
                <w:sz w:val="20"/>
                <w:szCs w:val="20"/>
              </w:rPr>
              <w:t>C1.</w:t>
              <w:tab/>
              <w:t xml:space="preserve">+1 point à chaque carte jouée pour laquelle le groupe s’accorde à dire qu’il s’agit d’une menace applicable.   </w:t>
              <w:br/>
              <w:t>C2.</w:t>
              <w:tab/>
              <w:t>+1 point si vous gagnez une main.                                                                                                      C3.</w:t>
              <w:tab/>
              <w:t xml:space="preserve">Lorsque toutes les cartes sont jouées, le plus grand score remporte la partie.                                                          </w:t>
            </w:r>
          </w:p>
          <w:p>
            <w:pPr>
              <w:pStyle w:val="CHeadMiddle"/>
              <w:rPr/>
            </w:pPr>
            <w:r>
              <w:rPr/>
              <w:t>D - Clôture</w:t>
            </w:r>
          </w:p>
          <w:p>
            <w:pPr>
              <w:pStyle w:val="Normal"/>
              <w:spacing w:before="0" w:after="120"/>
              <w:ind w:left="720" w:hanging="0"/>
              <w:rPr>
                <w:rFonts w:ascii="Garamond" w:hAnsi="Garamond"/>
                <w:sz w:val="20"/>
                <w:szCs w:val="20"/>
              </w:rPr>
            </w:pPr>
            <w:r>
              <w:rPr>
                <w:rFonts w:ascii="Garamond" w:hAnsi="Garamond"/>
                <w:sz w:val="20"/>
                <w:szCs w:val="20"/>
              </w:rPr>
              <w:t>D1.</w:t>
              <w:tab/>
              <w:t>Parcourez toutes les menaces applicables et les exigences de sécurité correspondantes.                                                                      D2.</w:t>
              <w:tab/>
              <w:t>Créez des cas d’utilisation, des spécifications, et des jeux de tests en fonction de votre méthodologie de développement.</w:t>
            </w:r>
          </w:p>
          <w:p>
            <w:pPr>
              <w:pStyle w:val="CHeadTop"/>
              <w:rPr/>
            </w:pPr>
            <w:r>
              <w:rPr/>
            </w:r>
          </w:p>
          <w:p>
            <w:pPr>
              <w:pStyle w:val="CHeadTop"/>
              <w:rPr/>
            </w:pPr>
            <w:r>
              <w:rPr/>
              <w:t>Standards et librairies de code internes</w:t>
            </w:r>
          </w:p>
          <w:p>
            <w:pPr>
              <w:pStyle w:val="Normal"/>
              <w:spacing w:before="0"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Validation des données et encodage</w:t>
                  </w:r>
                </w:p>
                <w:p>
                  <w:pPr>
                    <w:pStyle w:val="Normal"/>
                    <w:rPr>
                      <w:rFonts w:ascii="Garamond" w:hAnsi="Garamond"/>
                      <w:i/>
                      <w:i/>
                      <w:sz w:val="20"/>
                      <w:szCs w:val="20"/>
                    </w:rPr>
                  </w:pPr>
                  <w:r>
                    <w:rPr>
                      <w:rFonts w:ascii="Garamond" w:hAnsi="Garamond"/>
                      <w:i/>
                      <w:sz w:val="20"/>
                      <w:szCs w:val="20"/>
                    </w:rPr>
                    <w:t>[votre liste]</w:t>
                  </w:r>
                </w:p>
                <w:p>
                  <w:pPr>
                    <w:pStyle w:val="Normal"/>
                    <w:rPr>
                      <w:rFonts w:ascii="Garamond" w:hAnsi="Garamond"/>
                      <w:sz w:val="20"/>
                      <w:szCs w:val="20"/>
                    </w:rPr>
                  </w:pPr>
                  <w:r>
                    <w:rPr>
                      <w:rFonts w:ascii="Garamond" w:hAnsi="Garamond"/>
                      <w:sz w:val="20"/>
                      <w:szCs w:val="20"/>
                    </w:rPr>
                    <w:t>Authentification</w:t>
                  </w:r>
                </w:p>
                <w:p>
                  <w:pPr>
                    <w:pStyle w:val="Normal"/>
                    <w:rPr>
                      <w:rFonts w:ascii="Garamond" w:hAnsi="Garamond"/>
                      <w:i/>
                      <w:i/>
                      <w:sz w:val="20"/>
                      <w:szCs w:val="20"/>
                    </w:rPr>
                  </w:pPr>
                  <w:r>
                    <w:rPr>
                      <w:rFonts w:ascii="Garamond" w:hAnsi="Garamond"/>
                      <w:i/>
                      <w:sz w:val="20"/>
                      <w:szCs w:val="20"/>
                    </w:rPr>
                    <w:t>[votre liste]</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Gestion des sessions</w:t>
                  </w:r>
                </w:p>
                <w:p>
                  <w:pPr>
                    <w:pStyle w:val="Normal"/>
                    <w:rPr>
                      <w:rFonts w:ascii="Garamond" w:hAnsi="Garamond"/>
                      <w:i/>
                      <w:i/>
                      <w:sz w:val="20"/>
                      <w:szCs w:val="20"/>
                    </w:rPr>
                  </w:pPr>
                  <w:r>
                    <w:rPr>
                      <w:rFonts w:ascii="Garamond" w:hAnsi="Garamond"/>
                      <w:i/>
                      <w:sz w:val="20"/>
                      <w:szCs w:val="20"/>
                    </w:rPr>
                    <w:t>[votre liste]</w:t>
                  </w:r>
                </w:p>
                <w:p>
                  <w:pPr>
                    <w:pStyle w:val="Normal"/>
                    <w:rPr>
                      <w:rFonts w:ascii="Garamond" w:hAnsi="Garamond"/>
                      <w:sz w:val="20"/>
                      <w:szCs w:val="20"/>
                    </w:rPr>
                  </w:pPr>
                  <w:r>
                    <w:rPr>
                      <w:rFonts w:ascii="Garamond" w:hAnsi="Garamond"/>
                      <w:sz w:val="20"/>
                      <w:szCs w:val="20"/>
                    </w:rPr>
                    <w:t>Habilitation</w:t>
                  </w:r>
                </w:p>
                <w:p>
                  <w:pPr>
                    <w:pStyle w:val="Normal"/>
                    <w:rPr>
                      <w:rFonts w:ascii="Garamond" w:hAnsi="Garamond"/>
                      <w:i/>
                      <w:i/>
                      <w:sz w:val="20"/>
                      <w:szCs w:val="20"/>
                    </w:rPr>
                  </w:pPr>
                  <w:r>
                    <w:rPr>
                      <w:rFonts w:ascii="Garamond" w:hAnsi="Garamond"/>
                      <w:i/>
                      <w:sz w:val="20"/>
                      <w:szCs w:val="20"/>
                    </w:rPr>
                    <w:t>[votre liste]</w:t>
                  </w:r>
                </w:p>
              </w:tc>
              <w:tc>
                <w:tcPr>
                  <w:tcW w:w="2167" w:type="dxa"/>
                  <w:tcBorders>
                    <w:left w:val="nil"/>
                  </w:tcBorders>
                </w:tcPr>
                <w:p>
                  <w:pPr>
                    <w:pStyle w:val="Normal"/>
                    <w:rPr>
                      <w:rFonts w:ascii="Garamond" w:hAnsi="Garamond"/>
                      <w:sz w:val="20"/>
                      <w:szCs w:val="20"/>
                    </w:rPr>
                  </w:pPr>
                  <w:r>
                    <w:rPr>
                      <w:rFonts w:ascii="Garamond" w:hAnsi="Garamond"/>
                      <w:sz w:val="20"/>
                      <w:szCs w:val="20"/>
                    </w:rPr>
                    <w:t>Cryptographie</w:t>
                  </w:r>
                </w:p>
                <w:p>
                  <w:pPr>
                    <w:pStyle w:val="Normal"/>
                    <w:rPr>
                      <w:rFonts w:ascii="Garamond" w:hAnsi="Garamond"/>
                      <w:i/>
                      <w:i/>
                      <w:sz w:val="20"/>
                      <w:szCs w:val="20"/>
                    </w:rPr>
                  </w:pPr>
                  <w:r>
                    <w:rPr>
                      <w:rFonts w:ascii="Garamond" w:hAnsi="Garamond"/>
                      <w:i/>
                      <w:sz w:val="20"/>
                      <w:szCs w:val="20"/>
                    </w:rPr>
                    <w:t>[votre liste]</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[votre liste]</w:t>
                  </w:r>
                </w:p>
              </w:tc>
            </w:tr>
          </w:tbl>
          <w:p>
            <w:pPr>
              <w:pStyle w:val="CHeadMiddle"/>
              <w:rPr/>
            </w:pPr>
            <w:r>
              <w:rPr/>
              <w:t>Jeux d’exigences de conformité</w:t>
            </w:r>
          </w:p>
          <w:p>
            <w:pPr>
              <w:pStyle w:val="Normal"/>
              <w:spacing w:before="0"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Validation des données et encodage</w:t>
                  </w:r>
                </w:p>
                <w:p>
                  <w:pPr>
                    <w:pStyle w:val="Normal"/>
                    <w:rPr>
                      <w:rFonts w:ascii="Garamond" w:hAnsi="Garamond"/>
                      <w:i/>
                      <w:i/>
                      <w:sz w:val="20"/>
                      <w:szCs w:val="20"/>
                    </w:rPr>
                  </w:pPr>
                  <w:r>
                    <w:rPr>
                      <w:rFonts w:ascii="Garamond" w:hAnsi="Garamond"/>
                      <w:i/>
                      <w:sz w:val="20"/>
                      <w:szCs w:val="20"/>
                    </w:rPr>
                    <w:t>[liste de conformité]</w:t>
                  </w:r>
                </w:p>
                <w:p>
                  <w:pPr>
                    <w:pStyle w:val="Normal"/>
                    <w:rPr>
                      <w:rFonts w:ascii="Garamond" w:hAnsi="Garamond"/>
                      <w:sz w:val="20"/>
                      <w:szCs w:val="20"/>
                    </w:rPr>
                  </w:pPr>
                  <w:r>
                    <w:rPr>
                      <w:rFonts w:ascii="Garamond" w:hAnsi="Garamond"/>
                      <w:sz w:val="20"/>
                      <w:szCs w:val="20"/>
                    </w:rPr>
                    <w:t>Authentification</w:t>
                  </w:r>
                </w:p>
                <w:p>
                  <w:pPr>
                    <w:pStyle w:val="Normal"/>
                    <w:rPr>
                      <w:rFonts w:ascii="Garamond" w:hAnsi="Garamond"/>
                      <w:i/>
                      <w:i/>
                      <w:sz w:val="20"/>
                      <w:szCs w:val="20"/>
                    </w:rPr>
                  </w:pPr>
                  <w:r>
                    <w:rPr>
                      <w:rFonts w:ascii="Garamond" w:hAnsi="Garamond"/>
                      <w:i/>
                      <w:sz w:val="20"/>
                      <w:szCs w:val="20"/>
                    </w:rPr>
                    <w:t>[liste de conformité]</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Gestion des sessions</w:t>
                  </w:r>
                </w:p>
                <w:p>
                  <w:pPr>
                    <w:pStyle w:val="Normal"/>
                    <w:rPr>
                      <w:rFonts w:ascii="Garamond" w:hAnsi="Garamond"/>
                      <w:i/>
                      <w:i/>
                      <w:sz w:val="20"/>
                      <w:szCs w:val="20"/>
                    </w:rPr>
                  </w:pPr>
                  <w:r>
                    <w:rPr>
                      <w:rFonts w:ascii="Garamond" w:hAnsi="Garamond"/>
                      <w:i/>
                      <w:sz w:val="20"/>
                      <w:szCs w:val="20"/>
                    </w:rPr>
                    <w:t>[liste de conformité]</w:t>
                  </w:r>
                </w:p>
                <w:p>
                  <w:pPr>
                    <w:pStyle w:val="Normal"/>
                    <w:rPr>
                      <w:rFonts w:ascii="Garamond" w:hAnsi="Garamond"/>
                      <w:sz w:val="20"/>
                      <w:szCs w:val="20"/>
                    </w:rPr>
                  </w:pPr>
                  <w:r>
                    <w:rPr>
                      <w:rFonts w:ascii="Garamond" w:hAnsi="Garamond"/>
                      <w:sz w:val="20"/>
                      <w:szCs w:val="20"/>
                    </w:rPr>
                    <w:t>Habilitation</w:t>
                  </w:r>
                </w:p>
                <w:p>
                  <w:pPr>
                    <w:pStyle w:val="Normal"/>
                    <w:rPr>
                      <w:rFonts w:ascii="Garamond" w:hAnsi="Garamond"/>
                      <w:i/>
                      <w:i/>
                      <w:sz w:val="20"/>
                      <w:szCs w:val="20"/>
                    </w:rPr>
                  </w:pPr>
                  <w:r>
                    <w:rPr>
                      <w:rFonts w:ascii="Garamond" w:hAnsi="Garamond"/>
                      <w:i/>
                      <w:sz w:val="20"/>
                      <w:szCs w:val="20"/>
                    </w:rPr>
                    <w:t>[liste de conformité]</w:t>
                  </w:r>
                </w:p>
              </w:tc>
              <w:tc>
                <w:tcPr>
                  <w:tcW w:w="2167" w:type="dxa"/>
                  <w:tcBorders>
                    <w:left w:val="nil"/>
                  </w:tcBorders>
                </w:tcPr>
                <w:p>
                  <w:pPr>
                    <w:pStyle w:val="Normal"/>
                    <w:rPr>
                      <w:rFonts w:ascii="Garamond" w:hAnsi="Garamond"/>
                      <w:sz w:val="20"/>
                      <w:szCs w:val="20"/>
                    </w:rPr>
                  </w:pPr>
                  <w:r>
                    <w:rPr>
                      <w:rFonts w:ascii="Garamond" w:hAnsi="Garamond"/>
                      <w:sz w:val="20"/>
                      <w:szCs w:val="20"/>
                    </w:rPr>
                    <w:t>Cryptographie</w:t>
                  </w:r>
                </w:p>
                <w:p>
                  <w:pPr>
                    <w:pStyle w:val="Normal"/>
                    <w:rPr>
                      <w:rFonts w:ascii="Garamond" w:hAnsi="Garamond"/>
                      <w:i/>
                      <w:i/>
                      <w:sz w:val="20"/>
                      <w:szCs w:val="20"/>
                    </w:rPr>
                  </w:pPr>
                  <w:r>
                    <w:rPr>
                      <w:rFonts w:ascii="Garamond" w:hAnsi="Garamond"/>
                      <w:i/>
                      <w:sz w:val="20"/>
                      <w:szCs w:val="20"/>
                    </w:rPr>
                    <w:t>[liste de conformité]</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[liste de conformité]</w:t>
                  </w:r>
                </w:p>
              </w:tc>
            </w:tr>
          </w:tbl>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t>9. Doit-on toujours utiliser un jeu complet de cartes?</w:t>
            </w:r>
          </w:p>
          <w:p>
            <w:pPr>
              <w:pStyle w:val="Normal"/>
              <w:spacing w:before="0" w:after="120"/>
              <w:rPr>
                <w:rFonts w:ascii="Garamond" w:hAnsi="Garamond"/>
                <w:i/>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pPr>
              <w:pStyle w:val="Normal"/>
              <w:spacing w:before="0" w:after="120"/>
              <w:rPr>
                <w:rFonts w:ascii="Garamond" w:hAnsi="Garamond"/>
                <w:i/>
                <w:i/>
                <w:sz w:val="20"/>
                <w:szCs w:val="20"/>
              </w:rPr>
            </w:pPr>
            <w:r>
              <w:rPr>
                <w:rFonts w:ascii="Garamond" w:hAnsi="Garamond"/>
                <w:i/>
                <w:sz w:val="20"/>
                <w:szCs w:val="20"/>
              </w:rPr>
              <w:t>10. Que doivent faire les joueurs lorsqu’ils possèdent un As qui stipule “Vous avez inventé une nouvelle attaque contre…”?</w:t>
            </w:r>
          </w:p>
          <w:p>
            <w:pPr>
              <w:pStyle w:val="Normal"/>
              <w:spacing w:before="0" w:after="120"/>
              <w:rPr>
                <w:rFonts w:ascii="Garamond" w:hAnsi="Garamond"/>
                <w:i/>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pPr>
              <w:pStyle w:val="Normal"/>
              <w:spacing w:before="0" w:after="120"/>
              <w:rPr>
                <w:rFonts w:ascii="Garamond" w:hAnsi="Garamond"/>
                <w:i/>
                <w:i/>
                <w:sz w:val="20"/>
                <w:szCs w:val="20"/>
              </w:rPr>
            </w:pPr>
            <w:r>
              <w:rPr>
                <w:rFonts w:ascii="Garamond" w:hAnsi="Garamond"/>
                <w:i/>
                <w:sz w:val="20"/>
                <w:szCs w:val="20"/>
              </w:rPr>
              <w:t>11. Je ne comprends pas la description de l’attaque sur une carte – comment trouver plus d’information?</w:t>
            </w:r>
          </w:p>
          <w:p>
            <w:pPr>
              <w:pStyle w:val="Normal"/>
              <w:spacing w:before="0" w:after="120"/>
              <w:rPr>
                <w:rFonts w:ascii="Garamond" w:hAnsi="Garamond"/>
                <w:i/>
                <w:i/>
                <w:sz w:val="20"/>
                <w:szCs w:val="20"/>
              </w:rPr>
            </w:pPr>
            <w:r>
              <w:rPr>
                <w:rFonts w:ascii="Garamond" w:hAnsi="Garamond"/>
                <w:i/>
                <w:sz w:val="20"/>
                <w:szCs w:val="20"/>
              </w:rPr>
              <w:t>Le Wiki Deck en ligne a été créé pour aider les joueurs à comprendre les attaques. Voir :</w:t>
            </w:r>
          </w:p>
          <w:p>
            <w:pPr>
              <w:pStyle w:val="Normal"/>
              <w:spacing w:before="0" w:after="120"/>
              <w:rPr>
                <w:rFonts w:ascii="Garamond" w:hAnsi="Garamond"/>
                <w:spacing w:val="-7"/>
                <w:sz w:val="20"/>
                <w:szCs w:val="20"/>
              </w:rPr>
            </w:pPr>
            <w:hyperlink r:id="rId14">
              <w:r>
                <w:rPr>
                  <w:rStyle w:val="InternetLink"/>
                  <w:rFonts w:ascii="Garamond" w:hAnsi="Garamond"/>
                  <w:spacing w:val="-7"/>
                  <w:sz w:val="20"/>
                  <w:szCs w:val="20"/>
                </w:rPr>
                <w:t>https://www.owasp.org/index.php/Cornucopia_-_Ecommerce_Website_Edition_-_Wiki_Deck</w:t>
              </w:r>
            </w:hyperlink>
          </w:p>
          <w:p>
            <w:pPr>
              <w:pStyle w:val="Normal"/>
              <w:spacing w:before="0" w:after="120"/>
              <w:rPr>
                <w:rFonts w:ascii="Garamond" w:hAnsi="Garamond"/>
                <w:i/>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pPr>
              <w:pStyle w:val="Normal"/>
              <w:spacing w:before="0" w:after="120"/>
              <w:rPr>
                <w:rFonts w:ascii="Garamond" w:hAnsi="Garamond"/>
                <w:sz w:val="20"/>
                <w:szCs w:val="20"/>
              </w:rPr>
            </w:pPr>
            <w:r>
              <w:fldChar w:fldCharType="begin"/>
            </w:r>
            <w:r>
              <w:rPr>
                <w:rStyle w:val="InternetLink"/>
                <w:sz w:val="20"/>
                <w:spacing w:val="-4"/>
                <w:szCs w:val="20"/>
                <w:rFonts w:ascii="Garamond" w:hAnsi="Garamond"/>
              </w:rPr>
              <w:instrText> HYPERLINK "https://www.owasp.org/index.php/OWASP_Cornucopia" \l "tab=FAQs"</w:instrText>
            </w:r>
            <w:r>
              <w:rPr>
                <w:rStyle w:val="InternetLink"/>
                <w:sz w:val="20"/>
                <w:spacing w:val="-4"/>
                <w:szCs w:val="20"/>
                <w:rFonts w:ascii="Garamond" w:hAnsi="Garamond"/>
              </w:rPr>
              <w:fldChar w:fldCharType="separate"/>
            </w:r>
            <w:r>
              <w:rPr>
                <w:rStyle w:val="InternetLink"/>
                <w:rFonts w:ascii="Garamond" w:hAnsi="Garamond"/>
                <w:spacing w:val="-4"/>
                <w:sz w:val="20"/>
                <w:szCs w:val="20"/>
              </w:rPr>
              <w:t>https://www.owasp.org/index.php/OWASP_Cornucopia - tab=FAQs</w:t>
            </w:r>
            <w:r>
              <w:rPr>
                <w:rStyle w:val="InternetLink"/>
                <w:sz w:val="20"/>
                <w:spacing w:val="-4"/>
                <w:szCs w:val="20"/>
                <w:rFonts w:ascii="Garamond" w:hAnsi="Garamond"/>
              </w:rPr>
              <w:fldChar w:fldCharType="end"/>
            </w:r>
          </w:p>
          <w:p>
            <w:pPr>
              <w:pStyle w:val="Normal"/>
              <w:spacing w:before="0" w:after="120"/>
              <w:rPr>
                <w:rFonts w:ascii="Garamond" w:hAnsi="Garamond" w:eastAsia="ＭＳ ゴシック" w:cs="" w:cstheme="majorBidi" w:eastAsiaTheme="majorEastAsia"/>
                <w:b/>
                <w:b/>
                <w:bCs/>
                <w:i/>
                <w:i/>
                <w:iCs/>
                <w:color w:val="404040" w:themeColor="text1" w:themeTint="bf"/>
                <w:sz w:val="20"/>
                <w:szCs w:val="20"/>
              </w:rPr>
            </w:pPr>
            <w:r>
              <w:rPr>
                <w:rFonts w:eastAsia="ＭＳ ゴシック" w:cs="" w:cstheme="majorBidi" w:eastAsiaTheme="majorEastAsia" w:ascii="Garamond" w:hAnsi="Garamond"/>
                <w:b/>
                <w:bCs/>
                <w:i/>
                <w:iCs/>
                <w:color w:val="404040" w:themeColor="text1" w:themeTint="bf"/>
                <w:sz w:val="20"/>
                <w:szCs w:val="20"/>
              </w:rPr>
            </w:r>
          </w:p>
        </w:tc>
      </w:tr>
      <w:tr>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pPr>
              <w:pStyle w:val="Normal"/>
              <w:rPr>
                <w:rFonts w:ascii="Garamond" w:hAnsi="Garamond"/>
                <w:sz w:val="20"/>
                <w:szCs w:val="20"/>
              </w:rPr>
            </w:pPr>
            <w:r>
              <w:rPr>
                <w:rFonts w:ascii="Garamond" w:hAnsi="Garamond"/>
                <w:sz w:val="20"/>
                <w:szCs w:val="20"/>
              </w:rPr>
            </w:r>
          </w:p>
        </w:tc>
        <w:tc>
          <w:tcPr>
            <w:tcW w:w="792" w:type="dxa"/>
            <w:tcBorders>
              <w:top w:val="single" w:sz="4" w:space="0" w:color="000000"/>
              <w:left w:val="single" w:sz="4" w:space="0" w:color="000000"/>
              <w:bottom w:val="single" w:sz="4" w:space="0" w:color="000000"/>
              <w:right w:val="single" w:sz="4" w:space="0" w:color="000000"/>
            </w:tcBorders>
            <w:shd w:color="auto" w:fill="929292" w:val="clear"/>
            <w:tcMar>
              <w:left w:w="0" w:type="dxa"/>
              <w:right w:w="0" w:type="dxa"/>
            </w:tcM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51"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gridSpan w:val="2"/>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4" w:type="dxa"/>
            <w:gridSpan w:val="2"/>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0"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8"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7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BFBFBF" w:themeColor="background1" w:themeShade="bf"/>
                <w:sz w:val="48"/>
                <w:szCs w:val="48"/>
              </w:rPr>
            </w:pPr>
            <w:r>
              <w:rPr>
                <w:rFonts w:ascii="Garamond" w:hAnsi="Garamond"/>
                <w:b/>
                <w:color w:val="BFBFBF" w:themeColor="background1" w:themeShade="bf"/>
                <w:sz w:val="48"/>
                <w:szCs w:val="48"/>
              </w:rPr>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Vous avez inventé une nouvelle attaque contre la Validation des Données et l'Encodage</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color w:val="404040" w:themeColor="text1" w:themeTint="bf"/>
                <w:sz w:val="16"/>
                <w:szCs w:val="16"/>
              </w:rPr>
            </w:pPr>
            <w:r>
              <w:rPr>
                <w:rFonts w:ascii="Garamond" w:hAnsi="Garamond"/>
                <w:color w:val="404040" w:themeColor="text1" w:themeTint="bf"/>
                <w:sz w:val="16"/>
                <w:szCs w:val="16"/>
              </w:rPr>
              <w:t>(Pas de Carte)</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041"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1.10, 4.5, 8.1, 11.5, 19.1, 19.5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54, 541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5.1, 5.16, 5.17, 5.18, 5.19, 5.20, 11.1, 11.2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155"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4.16, 5.16, 5.17, 15.1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1.7, 5.15, 5.21, 5.22, 5.23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1.7, 5.6, 5.19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5.6, 11.8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FBFBF"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color="auto" w:fill="929292" w:val="clear"/>
            <w:tcMar>
              <w:right w:w="113" w:type="dxa"/>
            </w:tcMar>
            <w:textDirection w:val="tbRl"/>
          </w:tcPr>
          <w:p>
            <w:pPr>
              <w:pStyle w:val="Normal"/>
              <w:ind w:left="113" w:right="113" w:hanging="0"/>
              <w:jc w:val="both"/>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851"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850"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49"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15, 169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1.7, 5.21, 5.23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5.19, 10.6, 16.2, 16.3, 16.4, 16.5, 16.8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1, 17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5.5, 5.18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trPr/>
              <w:tc>
                <w:tcPr>
                  <w:tcW w:w="2410" w:type="dxa"/>
                  <w:tcBorders>
                    <w:top w:val="nil"/>
                    <w:left w:val="nil"/>
                    <w:bottom w:val="single" w:sz="4" w:space="0" w:color="7F7F7F"/>
                    <w:right w:val="nil"/>
                  </w:tcBorders>
                  <w:shd w:color="auto" w:fill="BFBFBF" w:val="clear"/>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5.15, 5.22, 5.23, 5.24, 5.25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5.10, 5.11, 5.12, 5.13, 5.14, 5.16, 5.21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19-20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95B3D7" w:themeColor="accent1"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Vous avez inventé une nouvelle attaque contre l'Authentification</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47, 52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2.12, 8.4, 8.10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2.2, 2.17, 2.24, 8.7, 9.1, 9.4, 9.5, 9.9, 9.11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Sebastien peut facilement identifier les noms des utilisateurs ou peut les énumérer</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2.18, 2.28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383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595959" w:themeColor="text1" w:themeTint="a6"/>
                      <w:sz w:val="12"/>
                      <w:szCs w:val="12"/>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2.7, 2.20, 2.23, 2.25, 2.27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8CCE4"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55-56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2.1, 2.9, 2.26, 2.31, 4.15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1.7, 2.30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Olga peut influencer ou modifier du code/routines d'authentification de telle manière que celle-ci soit contournée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b/>
                <w:b/>
                <w:sz w:val="20"/>
                <w:szCs w:val="20"/>
              </w:rPr>
            </w:pPr>
            <w:r>
              <w:rPr>
                <w:rFonts w:ascii="Garamond" w:hAnsi="Garamond"/>
                <w:b/>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C2D69B" w:themeColor="accent3" w:themeTint="99"/>
                <w:sz w:val="48"/>
                <w:szCs w:val="48"/>
              </w:rPr>
            </w:pPr>
            <w:r>
              <w:rPr>
                <w:rFonts w:ascii="Garamond" w:hAnsi="Garamond"/>
                <w:b/>
                <w:color w:val="C2D69B" w:themeColor="accent3" w:themeTint="99"/>
                <w:sz w:val="48"/>
                <w:szCs w:val="48"/>
              </w:rPr>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Vous avez inventé une nouvelle attaque contre la Gestion des Sessions</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William a le contrôle sur la génération des identifiants de session</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Ryan peut utiliser le même compte en parallèle, puisque les sessions concurrentes sont autorisées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58-59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59, 61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3.2, 3.7, 3.11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64-65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3.3, 3.4, 3.16, 3.17, 3.18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62-63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6E3BC"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3.6, 8.7, 10.3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27"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73-74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62, 111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58, 60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E0DE92"/>
                <w:sz w:val="48"/>
                <w:szCs w:val="48"/>
              </w:rPr>
            </w:pPr>
            <w:r>
              <w:rPr>
                <w:rFonts w:ascii="Garamond" w:hAnsi="Garamond"/>
                <w:b/>
                <w:color w:val="E0DE92"/>
                <w:sz w:val="48"/>
                <w:szCs w:val="48"/>
              </w:rPr>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Vous avez inventé une nouvelle attaque contre les Habilitations</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Tim peut modifier l'emplacement où la donnée est envoyée ou renvoyée</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4.1, 4.16, 16.1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8.2, 9.1-9.6, 9.11, 16.6-16.7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69, 213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79-80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4.1, 4.4, 4.9, 19.3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E8E697"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Dinis peut accéder à des informations sur la configuration de sécurité, ou des listes des contrôles d'accès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4.10, 4.15, 4.16, 8.13, 15.1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10-12</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1.7, 4.11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Christopher peut injecter une commande que l'application exécutera avec un niveau de privilège plus élevé</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Ryan peut influencer ou altérer les contrôles d'habilitations et les permissions, et peut ainsi les contourner</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4.9, 4.10, 13.2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7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Vous avez inventé une nouvelle attaque contre la Cryptographie</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8.11, 11.7, 13.2, 19.5, 19.6, 19.7, 19.8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01" w:leader="none"/>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7.12, 9.2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185-187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7.2, 10.3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2.16, 9.2, 9.11, 10.3, 19.2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10.1, 10.5, 10.10, 10.11, 10.12, 10.13, 10.14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31, 216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3CBDE"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2.13, 7.7, 7.8, 9.2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7.6, 7.7, 7.8, 7.15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Randolph peut accéder ou prédire les secrets cryptographiques maîtres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35, 102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7.8, 7.9, 7.11, 7.13, 7.14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31, 101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Vous avez inventé une nouvelle attaque de n'importe quel type</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Keith peut effectuer une action et il n'est pas possible de la lui attribuer.</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8.2, 8.4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16"/>
                <w:szCs w:val="16"/>
              </w:rPr>
            </w:pPr>
            <w:r>
              <w:rPr>
                <w:rFonts w:ascii="Garamond" w:hAnsi="Garamond"/>
                <w:sz w:val="16"/>
                <w:szCs w:val="16"/>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C6D9F1" w:themeFill="text2" w:themeFillTint="33"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19.5, 19.9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Gareth peut utiliser l'application pour refuser le service à certains ou à tous ses utilisateurs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Alice peut utiliser l'application pour attaquer les systèmes et les données des utilisateurs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4.14, 9.8, 15.1, 15.2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(All)</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
        </w:tc>
      </w:tr>
    </w:tbl>
    <w:p>
      <w:pPr>
        <w:pStyle w:val="Normal"/>
        <w:rPr>
          <w:rFonts w:ascii="Garamond" w:hAnsi="Garamond"/>
          <w:sz w:val="20"/>
          <w:szCs w:val="20"/>
        </w:rPr>
      </w:pPr>
      <w:r>
        <w:rPr>
          <w:rFonts w:ascii="Garamond" w:hAnsi="Garamond"/>
          <w:sz w:val="20"/>
          <w:szCs w:val="20"/>
        </w:rPr>
      </w:r>
      <w:r>
        <w:br w:type="page"/>
      </w:r>
    </w:p>
    <w:tbl>
      <w:tblPr>
        <w:tblStyle w:val="TableGrid"/>
        <w:tblW w:w="14889" w:type="dxa"/>
        <w:jc w:val="left"/>
        <w:tblInd w:w="0" w:type="dxa"/>
        <w:tblCellMar>
          <w:top w:w="0" w:type="dxa"/>
          <w:left w:w="0" w:type="dxa"/>
          <w:bottom w:w="57" w:type="dxa"/>
          <w:right w:w="57" w:type="dxa"/>
        </w:tblCellMar>
        <w:tblLook w:val="04a0" w:noHBand="0" w:noVBand="1" w:firstColumn="1" w:lastRow="0" w:lastColumn="0" w:firstRow="1"/>
      </w:tblPr>
      <w:tblGrid>
        <w:gridCol w:w="856"/>
        <w:gridCol w:w="3061"/>
        <w:gridCol w:w="341"/>
        <w:gridCol w:w="3061"/>
        <w:gridCol w:w="341"/>
        <w:gridCol w:w="3063"/>
        <w:gridCol w:w="339"/>
        <w:gridCol w:w="3063"/>
        <w:gridCol w:w="762"/>
      </w:tblGrid>
      <w:tr>
        <w:trPr>
          <w:trHeight w:val="340" w:hRule="atLeast"/>
        </w:trPr>
        <w:tc>
          <w:tcPr>
            <w:tcW w:w="856" w:type="dxa"/>
            <w:tcBorders>
              <w:top w:val="nil"/>
              <w:left w:val="nil"/>
              <w:bottom w:val="dashed" w:sz="4" w:space="0" w:color="000000"/>
              <w:right w:val="dashed" w:sz="4" w:space="0" w:color="000000"/>
            </w:tcBorders>
            <w:shd w:color="auto" w:fill="auto" w:val="clear"/>
            <w:vAlign w:val="bottom"/>
          </w:tcPr>
          <w:p>
            <w:pPr>
              <w:pStyle w:val="Normal"/>
              <w:pageBreakBefore/>
              <w:jc w:val="right"/>
              <w:rPr>
                <w:rFonts w:ascii="Garamond" w:hAnsi="Garamond"/>
                <w:sz w:val="16"/>
                <w:szCs w:val="16"/>
              </w:rPr>
            </w:pPr>
            <w:r>
              <w:rPr>
                <w:rFonts w:ascii="Garamond" w:hAnsi="Garamond"/>
                <w:sz w:val="16"/>
                <w:szCs w:val="16"/>
              </w:rPr>
              <w:t>Cut here</w:t>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0"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39"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762" w:type="dxa"/>
            <w:tcBorders>
              <w:top w:val="nil"/>
              <w:left w:val="dashed" w:sz="4" w:space="0" w:color="000000"/>
              <w:bottom w:val="dashed" w:sz="4" w:space="0" w:color="000000"/>
              <w:right w:val="nil"/>
            </w:tcBorders>
            <w:tcMar>
              <w:bottom w:w="0" w:type="dxa"/>
              <w:right w:w="5" w:type="dxa"/>
            </w:tcMar>
          </w:tcPr>
          <w:p>
            <w:pPr>
              <w:pStyle w:val="Normal"/>
              <w:rPr>
                <w:rFonts w:ascii="Garamond" w:hAnsi="Garamond"/>
                <w:sz w:val="20"/>
                <w:szCs w:val="20"/>
              </w:rPr>
            </w:pPr>
            <w:r>
              <w:rPr>
                <w:rFonts w:ascii="Garamond" w:hAnsi="Garamond"/>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nil"/>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nil"/>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drawing>
          <wp:inline distT="0" distB="0" distL="0" distR="0">
            <wp:extent cx="9612630" cy="68389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5"/>
                    <a:stretch>
                      <a:fillRect/>
                    </a:stretch>
                  </pic:blipFill>
                  <pic:spPr bwMode="auto">
                    <a:xfrm>
                      <a:off x="0" y="0"/>
                      <a:ext cx="9612630" cy="6838950"/>
                    </a:xfrm>
                    <a:prstGeom prst="rect">
                      <a:avLst/>
                    </a:prstGeom>
                  </pic:spPr>
                </pic:pic>
              </a:graphicData>
            </a:graphic>
          </wp:inline>
        </w:drawing>
      </w:r>
    </w:p>
    <w:p>
      <w:pPr>
        <w:pStyle w:val="Normal"/>
        <w:rPr>
          <w:rFonts w:ascii="Garamond" w:hAnsi="Garamond"/>
          <w:sz w:val="20"/>
          <w:szCs w:val="20"/>
        </w:rPr>
      </w:pPr>
      <w:r>
        <w:rPr>
          <w:rFonts w:ascii="Garamond" w:hAnsi="Garamond"/>
          <w:sz w:val="20"/>
          <w:szCs w:val="20"/>
        </w:rPr>
      </w:r>
    </w:p>
    <w:p>
      <w:pPr>
        <w:pStyle w:val="CHeadTop"/>
        <w:rPr/>
      </w:pPr>
      <w:r>
        <w:rPr/>
        <w:t>Changelog</w:t>
      </w:r>
    </w:p>
    <w:tbl>
      <w:tblPr>
        <w:tblStyle w:val="TableGrid"/>
        <w:tblW w:w="14940" w:type="dxa"/>
        <w:jc w:val="left"/>
        <w:tblInd w:w="-51" w:type="dxa"/>
        <w:tblCellMar>
          <w:top w:w="0" w:type="dxa"/>
          <w:left w:w="57" w:type="dxa"/>
          <w:bottom w:w="0" w:type="dxa"/>
          <w:right w:w="57" w:type="dxa"/>
        </w:tblCellMar>
        <w:tblLook w:val="04a0" w:noHBand="0" w:noVBand="1" w:firstColumn="1" w:lastRow="0" w:lastColumn="0" w:firstRow="1"/>
      </w:tblPr>
      <w:tblGrid>
        <w:gridCol w:w="1900"/>
        <w:gridCol w:w="2552"/>
        <w:gridCol w:w="10488"/>
      </w:tblGrid>
      <w:tr>
        <w:trPr>
          <w:tblHeader w:val="true"/>
        </w:trPr>
        <w:tc>
          <w:tcPr>
            <w:tcW w:w="4452" w:type="dxa"/>
            <w:gridSpan w:val="2"/>
            <w:tcBorders/>
            <w:shd w:color="auto" w:fill="17365D" w:themeFill="text2" w:themeFillShade="bf" w:val="clear"/>
          </w:tcPr>
          <w:p>
            <w:pPr>
              <w:pStyle w:val="Normal"/>
              <w:rPr>
                <w:rFonts w:ascii="Garamond" w:hAnsi="Garamond"/>
                <w:sz w:val="20"/>
                <w:szCs w:val="20"/>
              </w:rPr>
            </w:pPr>
            <w:r>
              <w:rPr>
                <w:rFonts w:ascii="Garamond" w:hAnsi="Garamond"/>
                <w:sz w:val="20"/>
                <w:szCs w:val="20"/>
              </w:rPr>
              <w:t>Version / Date</w:t>
            </w:r>
          </w:p>
        </w:tc>
        <w:tc>
          <w:tcPr>
            <w:tcW w:w="10488" w:type="dxa"/>
            <w:tcBorders/>
            <w:shd w:color="auto" w:fill="17365D" w:themeFill="text2" w:themeFillShade="bf" w:val="clear"/>
          </w:tcPr>
          <w:p>
            <w:pPr>
              <w:pStyle w:val="Normal"/>
              <w:rPr>
                <w:rFonts w:ascii="Garamond" w:hAnsi="Garamond"/>
                <w:sz w:val="20"/>
                <w:szCs w:val="20"/>
              </w:rPr>
            </w:pPr>
            <w:r>
              <w:rPr>
                <w:rFonts w:ascii="Garamond" w:hAnsi="Garamond"/>
                <w:sz w:val="20"/>
                <w:szCs w:val="20"/>
              </w:rPr>
              <w:t>Comments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30 Jul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original.</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revu et mis à jour.</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15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annoncé à la liste de diffusion de l’OWASP SCP pour commentaire.</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Version initiale.</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 Jun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14 Aug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1.03</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18 Sep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 Feb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1.05</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21 Mar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 Mar 2015</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Modifications mineures du texte des cartes pour améliorer la lisibilité.</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29 Jun 2016</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1.2 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bl>
    <w:p>
      <w:pPr>
        <w:pStyle w:val="Normal"/>
        <w:rPr/>
      </w:pPr>
      <w:r>
        <w:rPr/>
      </w:r>
    </w:p>
    <w:p>
      <w:pPr>
        <w:pStyle w:val="Normal"/>
        <w:rPr/>
      </w:pPr>
      <w:r>
        <w:rPr/>
      </w:r>
    </w:p>
    <w:p>
      <w:pPr>
        <w:pStyle w:val="Normal"/>
        <w:rPr/>
      </w:pPr>
      <w:r>
        <w:rPr/>
      </w:r>
      <w:r>
        <w:br w:type="page"/>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977"/>
        <w:gridCol w:w="7376"/>
      </w:tblGrid>
      <w:tr>
        <w:trPr/>
        <w:tc>
          <w:tcPr>
            <w:tcW w:w="7977" w:type="dxa"/>
            <w:tcBorders>
              <w:top w:val="nil"/>
              <w:left w:val="nil"/>
              <w:bottom w:val="nil"/>
              <w:right w:val="nil"/>
            </w:tcBorders>
          </w:tcPr>
          <w:p>
            <w:pPr>
              <w:pStyle w:val="CHeadTop"/>
              <w:pageBreakBefore/>
              <w:rPr/>
            </w:pPr>
            <w:r>
              <w:rPr/>
              <w:t>Contributeurs du projet</w:t>
            </w:r>
          </w:p>
          <w:p>
            <w:pPr>
              <w:pStyle w:val="CHeadTop"/>
              <w:rPr>
                <w:b w:val="false"/>
                <w:b w:val="false"/>
                <w:sz w:val="20"/>
                <w:szCs w:val="20"/>
              </w:rPr>
            </w:pPr>
            <w:r>
              <w:rPr>
                <w:b w:val="false"/>
                <w:sz w:val="20"/>
                <w:szCs w:val="20"/>
              </w:rPr>
              <w:t>Tous les projets de l’OWASP reposent sur les contributions volontaires de personnes dans les secteurs du développement de logiciels et de la sécurité de l’information.</w:t>
            </w:r>
          </w:p>
          <w:p>
            <w:pPr>
              <w:pStyle w:val="CHeadTop"/>
              <w:rPr>
                <w:b w:val="false"/>
                <w:b w:val="false"/>
                <w:sz w:val="20"/>
                <w:szCs w:val="20"/>
              </w:rPr>
            </w:pPr>
            <w:r>
              <w:rPr>
                <w:b w:val="false"/>
                <w:sz w:val="20"/>
                <w:szCs w:val="20"/>
              </w:rPr>
              <w:t>Ils ont consacré leurs temps et leur énergie à faire des suggestions, donner des avis, rédiger, reviser et modifier la documentation, encourager, essayer le jeu, et promouvoir le concept.</w:t>
            </w:r>
          </w:p>
          <w:p>
            <w:pPr>
              <w:pStyle w:val="CHeadTop"/>
              <w:rPr>
                <w:b w:val="false"/>
                <w:b w:val="false"/>
                <w:sz w:val="20"/>
                <w:szCs w:val="20"/>
              </w:rPr>
            </w:pPr>
            <w:r>
              <w:rPr>
                <w:b w:val="false"/>
                <w:sz w:val="20"/>
                <w:szCs w:val="20"/>
              </w:rPr>
              <w:t>Sans tous leurs efforts, le projet n’aurait pas progressé jusqu’à ce point.</w:t>
            </w:r>
          </w:p>
          <w:p>
            <w:pPr>
              <w:pStyle w:val="CHeadTop"/>
              <w:rPr>
                <w:b w:val="false"/>
                <w:b w:val="false"/>
                <w:sz w:val="20"/>
                <w:szCs w:val="20"/>
              </w:rPr>
            </w:pPr>
            <w:r>
              <w:rPr>
                <w:b w:val="false"/>
                <w:sz w:val="20"/>
                <w:szCs w:val="20"/>
              </w:rPr>
              <w:t>Veuillez contacter la liste de diffusion ou les chefs du projet directement, s’il manque quelqu’un dans les listes ci-dessous.</w:t>
            </w:r>
          </w:p>
          <w:p>
            <w:pPr>
              <w:pStyle w:val="CHeadTop"/>
              <w:rPr>
                <w:sz w:val="20"/>
                <w:szCs w:val="20"/>
              </w:rPr>
            </w:pPr>
            <w:r>
              <w:rPr>
                <w:sz w:val="20"/>
                <w:szCs w:val="20"/>
              </w:rPr>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87"/>
              <w:gridCol w:w="2587"/>
              <w:gridCol w:w="2587"/>
            </w:tblGrid>
            <w:tr>
              <w:trPr/>
              <w:tc>
                <w:tcPr>
                  <w:tcW w:w="2587" w:type="dxa"/>
                  <w:tcBorders>
                    <w:top w:val="nil"/>
                    <w:left w:val="nil"/>
                    <w:bottom w:val="nil"/>
                    <w:right w:val="nil"/>
                  </w:tcBorders>
                </w:tcPr>
                <w:p>
                  <w:pPr>
                    <w:pStyle w:val="CHeadTop"/>
                    <w:numPr>
                      <w:ilvl w:val="0"/>
                      <w:numId w:val="4"/>
                    </w:numPr>
                    <w:spacing w:before="0" w:after="40"/>
                    <w:ind w:left="714" w:hanging="357"/>
                    <w:rPr>
                      <w:rFonts w:eastAsia="ＭＳ ゴシック" w:cs="" w:cstheme="majorBidi" w:eastAsiaTheme="majorEastAsia"/>
                      <w:b w:val="false"/>
                      <w:b w:val="false"/>
                      <w:bCs/>
                      <w:color w:val="243F60" w:themeColor="accent1" w:themeShade="7f"/>
                      <w:sz w:val="20"/>
                      <w:szCs w:val="20"/>
                    </w:rPr>
                  </w:pPr>
                  <w:r>
                    <w:rPr>
                      <w:b w:val="false"/>
                      <w:sz w:val="20"/>
                      <w:szCs w:val="20"/>
                    </w:rPr>
                    <w:t>Simon Bennetts</w:t>
                  </w:r>
                </w:p>
                <w:p>
                  <w:pPr>
                    <w:pStyle w:val="CHeadTop"/>
                    <w:numPr>
                      <w:ilvl w:val="0"/>
                      <w:numId w:val="4"/>
                    </w:numPr>
                    <w:spacing w:before="0" w:after="40"/>
                    <w:ind w:left="714" w:hanging="357"/>
                    <w:rPr>
                      <w:sz w:val="20"/>
                      <w:szCs w:val="20"/>
                    </w:rPr>
                  </w:pPr>
                  <w:r>
                    <w:rPr>
                      <w:b w:val="false"/>
                      <w:sz w:val="20"/>
                      <w:szCs w:val="20"/>
                    </w:rPr>
                    <w:t>Tom Brennan</w:t>
                  </w:r>
                </w:p>
                <w:p>
                  <w:pPr>
                    <w:pStyle w:val="CHeadTop"/>
                    <w:numPr>
                      <w:ilvl w:val="0"/>
                      <w:numId w:val="4"/>
                    </w:numPr>
                    <w:spacing w:before="0" w:after="40"/>
                    <w:ind w:left="714" w:hanging="357"/>
                    <w:rPr>
                      <w:b w:val="false"/>
                      <w:b w:val="false"/>
                      <w:sz w:val="20"/>
                      <w:szCs w:val="20"/>
                    </w:rPr>
                  </w:pPr>
                  <w:r>
                    <w:rPr>
                      <w:b w:val="false"/>
                      <w:sz w:val="20"/>
                      <w:szCs w:val="20"/>
                    </w:rPr>
                    <w:t>Fabio Cerullo</w:t>
                  </w:r>
                </w:p>
                <w:p>
                  <w:pPr>
                    <w:pStyle w:val="CHeadTop"/>
                    <w:numPr>
                      <w:ilvl w:val="0"/>
                      <w:numId w:val="4"/>
                    </w:numPr>
                    <w:spacing w:before="0" w:after="40"/>
                    <w:ind w:left="714" w:hanging="357"/>
                    <w:rPr>
                      <w:b w:val="false"/>
                      <w:b w:val="false"/>
                      <w:sz w:val="20"/>
                      <w:szCs w:val="20"/>
                    </w:rPr>
                  </w:pPr>
                  <w:r>
                    <w:rPr>
                      <w:b w:val="false"/>
                      <w:sz w:val="20"/>
                      <w:szCs w:val="20"/>
                    </w:rPr>
                    <w:t>Oana Cornea</w:t>
                  </w:r>
                </w:p>
                <w:p>
                  <w:pPr>
                    <w:pStyle w:val="CHeadTop"/>
                    <w:numPr>
                      <w:ilvl w:val="0"/>
                      <w:numId w:val="4"/>
                    </w:numPr>
                    <w:spacing w:before="0" w:after="40"/>
                    <w:ind w:left="714" w:hanging="357"/>
                    <w:rPr>
                      <w:b w:val="false"/>
                      <w:b w:val="false"/>
                      <w:sz w:val="20"/>
                      <w:szCs w:val="20"/>
                    </w:rPr>
                  </w:pPr>
                  <w:r>
                    <w:rPr>
                      <w:b w:val="false"/>
                      <w:sz w:val="20"/>
                      <w:szCs w:val="20"/>
                    </w:rPr>
                    <w:t>Johanna Curiel</w:t>
                  </w:r>
                </w:p>
                <w:p>
                  <w:pPr>
                    <w:pStyle w:val="CHeadTop"/>
                    <w:numPr>
                      <w:ilvl w:val="0"/>
                      <w:numId w:val="4"/>
                    </w:numPr>
                    <w:spacing w:before="0" w:after="40"/>
                    <w:ind w:left="714" w:hanging="357"/>
                    <w:rPr>
                      <w:b w:val="false"/>
                      <w:b w:val="false"/>
                      <w:sz w:val="20"/>
                      <w:szCs w:val="20"/>
                    </w:rPr>
                  </w:pPr>
                  <w:r>
                    <w:rPr>
                      <w:b w:val="false"/>
                      <w:sz w:val="20"/>
                      <w:szCs w:val="20"/>
                    </w:rPr>
                    <w:t>Todd Dahl</w:t>
                  </w:r>
                </w:p>
                <w:p>
                  <w:pPr>
                    <w:pStyle w:val="CHeadTop"/>
                    <w:numPr>
                      <w:ilvl w:val="0"/>
                      <w:numId w:val="4"/>
                    </w:numPr>
                    <w:spacing w:before="0" w:after="40"/>
                    <w:ind w:left="714" w:hanging="357"/>
                    <w:rPr>
                      <w:b w:val="false"/>
                      <w:b w:val="false"/>
                      <w:sz w:val="20"/>
                      <w:szCs w:val="20"/>
                    </w:rPr>
                  </w:pPr>
                  <w:r>
                    <w:rPr>
                      <w:b w:val="false"/>
                      <w:sz w:val="20"/>
                      <w:szCs w:val="20"/>
                    </w:rPr>
                    <w:t>Luis Enriquez</w:t>
                  </w:r>
                </w:p>
                <w:p>
                  <w:pPr>
                    <w:pStyle w:val="CHeadTop"/>
                    <w:numPr>
                      <w:ilvl w:val="0"/>
                      <w:numId w:val="4"/>
                    </w:numPr>
                    <w:spacing w:before="0" w:after="40"/>
                    <w:ind w:left="714" w:hanging="357"/>
                    <w:rPr>
                      <w:b w:val="false"/>
                      <w:b w:val="false"/>
                      <w:sz w:val="20"/>
                      <w:szCs w:val="20"/>
                    </w:rPr>
                  </w:pPr>
                  <w:r>
                    <w:rPr>
                      <w:b w:val="false"/>
                      <w:sz w:val="20"/>
                      <w:szCs w:val="20"/>
                    </w:rPr>
                    <w:t>Ken Ferris</w:t>
                  </w:r>
                </w:p>
                <w:p>
                  <w:pPr>
                    <w:pStyle w:val="CHeadTop"/>
                    <w:numPr>
                      <w:ilvl w:val="0"/>
                      <w:numId w:val="4"/>
                    </w:numPr>
                    <w:spacing w:before="0" w:after="40"/>
                    <w:ind w:left="714" w:hanging="357"/>
                    <w:rPr>
                      <w:b w:val="false"/>
                      <w:b w:val="false"/>
                      <w:sz w:val="20"/>
                      <w:szCs w:val="20"/>
                    </w:rPr>
                  </w:pPr>
                  <w:r>
                    <w:rPr>
                      <w:b w:val="false"/>
                      <w:sz w:val="20"/>
                      <w:szCs w:val="20"/>
                      <w:lang w:val="en-US"/>
                    </w:rPr>
                    <w:t>Darío De Filippis</w:t>
                  </w:r>
                </w:p>
              </w:tc>
              <w:tc>
                <w:tcPr>
                  <w:tcW w:w="2587" w:type="dxa"/>
                  <w:tcBorders>
                    <w:top w:val="nil"/>
                    <w:left w:val="nil"/>
                    <w:bottom w:val="nil"/>
                    <w:right w:val="nil"/>
                  </w:tcBorders>
                </w:tcPr>
                <w:p>
                  <w:pPr>
                    <w:pStyle w:val="CHeadTop"/>
                    <w:numPr>
                      <w:ilvl w:val="0"/>
                      <w:numId w:val="4"/>
                    </w:numPr>
                    <w:spacing w:before="0" w:after="40"/>
                    <w:ind w:left="527" w:hanging="357"/>
                    <w:rPr>
                      <w:b w:val="false"/>
                      <w:b w:val="false"/>
                      <w:sz w:val="20"/>
                      <w:szCs w:val="20"/>
                    </w:rPr>
                  </w:pPr>
                  <w:r>
                    <w:rPr>
                      <w:b w:val="false"/>
                      <w:sz w:val="20"/>
                      <w:szCs w:val="20"/>
                    </w:rPr>
                    <w:t>Sebastien Gioria</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Tobias Gondrom</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Timo Goosen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 xml:space="preserve">Anthony Harrison </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John Herrlin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Jerry Hoff</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Marios Kourtesis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Antonis Manaras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Jim Manico</w:t>
                  </w:r>
                </w:p>
              </w:tc>
              <w:tc>
                <w:tcPr>
                  <w:tcW w:w="2587" w:type="dxa"/>
                  <w:tcBorders>
                    <w:top w:val="nil"/>
                    <w:left w:val="nil"/>
                    <w:bottom w:val="nil"/>
                    <w:right w:val="nil"/>
                  </w:tcBorders>
                </w:tcPr>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Mark Miller</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Cam Morris</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lang w:val="en-US"/>
                    </w:rPr>
                    <w:t>Susana Romaniz</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Ravishankar Sahadevan</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Tao Sauvage</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Stephen de Vries</w:t>
                  </w:r>
                </w:p>
                <w:p>
                  <w:pPr>
                    <w:pStyle w:val="CHeadTop"/>
                    <w:numPr>
                      <w:ilvl w:val="0"/>
                      <w:numId w:val="4"/>
                    </w:numPr>
                    <w:spacing w:before="0" w:after="60"/>
                    <w:ind w:left="494" w:hanging="357"/>
                    <w:rPr>
                      <w:b w:val="false"/>
                      <w:b w:val="false"/>
                      <w:sz w:val="20"/>
                      <w:szCs w:val="20"/>
                    </w:rPr>
                  </w:pPr>
                  <w:r>
                    <w:rPr>
                      <w:b w:val="false"/>
                      <w:sz w:val="20"/>
                      <w:szCs w:val="20"/>
                    </w:rPr>
                    <w:t>Colin Watson</w:t>
                  </w:r>
                </w:p>
              </w:tc>
            </w:tr>
          </w:tbl>
          <w:p>
            <w:pPr>
              <w:pStyle w:val="CHeadTop"/>
              <w:rPr>
                <w:b w:val="false"/>
                <w:b w:val="false"/>
                <w:sz w:val="20"/>
                <w:szCs w:val="20"/>
              </w:rPr>
            </w:pPr>
            <w:r>
              <w:rPr>
                <w:b w:val="false"/>
                <w:sz w:val="20"/>
                <w:szCs w:val="20"/>
              </w:rPr>
            </w:r>
          </w:p>
          <w:p>
            <w:pPr>
              <w:pStyle w:val="CHeadTop"/>
              <w:numPr>
                <w:ilvl w:val="0"/>
                <w:numId w:val="5"/>
              </w:numPr>
              <w:rPr>
                <w:b w:val="false"/>
                <w:b w:val="false"/>
                <w:sz w:val="20"/>
                <w:szCs w:val="20"/>
              </w:rPr>
            </w:pPr>
            <w:r>
              <w:rPr>
                <w:b w:val="false"/>
                <w:sz w:val="20"/>
                <w:szCs w:val="20"/>
              </w:rPr>
              <w:t>•Les employés de l’OWASP travaillant dur, en particulier Kate Hartmann</w:t>
            </w:r>
          </w:p>
          <w:p>
            <w:pPr>
              <w:pStyle w:val="CHeadTop"/>
              <w:numPr>
                <w:ilvl w:val="0"/>
                <w:numId w:val="5"/>
              </w:numPr>
              <w:rPr>
                <w:b w:val="false"/>
                <w:b w:val="false"/>
                <w:sz w:val="20"/>
                <w:szCs w:val="20"/>
              </w:rPr>
            </w:pPr>
            <w:r>
              <w:rPr>
                <w:b w:val="false"/>
                <w:sz w:val="20"/>
                <w:szCs w:val="20"/>
              </w:rPr>
              <w:t>•Les participants aux réunions des branches de l'OWASP Londres, de l'OWASP Manchester, de l'OWASP Pays-Bas et de l'OWASP Écosse, ainsi qu'au London Gamification meetup, qui ont fait des suggestions utiles et posé des questions pertinentes</w:t>
            </w:r>
          </w:p>
          <w:p>
            <w:pPr>
              <w:pStyle w:val="CHeadTop"/>
              <w:numPr>
                <w:ilvl w:val="0"/>
                <w:numId w:val="5"/>
              </w:numPr>
              <w:rPr>
                <w:b w:val="false"/>
                <w:b w:val="false"/>
                <w:sz w:val="20"/>
                <w:szCs w:val="20"/>
              </w:rPr>
            </w:pPr>
            <w:r>
              <w:rPr>
                <w:b w:val="false"/>
                <w:sz w:val="20"/>
                <w:szCs w:val="20"/>
              </w:rPr>
              <w:t>•Blackfoot UK Limited pour le don des fichiers prêt-à-imprimer et des centaines de jeux de cartes imprimées professionnellement pour distribution par la Poste et dans les réunions de branche de l’OWASP</w:t>
            </w:r>
          </w:p>
          <w:p>
            <w:pPr>
              <w:pStyle w:val="CHeadTop"/>
              <w:numPr>
                <w:ilvl w:val="0"/>
                <w:numId w:val="5"/>
              </w:numPr>
              <w:rPr>
                <w:b w:val="false"/>
                <w:b w:val="false"/>
                <w:sz w:val="20"/>
                <w:szCs w:val="20"/>
              </w:rPr>
            </w:pPr>
            <w:r>
              <w:rPr>
                <w:b w:val="false"/>
                <w:sz w:val="20"/>
                <w:szCs w:val="20"/>
              </w:rPr>
              <w:t>•OWASP NYC pour la création d’un design de boîte OWASP et la distribution de packs à AppSec USA 2014.</w:t>
            </w:r>
          </w:p>
          <w:p>
            <w:pPr>
              <w:pStyle w:val="CHeadMiddle"/>
              <w:rPr/>
            </w:pPr>
            <w:r>
              <w:rPr/>
              <w:t>Podcasts et vidéos</w:t>
            </w:r>
          </w:p>
          <w:p>
            <w:pPr>
              <w:pStyle w:val="Normal"/>
              <w:rPr>
                <w:rFonts w:ascii="Garamond" w:hAnsi="Garamond"/>
                <w:sz w:val="20"/>
                <w:szCs w:val="20"/>
              </w:rPr>
            </w:pPr>
            <w:r>
              <w:rPr>
                <w:rFonts w:ascii="Garamond" w:hAnsi="Garamond"/>
                <w:sz w:val="20"/>
                <w:szCs w:val="20"/>
              </w:rPr>
              <w:t>Les ressources suivantes de l’OWASP Cornucopia sont disponibles en ligne:</w:t>
              <w:br/>
            </w:r>
          </w:p>
          <w:p>
            <w:pPr>
              <w:pStyle w:val="CHeadMiddle"/>
              <w:numPr>
                <w:ilvl w:val="0"/>
                <w:numId w:val="6"/>
              </w:numPr>
              <w:spacing w:before="0" w:after="120"/>
              <w:ind w:left="714" w:hanging="357"/>
              <w:rPr>
                <w:b w:val="false"/>
                <w:b w:val="false"/>
                <w:sz w:val="20"/>
                <w:szCs w:val="20"/>
              </w:rPr>
            </w:pPr>
            <w:r>
              <w:rPr>
                <w:b w:val="false"/>
                <w:sz w:val="20"/>
                <w:szCs w:val="20"/>
              </w:rPr>
              <w:t>Vidéo - Using the cards, créée lors du sommet AppSec EU 2015 project, 20 mai 2015</w:t>
              <w:br/>
            </w:r>
            <w:hyperlink r:id="rId16">
              <w:r>
                <w:rPr>
                  <w:rStyle w:val="InternetLink"/>
                  <w:b w:val="false"/>
                  <w:sz w:val="20"/>
                  <w:szCs w:val="20"/>
                </w:rPr>
                <w:t>https://www.youtube.com/watch?v=i5Y0akWj31k</w:t>
              </w:r>
            </w:hyperlink>
          </w:p>
          <w:p>
            <w:pPr>
              <w:pStyle w:val="CHeadMiddle"/>
              <w:numPr>
                <w:ilvl w:val="0"/>
                <w:numId w:val="6"/>
              </w:numPr>
              <w:spacing w:before="0" w:after="120"/>
              <w:ind w:left="714" w:hanging="357"/>
              <w:rPr>
                <w:b w:val="false"/>
                <w:b w:val="false"/>
                <w:sz w:val="20"/>
                <w:szCs w:val="20"/>
              </w:rPr>
            </w:pPr>
            <w:r>
              <w:rPr>
                <w:b w:val="false"/>
                <w:sz w:val="20"/>
                <w:szCs w:val="20"/>
              </w:rPr>
              <w:t>Interview Podcast, OWASP 24/7 Podcast channel, 21 mars 2014</w:t>
              <w:br/>
            </w:r>
            <w:hyperlink r:id="rId17">
              <w:r>
                <w:rPr>
                  <w:rStyle w:val="InternetLink"/>
                  <w:b w:val="false"/>
                  <w:sz w:val="20"/>
                  <w:szCs w:val="20"/>
                </w:rPr>
                <w:t>http://trustedsoftwarealliance.com/2014/03/21/the-owasp-cornucopia-project-with-colin-watson/</w:t>
              </w:r>
            </w:hyperlink>
          </w:p>
          <w:p>
            <w:pPr>
              <w:pStyle w:val="CHeadMiddle"/>
              <w:numPr>
                <w:ilvl w:val="0"/>
                <w:numId w:val="6"/>
              </w:numPr>
              <w:spacing w:before="0" w:after="120"/>
              <w:ind w:left="714" w:hanging="357"/>
              <w:rPr>
                <w:b w:val="false"/>
                <w:b w:val="false"/>
                <w:sz w:val="20"/>
                <w:szCs w:val="20"/>
              </w:rPr>
            </w:pPr>
            <w:r>
              <w:rPr>
                <w:b w:val="false"/>
                <w:sz w:val="20"/>
                <w:szCs w:val="20"/>
              </w:rPr>
              <w:t>Vidéo de présentation, lors de l’OWASP EU Tour 2013 London, 3 juin 2013</w:t>
              <w:br/>
            </w:r>
            <w:hyperlink r:id="rId18">
              <w:r>
                <w:rPr>
                  <w:rStyle w:val="InternetLink"/>
                  <w:b w:val="false"/>
                  <w:sz w:val="20"/>
                  <w:szCs w:val="20"/>
                </w:rPr>
                <w:t>https://www.youtube.com/watch?v=Q_LE-8xNXVk</w:t>
              </w:r>
            </w:hyperlink>
          </w:p>
          <w:p>
            <w:pPr>
              <w:pStyle w:val="CHeadMiddle"/>
              <w:spacing w:before="0" w:after="120"/>
              <w:rPr>
                <w:b w:val="false"/>
                <w:b w:val="false"/>
                <w:sz w:val="20"/>
                <w:szCs w:val="20"/>
              </w:rPr>
            </w:pPr>
            <w:r>
              <w:rPr>
                <w:b w:val="false"/>
                <w:sz w:val="20"/>
                <w:szCs w:val="20"/>
              </w:rPr>
              <w:t>Visitez le site web du projet pour de plus amples informations et des documents de présentation.</w:t>
            </w:r>
          </w:p>
        </w:tc>
        <w:tc>
          <w:tcPr>
            <w:tcW w:w="7376"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8500" cy="66198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9"/>
                          <a:stretch>
                            <a:fillRect/>
                          </a:stretch>
                        </pic:blipFill>
                        <pic:spPr bwMode="auto">
                          <a:xfrm>
                            <a:off x="0" y="0"/>
                            <a:ext cx="4508500" cy="6619875"/>
                          </a:xfrm>
                          <a:prstGeom prst="rect">
                            <a:avLst/>
                          </a:prstGeom>
                        </pic:spPr>
                      </pic:pic>
                    </a:graphicData>
                  </a:graphic>
                </wp:inline>
              </w:drawing>
            </w:r>
          </w:p>
        </w:tc>
      </w:tr>
    </w:tbl>
    <w:p>
      <w:pPr>
        <w:pStyle w:val="Normal"/>
        <w:rPr>
          <w:rFonts w:ascii="Garamond" w:hAnsi="Garamond"/>
          <w:sz w:val="20"/>
          <w:szCs w:val="20"/>
        </w:rPr>
      </w:pPr>
      <w:r>
        <w:rPr/>
      </w:r>
    </w:p>
    <w:sectPr>
      <w:headerReference w:type="default" r:id="rId20"/>
      <w:type w:val="nextPage"/>
      <w:pgSz w:orient="landscape" w:w="16838" w:h="11906"/>
      <w:pgMar w:left="851" w:right="851" w:header="227" w:top="567" w:footer="0" w:bottom="28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 w:name="Garamond">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5352"/>
      <w:gridCol w:w="2693"/>
      <w:gridCol w:w="7309"/>
    </w:tblGrid>
    <w:tr>
      <w:trPr/>
      <w:tc>
        <w:tcPr>
          <w:tcW w:w="5352" w:type="dxa"/>
          <w:tcBorders>
            <w:top w:val="nil"/>
            <w:left w:val="nil"/>
            <w:bottom w:val="nil"/>
            <w:right w:val="nil"/>
          </w:tcBorders>
        </w:tcPr>
        <w:p>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sz w:val="16"/>
              <w:szCs w:val="16"/>
              <w:rFonts w:ascii="Garamond" w:hAnsi="Garamond"/>
              <w:color w:val="BFBFBF"/>
            </w:rPr>
            <w:instrText> TITLE </w:instrText>
          </w:r>
          <w:r>
            <w:rPr>
              <w:sz w:val="16"/>
              <w:szCs w:val="16"/>
              <w:rFonts w:ascii="Garamond" w:hAnsi="Garamond"/>
              <w:color w:val="BFBFBF"/>
            </w:rPr>
            <w:fldChar w:fldCharType="separate"/>
          </w:r>
          <w:r>
            <w:rPr>
              <w:sz w:val="16"/>
              <w:szCs w:val="16"/>
              <w:rFonts w:ascii="Garamond" w:hAnsi="Garamond"/>
              <w:color w:val="BFBFBF"/>
            </w:rPr>
            <w:t>OWASP Cornucopia Ecommerce Website Edition</w:t>
          </w:r>
          <w:r>
            <w:rPr>
              <w:sz w:val="16"/>
              <w:szCs w:val="16"/>
              <w:rFonts w:ascii="Garamond" w:hAnsi="Garamond"/>
              <w:color w:val="BFBFBF"/>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sz w:val="16"/>
              <w:szCs w:val="16"/>
              <w:rFonts w:ascii="Garamond" w:hAnsi="Garamond"/>
              <w:color w:val="BFBFBF"/>
            </w:rPr>
            <w:instrText> SUBJECT </w:instrText>
          </w:r>
          <w:r>
            <w:rPr>
              <w:sz w:val="16"/>
              <w:szCs w:val="16"/>
              <w:rFonts w:ascii="Garamond" w:hAnsi="Garamond"/>
              <w:color w:val="BFBFBF"/>
            </w:rPr>
            <w:fldChar w:fldCharType="separate"/>
          </w:r>
          <w:r>
            <w:rPr>
              <w:sz w:val="16"/>
              <w:szCs w:val="16"/>
              <w:rFonts w:ascii="Garamond" w:hAnsi="Garamond"/>
              <w:color w:val="BFBFBF"/>
            </w:rPr>
            <w:t>v1.20-EN</w:t>
          </w:r>
          <w:r>
            <w:rPr>
              <w:sz w:val="16"/>
              <w:szCs w:val="16"/>
              <w:rFonts w:ascii="Garamond" w:hAnsi="Garamond"/>
              <w:color w:val="BFBFBF"/>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sz w:val="16"/>
              <w:szCs w:val="16"/>
              <w:rFonts w:ascii="Garamond" w:hAnsi="Garamond"/>
              <w:color w:val="BFBFBF"/>
            </w:rPr>
            <w:instrText> PAGE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sz w:val="16"/>
              <w:szCs w:val="16"/>
              <w:rFonts w:ascii="Garamond" w:hAnsi="Garamond"/>
              <w:color w:val="BFBFBF"/>
            </w:rPr>
            <w:instrText> NUMPAGES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p>
      </w:tc>
      <w:tc>
        <w:tcPr>
          <w:tcW w:w="2693" w:type="dxa"/>
          <w:tcBorders>
            <w:top w:val="nil"/>
            <w:left w:val="nil"/>
            <w:bottom w:val="nil"/>
            <w:right w:val="nil"/>
          </w:tcBorders>
        </w:tcPr>
        <w:p>
          <w:pPr>
            <w:pStyle w:val="Header"/>
            <w:jc w:val="center"/>
            <w:rPr>
              <w:rFonts w:ascii="Garamond" w:hAnsi="Garamond"/>
              <w:sz w:val="16"/>
              <w:szCs w:val="16"/>
            </w:rPr>
          </w:pPr>
          <w:r>
            <w:rPr>
              <w:rFonts w:ascii="Garamond" w:hAnsi="Garamond"/>
              <w:sz w:val="16"/>
              <w:szCs w:val="16"/>
            </w:rPr>
          </w:r>
        </w:p>
      </w:tc>
      <w:tc>
        <w:tcPr>
          <w:tcW w:w="7309" w:type="dxa"/>
          <w:tcBorders>
            <w:top w:val="nil"/>
            <w:left w:val="nil"/>
            <w:bottom w:val="nil"/>
            <w:right w:val="nil"/>
          </w:tcBorders>
        </w:tcPr>
        <w:p>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pPr>
      <w:pStyle w:val="Header"/>
      <w:rPr>
        <w:rFonts w:ascii="Garamond" w:hAnsi="Garamond"/>
        <w:sz w:val="16"/>
        <w:szCs w:val="16"/>
      </w:rPr>
    </w:pPr>
    <w:r>
      <w:rPr>
        <w:rFonts w:ascii="Garamond" w:hAnsi="Garamond"/>
        <w:sz w:val="16"/>
        <w:szCs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42d9"/>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76fdb"/>
    <w:rPr/>
  </w:style>
  <w:style w:type="character" w:styleId="FooterChar" w:customStyle="1">
    <w:name w:val="Footer Char"/>
    <w:basedOn w:val="DefaultParagraphFont"/>
    <w:link w:val="Footer"/>
    <w:uiPriority w:val="99"/>
    <w:qFormat/>
    <w:rsid w:val="00f76fdb"/>
    <w:rPr/>
  </w:style>
  <w:style w:type="character" w:styleId="BalloonTextChar" w:customStyle="1">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InternetLink">
    <w:name w:val="Hyperlink"/>
    <w:basedOn w:val="DefaultParagraphFont"/>
    <w:uiPriority w:val="99"/>
    <w:unhideWhenUsed/>
    <w:rsid w:val="00346594"/>
    <w:rPr>
      <w:color w:val="0000FF" w:themeColor="hyperlink"/>
      <w:u w:val="single"/>
    </w:rPr>
  </w:style>
  <w:style w:type="character" w:styleId="VisitedInternet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76fdb"/>
    <w:pPr>
      <w:tabs>
        <w:tab w:val="clear" w:pos="720"/>
        <w:tab w:val="center" w:pos="4320" w:leader="none"/>
        <w:tab w:val="right" w:pos="8640" w:leader="none"/>
      </w:tabs>
    </w:pPr>
    <w:rPr/>
  </w:style>
  <w:style w:type="paragraph" w:styleId="Footer">
    <w:name w:val="Footer"/>
    <w:basedOn w:val="Normal"/>
    <w:link w:val="FooterChar"/>
    <w:uiPriority w:val="99"/>
    <w:unhideWhenUsed/>
    <w:rsid w:val="00f76fdb"/>
    <w:pPr>
      <w:tabs>
        <w:tab w:val="clear" w:pos="720"/>
        <w:tab w:val="center" w:pos="4320" w:leader="none"/>
        <w:tab w:val="right" w:pos="8640" w:leader="none"/>
      </w:tabs>
    </w:pPr>
    <w:rPr/>
  </w:style>
  <w:style w:type="paragraph" w:styleId="ListParagraph">
    <w:name w:val="List Paragraph"/>
    <w:basedOn w:val="Normal"/>
    <w:uiPriority w:val="34"/>
    <w:qFormat/>
    <w:rsid w:val="009c6edd"/>
    <w:pPr>
      <w:spacing w:before="0" w:after="0"/>
      <w:ind w:left="720" w:hanging="0"/>
      <w:contextualSpacing/>
    </w:pPr>
    <w:rPr/>
  </w:style>
  <w:style w:type="paragraph" w:styleId="BalloonText">
    <w:name w:val="Balloon Text"/>
    <w:basedOn w:val="Normal"/>
    <w:link w:val="BalloonTextChar"/>
    <w:uiPriority w:val="99"/>
    <w:semiHidden/>
    <w:unhideWhenUsed/>
    <w:qFormat/>
    <w:rsid w:val="00777036"/>
    <w:pPr/>
    <w:rPr>
      <w:rFonts w:ascii="Lucida Grande" w:hAnsi="Lucida Grande" w:cs="Lucida Grande"/>
      <w:sz w:val="18"/>
      <w:szCs w:val="18"/>
    </w:rPr>
  </w:style>
  <w:style w:type="paragraph" w:styleId="CHeadTop" w:customStyle="1">
    <w:name w:val="C-Head-Top"/>
    <w:basedOn w:val="Normal"/>
    <w:qFormat/>
    <w:rsid w:val="006a59cd"/>
    <w:pPr>
      <w:spacing w:before="0" w:after="60"/>
    </w:pPr>
    <w:rPr>
      <w:rFonts w:ascii="Garamond" w:hAnsi="Garamond"/>
      <w:b/>
      <w:sz w:val="22"/>
      <w:szCs w:val="22"/>
    </w:rPr>
  </w:style>
  <w:style w:type="paragraph" w:styleId="CHeadMiddle" w:customStyle="1">
    <w:name w:val="C-Head-Middle"/>
    <w:basedOn w:val="CHeadTop"/>
    <w:qFormat/>
    <w:rsid w:val="00505c26"/>
    <w:pPr>
      <w:spacing w:before="240" w:after="60"/>
    </w:pPr>
    <w:rPr/>
  </w:style>
  <w:style w:type="paragraph" w:styleId="Revision">
    <w:name w:val="Revision"/>
    <w:uiPriority w:val="99"/>
    <w:semiHidden/>
    <w:qFormat/>
    <w:rsid w:val="00d6005f"/>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90c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hyperlink" Target="https://lists.owasp.org/mailman/listinfo/owasp_cornucopia" TargetMode="External"/><Relationship Id="rId5" Type="http://schemas.openxmlformats.org/officeDocument/2006/relationships/hyperlink" Target="https://www.owasp.org/index.php/OWASP_Cornucopia" TargetMode="External"/><Relationship Id="rId6" Type="http://schemas.openxmlformats.org/officeDocument/2006/relationships/hyperlink" Target="https://wiki.owasp.org/index.php/Cornucopia_-_Ecommerce_Website_Edition_-_Wiki_Deck" TargetMode="External"/><Relationship Id="rId7" Type="http://schemas.openxmlformats.org/officeDocument/2006/relationships/hyperlink" Target="https://www.owasp.org/index.php/File:OWASP_SCP_Quick_Reference_Guide_v2.pdf" TargetMode="External"/><Relationship Id="rId8" Type="http://schemas.openxmlformats.org/officeDocument/2006/relationships/hyperlink" Target="https://www.owasp.org/images/3/33/OWASP_Application_Security_Verification_Standard_3.0.1.pdf" TargetMode="External"/><Relationship Id="rId9" Type="http://schemas.openxmlformats.org/officeDocument/2006/relationships/hyperlink" Target="https://www.owasp.org/index.php/AppSensor_DetectionPoints" TargetMode="External"/><Relationship Id="rId10" Type="http://schemas.openxmlformats.org/officeDocument/2006/relationships/hyperlink" Target="http://capec.mitre.org/data/archive/capec_v2.8.zip"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s://youtu.be/i5Y0akWj31k" TargetMode="External"/><Relationship Id="rId13" Type="http://schemas.openxmlformats.org/officeDocument/2006/relationships/hyperlink" Target="https://www.owasp.org/index.php/File:Cornucopia-scoresheet.pdf" TargetMode="External"/><Relationship Id="rId14" Type="http://schemas.openxmlformats.org/officeDocument/2006/relationships/hyperlink" Target="https://www.owasp.org/index.php/Cornucopia_-_Ecommerce_Website_Edition_-_Wiki_Deck" TargetMode="External"/><Relationship Id="rId15" Type="http://schemas.openxmlformats.org/officeDocument/2006/relationships/image" Target="media/image3.png"/><Relationship Id="rId16" Type="http://schemas.openxmlformats.org/officeDocument/2006/relationships/hyperlink" Target="https://www.youtube.com/watch?v=i5Y0akWj31k" TargetMode="External"/><Relationship Id="rId17" Type="http://schemas.openxmlformats.org/officeDocument/2006/relationships/hyperlink" Target="http://trustedsoftwarealliance.com/2014/03/21/the-owasp-cornucopia-project-with-colin-watson/" TargetMode="External"/><Relationship Id="rId18" Type="http://schemas.openxmlformats.org/officeDocument/2006/relationships/hyperlink" Target="https://www.youtube.com/watch?v=Q_LE-8xNXVk" TargetMode="External"/><Relationship Id="rId19" Type="http://schemas.openxmlformats.org/officeDocument/2006/relationships/image" Target="media/image4.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1186</TotalTime>
  <Application>LibreOffice/6.4.7.2$Linux_X86_64 LibreOffice_project/40$Build-2</Application>
  <Pages>25</Pages>
  <Words>2110</Words>
  <Characters>22189</Characters>
  <CharactersWithSpaces>24054</CharactersWithSpaces>
  <Paragraphs>1291</Paragraphs>
  <Company>OWASP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2016-06-29T14:34:00Z</dcterms:created>
  <dc:creator>Colin Watson</dc:creator>
  <dc:description>This document is licensed under the Creative Commons Attribution-ShareAlike 3.0 license</dc:description>
  <cp:keywords>ecommerce website security requirements threats attacks</cp:keywords>
  <dc:language>en-GB</dc:language>
  <cp:lastModifiedBy/>
  <cp:lastPrinted>2015-03-31T16:57:00Z</cp:lastPrinted>
  <dcterms:modified xsi:type="dcterms:W3CDTF">2022-07-29T12:50:01Z</dcterms:modified>
  <cp:revision>110</cp:revision>
  <dc:subject>v1.20-EN</dc:subject>
  <dc:title>OWASP Cornucopia Ecommerce Website Edition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