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Édition de Ecommerce v1.30-FR</w:t>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Chefs de Projet </w:t>
            </w:r>
          </w:p>
          <w:p w14:paraId="68EA998F" w14:textId="77777777" w:rsidR="00C05C16" w:rsidRDefault="00000000">
            <w:pPr>
              <w:spacing w:after="120"/>
              <w:jc w:val="center"/>
              <w:rPr>
                <w:rFonts w:ascii="Garamond" w:hAnsi="Garamond"/>
                <w:sz w:val="20"/>
                <w:szCs w:val="20"/>
              </w:rPr>
            </w:pPr>
            <w:r>
              <w:rPr>
                <w:rFonts w:ascii="Garamond" w:hAnsi="Garamond"/>
                <w:sz w:val="20"/>
                <w:szCs w:val="20"/>
              </w:rPr>
              <w:t>Colin Watson and Grant Ongers</w:t>
            </w:r>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Remerciements</w:t>
            </w:r>
          </w:p>
          <w:p w14:paraId="46F45D72" w14:textId="77777777" w:rsidR="00C05C16" w:rsidRDefault="00000000">
            <w:pPr>
              <w:rPr>
                <w:rFonts w:ascii="Garamond" w:hAnsi="Garamond"/>
                <w:sz w:val="18"/>
                <w:szCs w:val="18"/>
              </w:rPr>
            </w:pPr>
            <w:r>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Oana Cornea et d’autres participants du sommet AppSec EU 2015 project, pour leur aide à la création d’une démo vidéo. Colin Watson en tant qu’auteur et chef de projet avec Grant Ongers, avec d’autres volontaires OWASP qui ont aidé en bien des manières.</w:t>
            </w:r>
          </w:p>
          <w:p w14:paraId="20DD08D2" w14:textId="77777777" w:rsidR="00C05C16" w:rsidRDefault="00C05C16">
            <w:pPr>
              <w:rPr>
                <w:rFonts w:ascii="Garamond" w:hAnsi="Garamond"/>
                <w:sz w:val="18"/>
                <w:szCs w:val="18"/>
              </w:rPr>
            </w:pPr>
          </w:p>
          <w:p w14:paraId="5AA82ED0" w14:textId="77777777" w:rsidR="00C05C16" w:rsidRDefault="00000000">
            <w:pPr>
              <w:jc w:val="center"/>
              <w:rPr>
                <w:rFonts w:ascii="Garamond" w:hAnsi="Garamond"/>
                <w:sz w:val="18"/>
                <w:szCs w:val="18"/>
              </w:rPr>
            </w:pPr>
            <w:r>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0118C931" w14:textId="77777777" w:rsidR="00C05C16" w:rsidRDefault="00C05C16">
            <w:pPr>
              <w:jc w:val="center"/>
              <w:rPr>
                <w:rFonts w:ascii="Garamond" w:hAnsi="Garamond"/>
                <w:sz w:val="20"/>
                <w:szCs w:val="20"/>
              </w:rPr>
            </w:pPr>
          </w:p>
          <w:p w14:paraId="2EEB184C" w14:textId="77777777" w:rsidR="00C05C16"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Default="00000000">
            <w:pPr>
              <w:pStyle w:val="C-Head-Top"/>
            </w:pPr>
            <w:r>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basé sur les concepts et les idées de jeu d’EoP, mais ceux-ci ont été modifiés pour être plus en accord avec les types de problèmes que les développeurs de sites web d’e-commerce rencontrent. 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448C0393" w14:textId="77777777" w:rsidR="00C05C16" w:rsidRDefault="00000000">
            <w:pPr>
              <w:pStyle w:val="C-Head-Middle"/>
            </w:pPr>
            <w:r>
              <w:t>Le jeu de cartes (paquet)</w:t>
            </w:r>
          </w:p>
          <w:p w14:paraId="4A7203EE" w14:textId="77777777" w:rsidR="00C05C16" w:rsidRDefault="00000000">
            <w:pPr>
              <w:spacing w:after="120"/>
              <w:rPr>
                <w:rFonts w:ascii="Garamond" w:hAnsi="Garamond"/>
                <w:sz w:val="20"/>
                <w:szCs w:val="20"/>
              </w:rPr>
            </w:pPr>
            <w:r>
              <w:rPr>
                <w:rFonts w:ascii="Garamond" w:hAnsi="Garamond"/>
                <w:sz w:val="18"/>
                <w:szCs w:val="18"/>
              </w:rPr>
              <w:t>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w:t>
            </w:r>
            <w:r>
              <w:rPr>
                <w:rFonts w:ascii="Garamond" w:hAnsi="Garamond"/>
                <w:sz w:val="20"/>
                <w:szCs w:val="20"/>
              </w:rPr>
              <w:t xml:space="preserve"> Ceux-ci ont permis de constituer cinq couleurs, et une sixième, appelée « Cornucopia » a été créée pour tout le reste :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Validation des données et encodage (VE -EN)</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Authentification (AT -EN)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Gestion des sessions (SM -EN)</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Habilitation (AZ -EN)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Cryptographie (CR -EN)</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 -EN)</w:t>
            </w:r>
          </w:p>
          <w:p w14:paraId="6B720C7E" w14:textId="77777777" w:rsidR="00C05C16" w:rsidRDefault="00000000">
            <w:pPr>
              <w:spacing w:after="120"/>
              <w:rPr>
                <w:rFonts w:ascii="Garamond" w:hAnsi="Garamond"/>
                <w:sz w:val="20"/>
                <w:szCs w:val="20"/>
              </w:rPr>
            </w:pPr>
            <w:r>
              <w:rPr>
                <w:rFonts w:ascii="Garamond" w:hAnsi="Garamond"/>
                <w:sz w:val="20"/>
                <w:szCs w:val="20"/>
              </w:rPr>
              <w:t>Comme au jeu de cartes de poker, chaque couleur comprend 13 cartes (As, 2-10, Valet, Dame et Roi) mais, contrairement à EoP, il y a aussi 2 cartes Joker.  Le contenu provient surtout du SCP.</w:t>
            </w:r>
          </w:p>
          <w:p w14:paraId="11563BE2" w14:textId="77777777" w:rsidR="00C05C16" w:rsidRDefault="00000000">
            <w:pPr>
              <w:pStyle w:val="C-Head-Middle"/>
            </w:pPr>
            <w:r>
              <w:t>Correspondances</w:t>
            </w:r>
          </w:p>
          <w:p w14:paraId="3443F530" w14:textId="77777777" w:rsidR="00C05C16" w:rsidRDefault="00000000">
            <w:pPr>
              <w:spacing w:after="120"/>
              <w:rPr>
                <w:rFonts w:ascii="Garamond" w:hAnsi="Garamond"/>
                <w:sz w:val="20"/>
                <w:szCs w:val="20"/>
              </w:rPr>
            </w:pPr>
            <w:r>
              <w:rPr>
                <w:rFonts w:ascii="Garamond" w:hAnsi="Garamond"/>
                <w:sz w:val="20"/>
                <w:szCs w:val="20"/>
              </w:rPr>
              <w:t>L’autre moteur de Cornucopia est de lier les attaques aux exigences et aux techniques de vérification.  Le but initial était de référencer les identifiants des faiblesses CWE, mais celles-ci étant trop nombreuses, il a été décidé de relier chaque carte à une attaque référencée dans CAPEC, elle-même reliée aux CWE, pour que le but recherché soit atteint.  Chaque carte est également liée aux 36 scénarii de sécurité du document SAFECode, de même à l’OWASP SCP v2, ASVS v4.0 et AppSensor (application attack detection and response) pour aider les équipes à créer leurs propres scenarii de sécurité pour utilisation dans les processus Agile.</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6C4365B2" w14:textId="77777777" w:rsidR="00C05C16" w:rsidRDefault="00000000">
            <w:pPr>
              <w:pStyle w:val="C-Head-Top"/>
            </w:pPr>
            <w:r>
              <w:t>Stratégie de jeu</w:t>
            </w:r>
          </w:p>
          <w:p w14:paraId="70A13FAB" w14:textId="77777777" w:rsidR="00C05C16" w:rsidRDefault="00000000">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75147370" w14:textId="77777777" w:rsidR="00C05C16" w:rsidRDefault="00000000">
            <w:pPr>
              <w:pStyle w:val="C-Head-Middle"/>
            </w:pPr>
            <w:r>
              <w:t>Imprimer les cartes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La page du projet Cornucopia indique comment obtenir des jeux de cartes brillantes pré-imprimées. </w:t>
            </w:r>
          </w:p>
          <w:p w14:paraId="2F841F2B" w14:textId="77777777" w:rsidR="00C05C16" w:rsidRDefault="00000000">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Les cartes des pages suivantes de ce document ont été mises en page pour sortir sur un modèle de page A4 de cartes business.  Ceci semblait être le moyen le plus rapide de créer des cartes à jouer. Les codes produit Avery C32015 &amp; C32030 ont été testés avec succès, mais toute page A4 à 10 cartes 85mm x 54 mm devrait convenir avec un peu d’ajustement.  Ces modèles de cartes étant plutôt chères, un soin particulier devra être apporté dans la décision du choix du format et de l’imprimante. Les cartes peuvent bien entendu être imprimées sur tout format de papier ou carton, puis coupées manuellement, ou une imprimante professionnelle sera capable d’imprimer de plus grandes quantités et de couper les cartes à la bonne taille. </w:t>
            </w:r>
          </w:p>
          <w:p w14:paraId="7AAC82FE" w14:textId="77777777" w:rsidR="00C05C16" w:rsidRDefault="00000000">
            <w:pPr>
              <w:spacing w:after="120"/>
              <w:rPr>
                <w:rFonts w:ascii="Garamond" w:hAnsi="Garamond"/>
                <w:sz w:val="20"/>
                <w:szCs w:val="20"/>
              </w:rPr>
            </w:pPr>
            <w:r>
              <w:rPr>
                <w:rFonts w:ascii="Garamond" w:hAnsi="Garamond"/>
                <w:sz w:val="20"/>
                <w:szCs w:val="20"/>
              </w:rPr>
              <w:t>Les lignes de coupe sont indiquées à l’avant-dernière page de ce document, mais Avery fournit également un modèle A4 en paysage (A-0017-01_L.doc) qui peut être utilise comme guide.  L’impression et la découpe peuvent prendre environ une heure, une imprimante rapide est conseillée.</w:t>
            </w:r>
          </w:p>
          <w:p w14:paraId="472A4A53" w14:textId="77777777" w:rsidR="00C05C16" w:rsidRDefault="00000000">
            <w:pPr>
              <w:spacing w:after="120"/>
              <w:rPr>
                <w:rFonts w:ascii="Garamond" w:hAnsi="Garamond"/>
                <w:sz w:val="20"/>
                <w:szCs w:val="20"/>
              </w:rPr>
            </w:pPr>
            <w:r>
              <w:rPr>
                <w:rFonts w:ascii="Garamond" w:hAnsi="Garamond"/>
                <w:sz w:val="20"/>
                <w:szCs w:val="20"/>
              </w:rPr>
              <w:t>Privilégiez une haute qualité d’impression pour gagner en lisibilité. Un style optionnel de dos de carte (tartan OWASP) est fourni dans la dernière page de ce document. Il n’y a pas d’alignement spécial à prendre en compte. L’impression recto-verso doit être faite avec soin. Vous pouvez personnaliser les rectos ou les versos pour coller aux préférences de votre organisation. Vous pouvez personnaliser les faces ou le dos des cartes selon les préférences de votre propre organisation.</w:t>
            </w:r>
          </w:p>
          <w:p w14:paraId="3C723C54" w14:textId="77777777" w:rsidR="00C05C16" w:rsidRDefault="00000000">
            <w:pPr>
              <w:pStyle w:val="C-Head-Middle"/>
            </w:pPr>
            <w:r>
              <w:t>Personnalisation</w:t>
            </w:r>
          </w:p>
          <w:p w14:paraId="058124C2" w14:textId="77777777" w:rsidR="00C05C16" w:rsidRDefault="00000000">
            <w:pPr>
              <w:spacing w:after="120"/>
              <w:rPr>
                <w:rFonts w:ascii="Garamond" w:hAnsi="Garamond"/>
                <w:sz w:val="20"/>
                <w:szCs w:val="20"/>
              </w:rPr>
            </w:pPr>
            <w:r>
              <w:rPr>
                <w:rFonts w:ascii="Garamond" w:hAnsi="Garamond"/>
                <w:sz w:val="20"/>
                <w:szCs w:val="20"/>
              </w:rPr>
              <w:t>Après avoir joué quelques parties de Cornucopia, vous pourriez penser que certaines cartes sont moins pertinentes pour vos applications, ou que les menaces sont différentes pour votre organisation.  Editez vous-même ce document pour ajuster le contenu des cartes à vos équipes, ou créez de nouveaux jeux entiers.</w:t>
            </w:r>
          </w:p>
          <w:p w14:paraId="466BC978" w14:textId="77777777" w:rsidR="00C05C16" w:rsidRDefault="00000000">
            <w:pPr>
              <w:pStyle w:val="C-Head-Middle"/>
            </w:pPr>
            <w:r>
              <w:t>Faites un retour</w:t>
            </w:r>
          </w:p>
          <w:p w14:paraId="301CD3C4" w14:textId="77777777" w:rsidR="00C05C16" w:rsidRDefault="00000000">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Mieux encore, si vous créez de nouvelles versions des cartes, ou des versions professionnelles imprimables, merci de les partager avec les volontaires qui ont créé cette édition, ainsi que la communauté de la sécurité et du développement d’applications. </w:t>
            </w:r>
          </w:p>
          <w:p w14:paraId="5CF4D181" w14:textId="77777777" w:rsidR="00C05C16" w:rsidRDefault="00000000">
            <w:pPr>
              <w:spacing w:after="120"/>
              <w:rPr>
                <w:rFonts w:ascii="Garamond" w:hAnsi="Garamond"/>
                <w:sz w:val="20"/>
                <w:szCs w:val="20"/>
              </w:rPr>
            </w:pPr>
            <w:r>
              <w:rPr>
                <w:rFonts w:ascii="Garamond" w:hAnsi="Garamond"/>
                <w:sz w:val="20"/>
                <w:szCs w:val="20"/>
              </w:rPr>
              <w:t>Le meilleur moyen de contribution et de discussion est la liste de diffusion du projet OWASP :</w:t>
            </w:r>
          </w:p>
          <w:p w14:paraId="371630C2"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 Liste de diffusion</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95955B8" w14:textId="77777777" w:rsidR="00C05C16" w:rsidRDefault="00000000">
            <w:pPr>
              <w:pStyle w:val="ListParagraph"/>
              <w:numPr>
                <w:ilvl w:val="0"/>
                <w:numId w:val="1"/>
              </w:numPr>
              <w:spacing w:after="120"/>
              <w:rPr>
                <w:rFonts w:ascii="Garamond" w:hAnsi="Garamond"/>
                <w:sz w:val="20"/>
                <w:szCs w:val="20"/>
              </w:rPr>
            </w:pPr>
            <w:r>
              <w:rPr>
                <w:rFonts w:ascii="Garamond" w:hAnsi="Garamond"/>
                <w:sz w:val="20"/>
                <w:szCs w:val="20"/>
              </w:rPr>
              <w:t>• Page d’accueil du projet</w:t>
            </w:r>
            <w:r>
              <w:rPr>
                <w:rFonts w:ascii="Garamond" w:hAnsi="Garamond"/>
                <w:sz w:val="20"/>
                <w:szCs w:val="20"/>
              </w:rPr>
              <w:br/>
            </w:r>
            <w:hyperlink r:id="rId10">
              <w:r>
                <w:rPr>
                  <w:rStyle w:val="Hyperlink"/>
                  <w:rFonts w:ascii="Garamond" w:hAnsi="Garamond"/>
                  <w:sz w:val="20"/>
                  <w:szCs w:val="20"/>
                </w:rPr>
                <w:t>https://www.owasp.org/index.php/OWASP_Cornucopia</w:t>
              </w:r>
            </w:hyperlink>
          </w:p>
          <w:p w14:paraId="233A6C7B" w14:textId="77777777" w:rsidR="00C05C16" w:rsidRDefault="00000000">
            <w:pPr>
              <w:spacing w:after="120"/>
              <w:rPr>
                <w:rFonts w:ascii="Garamond" w:hAnsi="Garamond"/>
                <w:sz w:val="20"/>
                <w:szCs w:val="20"/>
              </w:rPr>
            </w:pPr>
            <w:r>
              <w:rPr>
                <w:rFonts w:ascii="Garamond" w:hAnsi="Garamond"/>
                <w:sz w:val="20"/>
                <w:szCs w:val="20"/>
              </w:rPr>
              <w:t>Tous les documents et outils OWASP sont libres de téléchargement et d’utilisation.  OWASP Cornucopia est publié sous une licence Creative Commons Attribution-ShareAlike 3.0 .</w:t>
            </w:r>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37"/>
        <w:gridCol w:w="792"/>
        <w:gridCol w:w="2581"/>
        <w:gridCol w:w="851"/>
        <w:gridCol w:w="2457"/>
        <w:gridCol w:w="123"/>
        <w:gridCol w:w="121"/>
        <w:gridCol w:w="678"/>
        <w:gridCol w:w="2580"/>
        <w:gridCol w:w="803"/>
        <w:gridCol w:w="2580"/>
        <w:gridCol w:w="830"/>
      </w:tblGrid>
      <w:tr w:rsidR="00C05C16" w14:paraId="4EB543F0" w14:textId="77777777">
        <w:tc>
          <w:tcPr>
            <w:tcW w:w="7528" w:type="dxa"/>
            <w:gridSpan w:val="6"/>
            <w:tcBorders>
              <w:top w:val="nil"/>
              <w:left w:val="nil"/>
              <w:bottom w:val="nil"/>
              <w:right w:val="nil"/>
            </w:tcBorders>
          </w:tcPr>
          <w:p w14:paraId="19C33B5C" w14:textId="77777777" w:rsidR="00C05C16" w:rsidRDefault="00000000">
            <w:pPr>
              <w:pStyle w:val="C-Head-Top"/>
              <w:pageBreakBefore/>
            </w:pPr>
            <w:r>
              <w:t>Instructions</w:t>
            </w:r>
          </w:p>
          <w:p w14:paraId="71C8E84C" w14:textId="77777777" w:rsidR="00C05C16" w:rsidRDefault="00000000">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4384AE6F" w14:textId="77777777" w:rsidR="00C05C16" w:rsidRDefault="00000000">
            <w:pPr>
              <w:jc w:val="center"/>
              <w:rPr>
                <w:rFonts w:ascii="Garamond" w:hAnsi="Garamond"/>
                <w:i/>
                <w:sz w:val="20"/>
                <w:szCs w:val="20"/>
              </w:rPr>
            </w:pPr>
            <w:r>
              <w:rPr>
                <w:rFonts w:ascii="Garamond" w:hAnsi="Garamond"/>
                <w:i/>
                <w:sz w:val="20"/>
                <w:szCs w:val="20"/>
              </w:rPr>
              <w:t>William a le contrôle sur la génération des identifiants de session.</w:t>
            </w:r>
          </w:p>
          <w:p w14:paraId="5424B7DB" w14:textId="77777777" w:rsidR="00C05C16" w:rsidRDefault="00000000">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p>
          <w:p w14:paraId="1FAE3D1A" w14:textId="77777777" w:rsidR="00C05C16" w:rsidRDefault="00000000">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7A6AE18A" w14:textId="77777777" w:rsidR="00C05C16" w:rsidRDefault="00000000">
            <w:pPr>
              <w:spacing w:after="120"/>
            </w:pPr>
            <w:hyperlink r:id="rId11">
              <w:r>
                <w:rPr>
                  <w:rStyle w:val="Hyperlink"/>
                  <w:rFonts w:ascii="Garamond" w:hAnsi="Garamond"/>
                  <w:spacing w:val="-7"/>
                  <w:sz w:val="20"/>
                  <w:szCs w:val="20"/>
                </w:rPr>
                <w:t>https://wiki.owasp.org/index.php/Cornucopia_-_Ecommerce_Website_Edition_-_Wiki_Deck</w:t>
              </w:r>
            </w:hyperlink>
          </w:p>
          <w:p w14:paraId="715B55D4" w14:textId="77777777" w:rsidR="00C05C16" w:rsidRDefault="00000000">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57F89908"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Exigences dans “Secure Coding Practices (SCP) - Quick Reference Guide”, v2, OWASP, novembre 2010</w:t>
            </w:r>
            <w:r>
              <w:rPr>
                <w:rFonts w:ascii="Garamond" w:hAnsi="Garamond"/>
                <w:sz w:val="20"/>
                <w:szCs w:val="20"/>
              </w:rPr>
              <w:br/>
            </w:r>
            <w:hyperlink r:id="rId12">
              <w:r>
                <w:rPr>
                  <w:rStyle w:val="Hyperlink"/>
                  <w:rFonts w:ascii="Garamond" w:hAnsi="Garamond"/>
                  <w:spacing w:val="-6"/>
                  <w:sz w:val="20"/>
                  <w:szCs w:val="20"/>
                </w:rPr>
                <w:t>https://www.owasp.org/index.php/File:OWASP_SCP_Quick_Reference_Guide_v2.pdf</w:t>
              </w:r>
            </w:hyperlink>
          </w:p>
          <w:p w14:paraId="77139AD9"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r>
            <w:r>
              <w:rPr>
                <w:rFonts w:ascii="Garamond" w:hAnsi="Garamond"/>
                <w:sz w:val="20"/>
                <w:szCs w:val="20"/>
              </w:rPr>
              <w:br/>
            </w:r>
            <w:hyperlink r:id="rId13">
              <w:r>
                <w:rPr>
                  <w:rStyle w:val="Hyperlink"/>
                  <w:rFonts w:ascii="Garamond" w:hAnsi="Garamond"/>
                  <w:spacing w:val="-14"/>
                  <w:sz w:val="20"/>
                  <w:szCs w:val="20"/>
                </w:rPr>
                <w:t>https</w:t>
              </w:r>
              <w:r>
                <w:rPr>
                  <w:rStyle w:val="Hyperlink"/>
                  <w:rFonts w:ascii="Garamond" w:hAnsi="Garamond"/>
                  <w:spacing w:val="-34"/>
                  <w:sz w:val="20"/>
                  <w:szCs w:val="20"/>
                </w:rPr>
                <w:t>://</w:t>
              </w:r>
              <w:r>
                <w:rPr>
                  <w:rStyle w:val="Hyperlink"/>
                  <w:rFonts w:ascii="Garamond" w:hAnsi="Garamond"/>
                  <w:spacing w:val="-14"/>
                  <w:sz w:val="20"/>
                  <w:szCs w:val="20"/>
                </w:rPr>
                <w:t>www.owasp.org/images</w:t>
              </w:r>
              <w:r>
                <w:rPr>
                  <w:rStyle w:val="Hyperlink"/>
                  <w:rFonts w:ascii="Garamond" w:hAnsi="Garamond"/>
                  <w:spacing w:val="-34"/>
                  <w:sz w:val="20"/>
                  <w:szCs w:val="20"/>
                </w:rPr>
                <w:t>/3/33/</w:t>
              </w:r>
              <w:r>
                <w:rPr>
                  <w:rStyle w:val="Hyperlink"/>
                  <w:rFonts w:ascii="Garamond" w:hAnsi="Garamond"/>
                  <w:spacing w:val="-14"/>
                  <w:sz w:val="20"/>
                  <w:szCs w:val="20"/>
                </w:rPr>
                <w:t>OWASP</w:t>
              </w:r>
              <w:r>
                <w:rPr>
                  <w:rStyle w:val="Hyperlink"/>
                  <w:rFonts w:ascii="Garamond" w:hAnsi="Garamond"/>
                  <w:spacing w:val="-34"/>
                  <w:sz w:val="20"/>
                  <w:szCs w:val="20"/>
                </w:rPr>
                <w:t>_</w:t>
              </w:r>
              <w:r>
                <w:rPr>
                  <w:rStyle w:val="Hyperlink"/>
                  <w:rFonts w:ascii="Garamond" w:hAnsi="Garamond"/>
                  <w:spacing w:val="-14"/>
                  <w:sz w:val="20"/>
                  <w:szCs w:val="20"/>
                </w:rPr>
                <w:t>Application</w:t>
              </w:r>
              <w:r>
                <w:rPr>
                  <w:rStyle w:val="Hyperlink"/>
                  <w:rFonts w:ascii="Garamond" w:hAnsi="Garamond"/>
                  <w:spacing w:val="-34"/>
                  <w:sz w:val="20"/>
                  <w:szCs w:val="20"/>
                </w:rPr>
                <w:t>_</w:t>
              </w:r>
              <w:r>
                <w:rPr>
                  <w:rStyle w:val="Hyperlink"/>
                  <w:rFonts w:ascii="Garamond" w:hAnsi="Garamond"/>
                  <w:spacing w:val="-14"/>
                  <w:sz w:val="20"/>
                  <w:szCs w:val="20"/>
                </w:rPr>
                <w:t>Security</w:t>
              </w:r>
              <w:r>
                <w:rPr>
                  <w:rStyle w:val="Hyperlink"/>
                  <w:rFonts w:ascii="Garamond" w:hAnsi="Garamond"/>
                  <w:spacing w:val="-34"/>
                  <w:sz w:val="20"/>
                  <w:szCs w:val="20"/>
                </w:rPr>
                <w:t>_</w:t>
              </w:r>
              <w:r>
                <w:rPr>
                  <w:rStyle w:val="Hyperlink"/>
                  <w:rFonts w:ascii="Garamond" w:hAnsi="Garamond"/>
                  <w:spacing w:val="-14"/>
                  <w:sz w:val="20"/>
                  <w:szCs w:val="20"/>
                </w:rPr>
                <w:t>Verification</w:t>
              </w:r>
              <w:r>
                <w:rPr>
                  <w:rStyle w:val="Hyperlink"/>
                  <w:rFonts w:ascii="Garamond" w:hAnsi="Garamond"/>
                  <w:spacing w:val="-34"/>
                  <w:sz w:val="20"/>
                  <w:szCs w:val="20"/>
                </w:rPr>
                <w:t>_</w:t>
              </w:r>
              <w:r>
                <w:rPr>
                  <w:rStyle w:val="Hyperlink"/>
                  <w:rFonts w:ascii="Garamond" w:hAnsi="Garamond"/>
                  <w:spacing w:val="-14"/>
                  <w:sz w:val="20"/>
                  <w:szCs w:val="20"/>
                </w:rPr>
                <w:t>Standard</w:t>
              </w:r>
              <w:r>
                <w:rPr>
                  <w:rStyle w:val="Hyperlink"/>
                  <w:rFonts w:ascii="Garamond" w:hAnsi="Garamond"/>
                  <w:spacing w:val="-34"/>
                  <w:sz w:val="20"/>
                  <w:szCs w:val="20"/>
                </w:rPr>
                <w:t>_</w:t>
              </w:r>
              <w:r>
                <w:rPr>
                  <w:rStyle w:val="Hyperlink"/>
                  <w:rFonts w:ascii="Garamond" w:hAnsi="Garamond"/>
                  <w:spacing w:val="-14"/>
                  <w:sz w:val="20"/>
                  <w:szCs w:val="20"/>
                </w:rPr>
                <w:t>3.0.1.pdf</w:t>
              </w:r>
            </w:hyperlink>
          </w:p>
          <w:p w14:paraId="462879F5"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de points de détection d’attaque dans “AppSensor”, OWASP, août 2010-2015</w:t>
            </w:r>
            <w:r>
              <w:rPr>
                <w:rFonts w:ascii="Garamond" w:hAnsi="Garamond"/>
                <w:sz w:val="20"/>
                <w:szCs w:val="20"/>
              </w:rPr>
              <w:br/>
            </w:r>
            <w:hyperlink r:id="rId14">
              <w:r>
                <w:rPr>
                  <w:rStyle w:val="Hyperlink"/>
                  <w:rFonts w:ascii="Garamond" w:hAnsi="Garamond"/>
                  <w:sz w:val="20"/>
                  <w:szCs w:val="20"/>
                </w:rPr>
                <w:t>https://www.owasp.org/index.php/AppSensor_DetectionPoints</w:t>
              </w:r>
            </w:hyperlink>
          </w:p>
          <w:p w14:paraId="19DB810D"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p>
          <w:p w14:paraId="14F2896C" w14:textId="77777777" w:rsidR="00C05C16" w:rsidRDefault="00000000">
            <w:pPr>
              <w:pStyle w:val="ListParagraph"/>
              <w:spacing w:after="120"/>
              <w:rPr>
                <w:rFonts w:ascii="Garamond" w:hAnsi="Garamond"/>
                <w:sz w:val="20"/>
                <w:szCs w:val="20"/>
              </w:rPr>
            </w:pPr>
            <w:hyperlink r:id="rId15">
              <w:r>
                <w:rPr>
                  <w:rStyle w:val="Hyperlink"/>
                  <w:rFonts w:ascii="Garamond" w:hAnsi="Garamond"/>
                  <w:sz w:val="20"/>
                  <w:szCs w:val="20"/>
                </w:rPr>
                <w:t>http://capec.mitre.org/data/archive/capec_v2.8.zip</w:t>
              </w:r>
            </w:hyperlink>
          </w:p>
          <w:p w14:paraId="378EA277" w14:textId="77777777" w:rsidR="00C05C16" w:rsidRDefault="00000000">
            <w:pPr>
              <w:pStyle w:val="ListParagraph"/>
              <w:numPr>
                <w:ilvl w:val="0"/>
                <w:numId w:val="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p>
          <w:p w14:paraId="75FB8BD7" w14:textId="77777777" w:rsidR="00C05C16" w:rsidRDefault="00000000">
            <w:pPr>
              <w:pStyle w:val="ListParagraph"/>
              <w:spacing w:after="120"/>
              <w:rPr>
                <w:rFonts w:ascii="Garamond" w:hAnsi="Garamond"/>
                <w:sz w:val="20"/>
                <w:szCs w:val="20"/>
              </w:rPr>
            </w:pPr>
            <w:hyperlink r:id="rId16">
              <w:r>
                <w:rPr>
                  <w:rStyle w:val="Hyperlink"/>
                  <w:rFonts w:ascii="Garamond" w:hAnsi="Garamond"/>
                  <w:sz w:val="20"/>
                  <w:szCs w:val="20"/>
                </w:rPr>
                <w:t>http://www.safecode.org/publications/SAFECode_Agile_Dev_Security0712.pdf</w:t>
              </w:r>
            </w:hyperlink>
          </w:p>
          <w:p w14:paraId="4E30A46D" w14:textId="77777777" w:rsidR="00C05C16" w:rsidRDefault="00000000">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p>
          <w:p w14:paraId="3B20C409" w14:textId="77777777" w:rsidR="00C05C16" w:rsidRDefault="00000000">
            <w:pPr>
              <w:spacing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p>
          <w:p w14:paraId="730D7052" w14:textId="77777777" w:rsidR="00C05C16" w:rsidRDefault="00000000">
            <w:pPr>
              <w:spacing w:after="120"/>
              <w:rPr>
                <w:rStyle w:val="Hyperlink"/>
                <w:rFonts w:ascii="Garamond" w:hAnsi="Garamond"/>
                <w:sz w:val="20"/>
                <w:szCs w:val="20"/>
              </w:rPr>
            </w:pPr>
            <w:hyperlink r:id="rId17">
              <w:r>
                <w:rPr>
                  <w:rStyle w:val="Hyperlink"/>
                  <w:rFonts w:ascii="Garamond" w:hAnsi="Garamond"/>
                  <w:sz w:val="20"/>
                  <w:szCs w:val="20"/>
                </w:rPr>
                <w:t>https://youtu.be/i5Y0akWj31k</w:t>
              </w:r>
            </w:hyperlink>
            <w:hyperlink r:id="rId18">
              <w:r>
                <w:rPr>
                  <w:rStyle w:val="Hyperlink"/>
                  <w:rFonts w:ascii="Garamond" w:hAnsi="Garamond"/>
                  <w:sz w:val="20"/>
                  <w:szCs w:val="20"/>
                </w:rPr>
                <w:t>https://www.owasp.org/index.php/File:Cornucopia-scoresheet.pdf</w:t>
              </w:r>
            </w:hyperlink>
          </w:p>
          <w:p w14:paraId="659AFEEF" w14:textId="77777777" w:rsidR="00C05C16" w:rsidRDefault="00000000">
            <w:pPr>
              <w:pStyle w:val="C-Head-Top"/>
            </w:pPr>
            <w:r>
              <w:t>Règles alternatives</w:t>
            </w:r>
          </w:p>
          <w:p w14:paraId="06330E7D" w14:textId="77777777" w:rsidR="00C05C16" w:rsidRDefault="00000000">
            <w:pPr>
              <w:spacing w:after="120"/>
              <w:rPr>
                <w:rFonts w:ascii="Garamond" w:hAnsi="Garamond"/>
                <w:sz w:val="20"/>
                <w:szCs w:val="20"/>
              </w:rPr>
            </w:pPr>
            <w:r>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p>
          <w:p w14:paraId="6FBF87F5" w14:textId="77777777" w:rsidR="00C05C16" w:rsidRDefault="00000000">
            <w:pPr>
              <w:spacing w:after="120"/>
              <w:rPr>
                <w:rFonts w:ascii="Garamond" w:hAnsi="Garamond"/>
                <w:sz w:val="20"/>
                <w:szCs w:val="20"/>
              </w:rPr>
            </w:pPr>
            <w:r>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p>
          <w:p w14:paraId="21CFA4D6" w14:textId="77777777" w:rsidR="00C05C16" w:rsidRDefault="00000000">
            <w:pPr>
              <w:spacing w:after="120"/>
              <w:rPr>
                <w:rFonts w:ascii="Garamond" w:hAnsi="Garamond"/>
                <w:sz w:val="20"/>
                <w:szCs w:val="20"/>
              </w:rPr>
            </w:pPr>
            <w:r>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p>
          <w:p w14:paraId="35F36FB3" w14:textId="77777777" w:rsidR="00C05C16" w:rsidRDefault="00000000">
            <w:pPr>
              <w:spacing w:after="120"/>
              <w:rPr>
                <w:rFonts w:ascii="Garamond" w:hAnsi="Garamond"/>
                <w:sz w:val="20"/>
                <w:szCs w:val="20"/>
              </w:rPr>
            </w:pPr>
            <w:r>
              <w:rPr>
                <w:rFonts w:ascii="Garamond" w:hAnsi="Garamond"/>
                <w:sz w:val="20"/>
                <w:szCs w:val="20"/>
              </w:rPr>
              <w:t>Certaines équipes ont préféré jouer un tour complet sans interruption, puis seulement après, échanger sur les contenus des cartes jouées (au lieu de le faire après chaque carte).</w:t>
            </w:r>
          </w:p>
          <w:p w14:paraId="5710E437" w14:textId="77777777" w:rsidR="00C05C16" w:rsidRDefault="00000000">
            <w:pPr>
              <w:spacing w:after="120"/>
              <w:rPr>
                <w:rFonts w:ascii="Garamond" w:hAnsi="Garamond"/>
                <w:sz w:val="20"/>
                <w:szCs w:val="20"/>
              </w:rPr>
            </w:pPr>
            <w:r>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p>
          <w:p w14:paraId="3E10090B" w14:textId="77777777" w:rsidR="00C05C16" w:rsidRDefault="00000000">
            <w:pPr>
              <w:spacing w:after="120"/>
              <w:rPr>
                <w:rFonts w:ascii="Garamond" w:hAnsi="Garamond"/>
                <w:sz w:val="20"/>
                <w:szCs w:val="20"/>
              </w:rPr>
            </w:pPr>
            <w:r>
              <w:rPr>
                <w:rFonts w:ascii="Garamond" w:hAnsi="Garamond"/>
                <w:sz w:val="20"/>
                <w:szCs w:val="20"/>
              </w:rPr>
              <w:t>Vous pouvez même jouer tout seul.  Utilisez les cartes comme point de départ à des raisonnements. Il est néanmoins avantageux d’impliquer des personnes supplémentaires.</w:t>
            </w:r>
          </w:p>
          <w:p w14:paraId="0837B687" w14:textId="77777777" w:rsidR="00C05C16" w:rsidRDefault="00000000">
            <w:pPr>
              <w:spacing w:after="120"/>
              <w:rPr>
                <w:rFonts w:ascii="Garamond" w:hAnsi="Garamond"/>
                <w:sz w:val="20"/>
                <w:szCs w:val="20"/>
              </w:rPr>
            </w:pPr>
            <w:r>
              <w:rPr>
                <w:rFonts w:ascii="Garamond" w:hAnsi="Garamond"/>
                <w:sz w:val="20"/>
                <w:szCs w:val="20"/>
              </w:rPr>
              <w:t>L’EoP Microsoft recommande la tricherie en tant que stratégie de jeu.</w:t>
            </w:r>
          </w:p>
          <w:p w14:paraId="5C62101D" w14:textId="77777777" w:rsidR="00C05C16" w:rsidRDefault="00000000">
            <w:pPr>
              <w:pStyle w:val="C-Head-Middle"/>
            </w:pPr>
            <w:r>
              <w:t>Jeux de cartes spécifiques aux frameworks de développement</w:t>
            </w:r>
          </w:p>
          <w:p w14:paraId="391115C8" w14:textId="77777777" w:rsidR="00C05C16" w:rsidRDefault="00000000">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5F7D6D0D" w14:textId="77777777" w:rsidR="00C05C16" w:rsidRDefault="00000000">
            <w:pPr>
              <w:rPr>
                <w:rFonts w:ascii="Garamond" w:hAnsi="Garamond"/>
                <w:sz w:val="20"/>
                <w:szCs w:val="20"/>
              </w:rPr>
            </w:pPr>
            <w:r>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p>
          <w:p w14:paraId="69CD6BEE" w14:textId="77777777" w:rsidR="00C05C16" w:rsidRDefault="00C05C16">
            <w:pPr>
              <w:spacing w:after="120"/>
              <w:rPr>
                <w:rStyle w:val="Hyperlink"/>
                <w:rFonts w:ascii="Garamond" w:hAnsi="Garamond"/>
                <w:sz w:val="20"/>
                <w:szCs w:val="20"/>
              </w:rPr>
            </w:pPr>
          </w:p>
          <w:p w14:paraId="08B26BFF" w14:textId="77777777" w:rsidR="00C05C16" w:rsidRDefault="00C05C16">
            <w:pPr>
              <w:spacing w:after="120"/>
              <w:rPr>
                <w:rFonts w:ascii="Garamond" w:hAnsi="Garamond"/>
                <w:sz w:val="20"/>
                <w:szCs w:val="20"/>
              </w:rPr>
            </w:pPr>
          </w:p>
          <w:p w14:paraId="3FE5C3A5" w14:textId="77777777" w:rsidR="00C05C16" w:rsidRDefault="00C05C16">
            <w:pPr>
              <w:spacing w:after="120"/>
              <w:rPr>
                <w:rFonts w:ascii="Garamond" w:hAnsi="Garamond"/>
                <w:sz w:val="20"/>
                <w:szCs w:val="20"/>
              </w:rPr>
            </w:pPr>
          </w:p>
          <w:p w14:paraId="6C8F58A5" w14:textId="77777777" w:rsidR="00C05C16" w:rsidRDefault="00C05C16">
            <w:pPr>
              <w:tabs>
                <w:tab w:val="right" w:pos="7263"/>
              </w:tabs>
              <w:spacing w:after="120"/>
              <w:rPr>
                <w:rFonts w:ascii="Garamond" w:hAnsi="Garamond"/>
                <w:b/>
                <w:bCs/>
                <w:i/>
                <w:sz w:val="22"/>
                <w:szCs w:val="22"/>
              </w:rPr>
            </w:pPr>
          </w:p>
          <w:p w14:paraId="5248ABA0" w14:textId="77777777" w:rsidR="00C05C16" w:rsidRDefault="00C05C16">
            <w:pPr>
              <w:tabs>
                <w:tab w:val="right" w:pos="7263"/>
              </w:tabs>
              <w:spacing w:after="120"/>
              <w:rPr>
                <w:rFonts w:ascii="Garamond" w:hAnsi="Garamond"/>
                <w:b/>
                <w:bCs/>
                <w:i/>
                <w:sz w:val="22"/>
                <w:szCs w:val="22"/>
              </w:rPr>
            </w:pPr>
          </w:p>
          <w:p w14:paraId="48ECF25D" w14:textId="77777777" w:rsidR="00C05C16" w:rsidRDefault="00C05C16">
            <w:pPr>
              <w:tabs>
                <w:tab w:val="right" w:pos="7263"/>
              </w:tabs>
              <w:spacing w:after="120"/>
              <w:rPr>
                <w:rFonts w:ascii="Garamond" w:hAnsi="Garamond"/>
                <w:b/>
                <w:bCs/>
                <w:i/>
                <w:sz w:val="22"/>
                <w:szCs w:val="22"/>
              </w:rPr>
            </w:pPr>
          </w:p>
          <w:p w14:paraId="451AC070" w14:textId="77777777" w:rsidR="00C05C16" w:rsidRDefault="00C05C16">
            <w:pPr>
              <w:tabs>
                <w:tab w:val="right" w:pos="7263"/>
              </w:tabs>
              <w:spacing w:after="120"/>
              <w:rPr>
                <w:rFonts w:ascii="Garamond" w:hAnsi="Garamond"/>
                <w:b/>
                <w:bCs/>
                <w:i/>
                <w:sz w:val="22"/>
                <w:szCs w:val="22"/>
              </w:rPr>
            </w:pPr>
          </w:p>
          <w:p w14:paraId="2E555CAF" w14:textId="77777777" w:rsidR="00C05C16" w:rsidRDefault="00C05C16">
            <w:pPr>
              <w:tabs>
                <w:tab w:val="right" w:pos="7263"/>
              </w:tabs>
              <w:spacing w:after="120"/>
              <w:rPr>
                <w:rFonts w:ascii="Garamond" w:hAnsi="Garamond"/>
                <w:b/>
                <w:bCs/>
                <w:i/>
                <w:sz w:val="22"/>
                <w:szCs w:val="22"/>
              </w:rPr>
            </w:pPr>
          </w:p>
          <w:p w14:paraId="1BD170CE" w14:textId="77777777" w:rsidR="00C05C16" w:rsidRDefault="00000000">
            <w:pPr>
              <w:tabs>
                <w:tab w:val="right" w:pos="7263"/>
              </w:tabs>
              <w:spacing w:after="120"/>
              <w:rPr>
                <w:rFonts w:ascii="Garamond" w:hAnsi="Garamond"/>
                <w:b/>
                <w:bCs/>
                <w:i/>
                <w:sz w:val="22"/>
                <w:szCs w:val="22"/>
              </w:rPr>
            </w:pPr>
            <w:r>
              <w:rPr>
                <w:rFonts w:ascii="Garamond" w:hAnsi="Garamond"/>
                <w:b/>
                <w:bCs/>
                <w:i/>
                <w:sz w:val="22"/>
                <w:szCs w:val="22"/>
              </w:rPr>
              <w:t>Foire aux questions</w:t>
            </w:r>
          </w:p>
          <w:p w14:paraId="4CE15066" w14:textId="77777777" w:rsidR="00C05C16" w:rsidRDefault="00000000">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7AD6306B" w14:textId="77777777" w:rsidR="00C05C16" w:rsidRDefault="00000000">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060C7123" w14:textId="77777777" w:rsidR="00C05C16" w:rsidRDefault="00000000">
            <w:pPr>
              <w:spacing w:after="120"/>
              <w:rPr>
                <w:rFonts w:ascii="Garamond" w:hAnsi="Garamond"/>
                <w:i/>
                <w:sz w:val="20"/>
                <w:szCs w:val="20"/>
              </w:rPr>
            </w:pPr>
            <w:r>
              <w:rPr>
                <w:rFonts w:ascii="Garamond" w:hAnsi="Garamond"/>
                <w:i/>
                <w:sz w:val="20"/>
                <w:szCs w:val="20"/>
              </w:rPr>
              <w:t>Envoyez des idées ou des offres d’aide à la liste de diffusion du projet.</w:t>
            </w:r>
          </w:p>
          <w:p w14:paraId="265CED5C" w14:textId="77777777" w:rsidR="00C05C16" w:rsidRDefault="00000000">
            <w:pPr>
              <w:spacing w:after="120"/>
              <w:rPr>
                <w:rFonts w:ascii="Garamond" w:hAnsi="Garamond"/>
                <w:i/>
                <w:sz w:val="20"/>
                <w:szCs w:val="20"/>
              </w:rPr>
            </w:pPr>
            <w:r>
              <w:rPr>
                <w:rFonts w:ascii="Garamond" w:hAnsi="Garamond"/>
                <w:i/>
                <w:sz w:val="20"/>
                <w:szCs w:val="20"/>
              </w:rPr>
              <w:t>3. Comment ont été choisis les noms des attaquants?</w:t>
            </w:r>
          </w:p>
          <w:p w14:paraId="560AAB40" w14:textId="77777777" w:rsidR="00C05C16" w:rsidRDefault="00000000">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7258A55E" w14:textId="77777777" w:rsidR="00C05C16" w:rsidRDefault="00000000">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4DCCEF4C" w14:textId="77777777" w:rsidR="00C05C16" w:rsidRDefault="00000000">
            <w:pPr>
              <w:spacing w:after="120"/>
              <w:rPr>
                <w:rFonts w:ascii="Garamond" w:hAnsi="Garamond"/>
                <w:i/>
                <w:sz w:val="20"/>
                <w:szCs w:val="20"/>
              </w:rPr>
            </w:pPr>
            <w:r>
              <w:rPr>
                <w:rFonts w:ascii="Garamond" w:hAnsi="Garamond"/>
                <w:i/>
                <w:sz w:val="20"/>
                <w:szCs w:val="20"/>
              </w:rPr>
              <w:t>4. Pourquoi n’y a-t-il pas d’images sur les cartes?</w:t>
            </w:r>
          </w:p>
          <w:p w14:paraId="4A052308" w14:textId="77777777" w:rsidR="00C05C16" w:rsidRDefault="00000000">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421DBD60" w14:textId="77777777" w:rsidR="00C05C16" w:rsidRDefault="00000000">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09F6F30E" w14:textId="77777777" w:rsidR="00C05C16" w:rsidRDefault="00000000">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61D71821" w14:textId="77777777" w:rsidR="00C05C16" w:rsidRDefault="00000000">
            <w:pPr>
              <w:spacing w:after="120"/>
              <w:rPr>
                <w:rFonts w:ascii="Garamond" w:hAnsi="Garamond"/>
                <w:i/>
                <w:sz w:val="20"/>
                <w:szCs w:val="20"/>
              </w:rPr>
            </w:pPr>
            <w:r>
              <w:rPr>
                <w:rFonts w:ascii="Garamond" w:hAnsi="Garamond"/>
                <w:i/>
                <w:sz w:val="20"/>
                <w:szCs w:val="20"/>
              </w:rPr>
              <w:t>6. Combien de temps faut-il pour jouer une main en utilisant le jeu complet?</w:t>
            </w:r>
          </w:p>
          <w:p w14:paraId="13C5A519" w14:textId="77777777" w:rsidR="00C05C16" w:rsidRDefault="00000000">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205B7445" w14:textId="77777777" w:rsidR="00C05C16" w:rsidRDefault="00000000">
            <w:pPr>
              <w:spacing w:after="120"/>
              <w:rPr>
                <w:rFonts w:ascii="Garamond" w:hAnsi="Garamond"/>
                <w:i/>
                <w:sz w:val="20"/>
                <w:szCs w:val="20"/>
              </w:rPr>
            </w:pPr>
            <w:r>
              <w:rPr>
                <w:rFonts w:ascii="Garamond" w:hAnsi="Garamond"/>
                <w:i/>
                <w:sz w:val="20"/>
                <w:szCs w:val="20"/>
              </w:rPr>
              <w:t>7. Quels profils de joueurs peuvent participer?</w:t>
            </w:r>
          </w:p>
          <w:p w14:paraId="6F8839C7" w14:textId="77777777" w:rsidR="00C05C16" w:rsidRDefault="00000000">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14:paraId="581D88C5" w14:textId="77777777" w:rsidR="00C05C16" w:rsidRDefault="00000000">
            <w:pPr>
              <w:spacing w:after="120"/>
              <w:rPr>
                <w:rFonts w:ascii="Garamond" w:hAnsi="Garamond"/>
                <w:i/>
                <w:sz w:val="20"/>
                <w:szCs w:val="20"/>
              </w:rPr>
            </w:pPr>
            <w:r>
              <w:rPr>
                <w:rFonts w:ascii="Garamond" w:hAnsi="Garamond"/>
                <w:i/>
                <w:sz w:val="20"/>
                <w:szCs w:val="20"/>
              </w:rPr>
              <w:t>8. Qui doit prendre des notes et noter les scores?</w:t>
            </w:r>
          </w:p>
          <w:p w14:paraId="0014C29D" w14:textId="77777777" w:rsidR="00C05C16" w:rsidRDefault="00000000">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377ABABB" w14:textId="77777777" w:rsidR="00C05C16" w:rsidRDefault="00C05C16">
            <w:pPr>
              <w:spacing w:after="120"/>
              <w:rPr>
                <w:rFonts w:ascii="Garamond" w:hAnsi="Garamond"/>
                <w:i/>
                <w:sz w:val="20"/>
                <w:szCs w:val="20"/>
              </w:rPr>
            </w:pPr>
          </w:p>
          <w:p w14:paraId="7A5A6C87" w14:textId="77777777" w:rsidR="00C05C16" w:rsidRDefault="00C05C16">
            <w:pPr>
              <w:spacing w:after="120"/>
              <w:rPr>
                <w:rFonts w:ascii="Garamond" w:hAnsi="Garamond"/>
                <w:sz w:val="20"/>
                <w:szCs w:val="20"/>
              </w:rPr>
            </w:pPr>
          </w:p>
        </w:tc>
        <w:tc>
          <w:tcPr>
            <w:tcW w:w="244" w:type="dxa"/>
            <w:gridSpan w:val="2"/>
            <w:tcBorders>
              <w:top w:val="nil"/>
              <w:left w:val="nil"/>
              <w:bottom w:val="nil"/>
              <w:right w:val="nil"/>
            </w:tcBorders>
          </w:tcPr>
          <w:p w14:paraId="7A02614A" w14:textId="77777777" w:rsidR="00C05C16" w:rsidRDefault="00C05C16">
            <w:pPr>
              <w:spacing w:after="120"/>
              <w:rPr>
                <w:rFonts w:ascii="Garamond" w:hAnsi="Garamond"/>
                <w:sz w:val="20"/>
                <w:szCs w:val="20"/>
              </w:rPr>
            </w:pPr>
          </w:p>
        </w:tc>
        <w:tc>
          <w:tcPr>
            <w:tcW w:w="7581" w:type="dxa"/>
            <w:gridSpan w:val="5"/>
            <w:tcBorders>
              <w:top w:val="nil"/>
              <w:left w:val="nil"/>
              <w:bottom w:val="nil"/>
              <w:right w:val="nil"/>
            </w:tcBorders>
          </w:tcPr>
          <w:p w14:paraId="485B439A" w14:textId="77777777" w:rsidR="00C05C16" w:rsidRDefault="00000000">
            <w:pPr>
              <w:pStyle w:val="C-Head-Top"/>
            </w:pPr>
            <w:r>
              <w:t>A - Préparations</w:t>
            </w:r>
          </w:p>
          <w:p w14:paraId="703D3E30" w14:textId="77777777" w:rsidR="00C05C16" w:rsidRDefault="00000000">
            <w:pPr>
              <w:pStyle w:val="C-Head-Top"/>
              <w:ind w:left="720"/>
              <w:rPr>
                <w:b w:val="0"/>
                <w:bCs/>
                <w:sz w:val="20"/>
                <w:szCs w:val="20"/>
              </w:rPr>
            </w:pPr>
            <w:r>
              <w:rPr>
                <w:b w:val="0"/>
                <w:bCs/>
                <w:sz w:val="20"/>
                <w:szCs w:val="20"/>
              </w:rPr>
              <w:t>A1.</w:t>
              <w:tab/>
              <w:t>Procurez-vous un jeu, ou imprimez votre propre jeu de cartes Cornucopia (voir page 2 de ce document), et séparez/découpez les cartes.                                                                   A2.</w:t>
              <w:tab/>
              <w:t xml:space="preserve">Identifiez une application ou processus à évaluer, cela peut être un concept, une spécification ou une véritable implémentation </w:t>
            </w:r>
            <w:r>
              <w:rPr>
                <w:b w:val="0"/>
                <w:bCs/>
                <w:sz w:val="20"/>
                <w:szCs w:val="20"/>
              </w:rPr>
              <w:br/>
              <w:t>A3.</w:t>
              <w:tab/>
              <w:t>Créez un diagramme de flux de données, des cas d’utilisation, ou d’autres supports pour aider à l’évaluation.                                                                     A4.</w:t>
              <w:tab/>
              <w:t>Identifiez et invitez un groupe de 3-6 architectes, développeurs, testeurs et autres participants métier ensemble et asseyez-vous autour d’une table (essayez d’inclure un profil sensibilisé à la sécurité applicative).                                                                                                      A5.</w:t>
              <w:tab/>
              <w:t xml:space="preserve">Prévoyez une distribution de prix (étoiles, pizza, bière ou fleurs en fonction de la culture d’entreprise).                                                                                                                                                                                                            </w:t>
            </w:r>
          </w:p>
          <w:p w14:paraId="7887B012" w14:textId="77777777" w:rsidR="00C05C16" w:rsidRDefault="00000000">
            <w:pPr>
              <w:pStyle w:val="C-Head-Middle"/>
            </w:pPr>
            <w:r>
              <w:t>B - Jouer</w:t>
            </w:r>
          </w:p>
          <w:p w14:paraId="087A8D77" w14:textId="77777777" w:rsidR="00C05C16" w:rsidRDefault="00000000">
            <w:pPr>
              <w:spacing w:after="120"/>
              <w:rPr>
                <w:rFonts w:ascii="Garamond" w:hAnsi="Garamond"/>
                <w:sz w:val="20"/>
                <w:szCs w:val="20"/>
              </w:rPr>
            </w:pPr>
            <w:r>
              <w:rPr>
                <w:rFonts w:ascii="Garamond" w:hAnsi="Garamond"/>
                <w:sz w:val="20"/>
                <w:szCs w:val="20"/>
              </w:rPr>
              <w:t>Une couleur – Cornucopia – fait office d’atouts.  Les As sont les plus forts (battent les Rois).  Le fait d’avoir un participant non-joueur facilite le relevé des questions et des scores.</w:t>
            </w:r>
          </w:p>
          <w:p w14:paraId="6091C97F" w14:textId="77777777" w:rsidR="00C05C16" w:rsidRDefault="00000000">
            <w:pPr>
              <w:spacing w:after="120"/>
              <w:ind w:left="720"/>
              <w:rPr>
                <w:rFonts w:ascii="Garamond" w:hAnsi="Garamond"/>
                <w:sz w:val="20"/>
                <w:szCs w:val="20"/>
              </w:rPr>
            </w:pPr>
            <w:r>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r>
            <w:r>
              <w:rPr>
                <w:rFonts w:ascii="Garamond" w:hAnsi="Garamond"/>
                <w:sz w:val="20"/>
                <w:szCs w:val="20"/>
              </w:rPr>
              <w:br/>
              <w:t>B6.</w:t>
              <w:tab/>
              <w:t>Le joueur qui gagne la main, commence au tour suivant, donnant une couleur à suivre.                                                                                                      B7.</w:t>
              <w:tab/>
              <w:t xml:space="preserve">Continuez jusqu’à ce que toutes les cartes soient jouées.                </w:t>
            </w:r>
          </w:p>
          <w:p w14:paraId="53EC00FA" w14:textId="77777777" w:rsidR="00C05C16" w:rsidRDefault="00000000">
            <w:pPr>
              <w:pStyle w:val="C-Head-Middle"/>
            </w:pPr>
            <w:r>
              <w:t>C - Scores</w:t>
            </w:r>
          </w:p>
          <w:p w14:paraId="1FEE499E" w14:textId="77777777" w:rsidR="00C05C16" w:rsidRDefault="00000000">
            <w:pPr>
              <w:spacing w:after="120"/>
              <w:rPr>
                <w:rFonts w:ascii="Garamond" w:hAnsi="Garamond"/>
                <w:sz w:val="20"/>
                <w:szCs w:val="20"/>
              </w:rPr>
            </w:pPr>
            <w:r>
              <w:rPr>
                <w:rFonts w:ascii="Garamond" w:hAnsi="Garamond"/>
                <w:sz w:val="20"/>
                <w:szCs w:val="20"/>
              </w:rPr>
              <w:t>L’objectif est d’identifier des menaces applicables, et de gagner des mains (des tours):</w:t>
            </w:r>
          </w:p>
          <w:p w14:paraId="138B013A" w14:textId="77777777" w:rsidR="00C05C16" w:rsidRDefault="00000000">
            <w:pPr>
              <w:spacing w:after="120"/>
              <w:ind w:left="720"/>
              <w:rPr>
                <w:rFonts w:ascii="Garamond" w:hAnsi="Garamond"/>
                <w:sz w:val="20"/>
                <w:szCs w:val="20"/>
              </w:rPr>
            </w:pPr>
            <w:r>
              <w:rPr>
                <w:rFonts w:ascii="Garamond" w:hAnsi="Garamond"/>
                <w:sz w:val="20"/>
                <w:szCs w:val="20"/>
              </w:rPr>
              <w:t>C1.</w:t>
              <w:tab/>
              <w:t xml:space="preserve">+1 point à chaque carte jouée pour laquelle le groupe s’accorde à dire qu’il s’agit d’une menace applicable.   </w:t>
            </w:r>
            <w:r>
              <w:rPr>
                <w:rFonts w:ascii="Garamond" w:hAnsi="Garamond"/>
                <w:sz w:val="20"/>
                <w:szCs w:val="20"/>
              </w:rPr>
              <w:br/>
              <w:t>C2.</w:t>
              <w:tab/>
              <w:t>+1 point si vous gagnez une main.                                                                                                      C3.</w:t>
              <w:tab/>
              <w:t xml:space="preserve">Lorsque toutes les cartes sont jouées, le plus grand score remporte la partie.                                                          </w:t>
            </w:r>
          </w:p>
          <w:p w14:paraId="56BAC4D8" w14:textId="77777777" w:rsidR="00C05C16" w:rsidRDefault="00000000">
            <w:pPr>
              <w:pStyle w:val="C-Head-Middle"/>
            </w:pPr>
            <w:r>
              <w:t>D - Clôture</w:t>
            </w:r>
          </w:p>
          <w:p w14:paraId="561E63D7" w14:textId="77777777" w:rsidR="00C05C16" w:rsidRDefault="00000000">
            <w:pPr>
              <w:spacing w:after="120"/>
              <w:ind w:left="720"/>
              <w:rPr>
                <w:rFonts w:ascii="Garamond" w:hAnsi="Garamond"/>
                <w:sz w:val="20"/>
                <w:szCs w:val="20"/>
              </w:rPr>
            </w:pPr>
            <w:r>
              <w:rPr>
                <w:rFonts w:ascii="Garamond" w:hAnsi="Garamond"/>
                <w:sz w:val="20"/>
                <w:szCs w:val="20"/>
              </w:rPr>
              <w:t>D1.</w:t>
              <w:tab/>
              <w:t>Parcourez toutes les menaces applicables et les exigences de sécurité correspondantes.                                                                      D2.</w:t>
              <w:tab/>
              <w:t>Créez des cas d’utilisation, des spécifications, et des jeux de tests en fonction de votre méthodologie de développement.</w:t>
            </w:r>
          </w:p>
          <w:p w14:paraId="66E912FC" w14:textId="77777777" w:rsidR="00C05C16" w:rsidRDefault="00C05C16">
            <w:pPr>
              <w:pStyle w:val="C-Head-Top"/>
            </w:pPr>
          </w:p>
          <w:p w14:paraId="168A2C42" w14:textId="77777777" w:rsidR="00C05C16" w:rsidRDefault="00000000">
            <w:pPr>
              <w:pStyle w:val="C-Head-Top"/>
            </w:pPr>
            <w:r>
              <w:t>Standards et librairies de code internes</w:t>
            </w:r>
          </w:p>
          <w:p w14:paraId="4DD0AA3B" w14:textId="77777777" w:rsidR="00C05C16" w:rsidRDefault="00000000">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69EB5B7" w14:textId="77777777">
              <w:tc>
                <w:tcPr>
                  <w:tcW w:w="7367" w:type="dxa"/>
                  <w:gridSpan w:val="3"/>
                  <w:shd w:val="clear" w:color="auto" w:fill="17365D" w:themeFill="text2" w:themeFillShade="BF"/>
                </w:tcPr>
                <w:p w14:paraId="591F737F"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C05C16" w14:paraId="176FAC01" w14:textId="77777777">
              <w:tc>
                <w:tcPr>
                  <w:tcW w:w="2845" w:type="dxa"/>
                  <w:tcBorders>
                    <w:right w:val="nil"/>
                  </w:tcBorders>
                </w:tcPr>
                <w:p w14:paraId="31ADFA82" w14:textId="77777777" w:rsidR="00C05C16" w:rsidRDefault="00000000">
                  <w:pPr>
                    <w:rPr>
                      <w:rFonts w:ascii="Garamond" w:hAnsi="Garamond"/>
                      <w:sz w:val="20"/>
                      <w:szCs w:val="20"/>
                    </w:rPr>
                  </w:pPr>
                  <w:r>
                    <w:rPr>
                      <w:rFonts w:ascii="Garamond" w:hAnsi="Garamond"/>
                      <w:sz w:val="20"/>
                      <w:szCs w:val="20"/>
                    </w:rPr>
                    <w:t>Validation des données et encodage</w:t>
                  </w:r>
                </w:p>
                <w:p w14:paraId="7A701C93" w14:textId="77777777" w:rsidR="00C05C16" w:rsidRDefault="00000000">
                  <w:pPr>
                    <w:rPr>
                      <w:rFonts w:ascii="Garamond" w:hAnsi="Garamond"/>
                      <w:i/>
                      <w:sz w:val="20"/>
                      <w:szCs w:val="20"/>
                    </w:rPr>
                  </w:pPr>
                  <w:r>
                    <w:rPr>
                      <w:rFonts w:ascii="Garamond" w:hAnsi="Garamond"/>
                      <w:i/>
                      <w:sz w:val="20"/>
                      <w:szCs w:val="20"/>
                    </w:rPr>
                    <w:t>[votre liste]</w:t>
                  </w:r>
                </w:p>
                <w:p w14:paraId="3A051AF4" w14:textId="77777777" w:rsidR="00C05C16" w:rsidRDefault="00000000">
                  <w:pPr>
                    <w:rPr>
                      <w:rFonts w:ascii="Garamond" w:hAnsi="Garamond"/>
                      <w:sz w:val="20"/>
                      <w:szCs w:val="20"/>
                    </w:rPr>
                  </w:pPr>
                  <w:r>
                    <w:rPr>
                      <w:rFonts w:ascii="Garamond" w:hAnsi="Garamond"/>
                      <w:sz w:val="20"/>
                      <w:szCs w:val="20"/>
                    </w:rPr>
                    <w:t>Authentification</w:t>
                  </w:r>
                </w:p>
                <w:p w14:paraId="70E7DDAD" w14:textId="77777777" w:rsidR="00C05C16" w:rsidRDefault="00000000">
                  <w:pPr>
                    <w:rPr>
                      <w:rFonts w:ascii="Garamond" w:hAnsi="Garamond"/>
                      <w:i/>
                      <w:sz w:val="20"/>
                      <w:szCs w:val="20"/>
                    </w:rPr>
                  </w:pPr>
                  <w:r>
                    <w:rPr>
                      <w:rFonts w:ascii="Garamond" w:hAnsi="Garamond"/>
                      <w:i/>
                      <w:sz w:val="20"/>
                      <w:szCs w:val="20"/>
                    </w:rPr>
                    <w:t>[votre liste]</w:t>
                  </w:r>
                </w:p>
              </w:tc>
              <w:tc>
                <w:tcPr>
                  <w:tcW w:w="2355" w:type="dxa"/>
                  <w:tcBorders>
                    <w:left w:val="nil"/>
                    <w:right w:val="nil"/>
                  </w:tcBorders>
                </w:tcPr>
                <w:p w14:paraId="0A302A4A" w14:textId="77777777" w:rsidR="00C05C16" w:rsidRDefault="00000000">
                  <w:pPr>
                    <w:rPr>
                      <w:rFonts w:ascii="Garamond" w:hAnsi="Garamond"/>
                      <w:sz w:val="20"/>
                      <w:szCs w:val="20"/>
                    </w:rPr>
                  </w:pPr>
                  <w:r>
                    <w:rPr>
                      <w:rFonts w:ascii="Garamond" w:hAnsi="Garamond"/>
                      <w:sz w:val="20"/>
                      <w:szCs w:val="20"/>
                    </w:rPr>
                    <w:t>Gestion des sessions</w:t>
                  </w:r>
                </w:p>
                <w:p w14:paraId="74D316D8" w14:textId="77777777" w:rsidR="00C05C16" w:rsidRDefault="00000000">
                  <w:pPr>
                    <w:rPr>
                      <w:rFonts w:ascii="Garamond" w:hAnsi="Garamond"/>
                      <w:i/>
                      <w:sz w:val="20"/>
                      <w:szCs w:val="20"/>
                    </w:rPr>
                  </w:pPr>
                  <w:r>
                    <w:rPr>
                      <w:rFonts w:ascii="Garamond" w:hAnsi="Garamond"/>
                      <w:i/>
                      <w:sz w:val="20"/>
                      <w:szCs w:val="20"/>
                    </w:rPr>
                    <w:t>[votre liste]</w:t>
                  </w:r>
                </w:p>
                <w:p w14:paraId="612064FD" w14:textId="77777777" w:rsidR="00C05C16" w:rsidRDefault="00000000">
                  <w:pPr>
                    <w:rPr>
                      <w:rFonts w:ascii="Garamond" w:hAnsi="Garamond"/>
                      <w:sz w:val="20"/>
                      <w:szCs w:val="20"/>
                    </w:rPr>
                  </w:pPr>
                  <w:r>
                    <w:rPr>
                      <w:rFonts w:ascii="Garamond" w:hAnsi="Garamond"/>
                      <w:sz w:val="20"/>
                      <w:szCs w:val="20"/>
                    </w:rPr>
                    <w:t>Habilitation</w:t>
                  </w:r>
                </w:p>
                <w:p w14:paraId="32CF15F4" w14:textId="77777777" w:rsidR="00C05C16" w:rsidRDefault="00000000">
                  <w:pPr>
                    <w:rPr>
                      <w:rFonts w:ascii="Garamond" w:hAnsi="Garamond"/>
                      <w:i/>
                      <w:sz w:val="20"/>
                      <w:szCs w:val="20"/>
                    </w:rPr>
                  </w:pPr>
                  <w:r>
                    <w:rPr>
                      <w:rFonts w:ascii="Garamond" w:hAnsi="Garamond"/>
                      <w:i/>
                      <w:sz w:val="20"/>
                      <w:szCs w:val="20"/>
                    </w:rPr>
                    <w:t>[votre liste]</w:t>
                  </w:r>
                </w:p>
              </w:tc>
              <w:tc>
                <w:tcPr>
                  <w:tcW w:w="2167" w:type="dxa"/>
                  <w:tcBorders>
                    <w:left w:val="nil"/>
                  </w:tcBorders>
                </w:tcPr>
                <w:p w14:paraId="4D89F586" w14:textId="77777777" w:rsidR="00C05C16" w:rsidRDefault="00000000">
                  <w:pPr>
                    <w:rPr>
                      <w:rFonts w:ascii="Garamond" w:hAnsi="Garamond"/>
                      <w:sz w:val="20"/>
                      <w:szCs w:val="20"/>
                    </w:rPr>
                  </w:pPr>
                  <w:r>
                    <w:rPr>
                      <w:rFonts w:ascii="Garamond" w:hAnsi="Garamond"/>
                      <w:sz w:val="20"/>
                      <w:szCs w:val="20"/>
                    </w:rPr>
                    <w:t>Cryptographie</w:t>
                  </w:r>
                </w:p>
                <w:p w14:paraId="409D0540" w14:textId="77777777" w:rsidR="00C05C16" w:rsidRDefault="00000000">
                  <w:pPr>
                    <w:rPr>
                      <w:rFonts w:ascii="Garamond" w:hAnsi="Garamond"/>
                      <w:i/>
                      <w:sz w:val="20"/>
                      <w:szCs w:val="20"/>
                    </w:rPr>
                  </w:pPr>
                  <w:r>
                    <w:rPr>
                      <w:rFonts w:ascii="Garamond" w:hAnsi="Garamond"/>
                      <w:i/>
                      <w:sz w:val="20"/>
                      <w:szCs w:val="20"/>
                    </w:rPr>
                    <w:t>[votre liste]</w:t>
                  </w:r>
                </w:p>
                <w:p w14:paraId="62DF2D7B" w14:textId="77777777" w:rsidR="00C05C16" w:rsidRDefault="00000000">
                  <w:pPr>
                    <w:rPr>
                      <w:rFonts w:ascii="Garamond" w:hAnsi="Garamond"/>
                      <w:sz w:val="20"/>
                      <w:szCs w:val="20"/>
                    </w:rPr>
                  </w:pPr>
                  <w:r>
                    <w:rPr>
                      <w:rFonts w:ascii="Garamond" w:hAnsi="Garamond"/>
                      <w:sz w:val="20"/>
                      <w:szCs w:val="20"/>
                    </w:rPr>
                    <w:t>Cornucopia</w:t>
                  </w:r>
                </w:p>
                <w:p w14:paraId="26E0C198" w14:textId="77777777" w:rsidR="00C05C16" w:rsidRDefault="00000000">
                  <w:pPr>
                    <w:rPr>
                      <w:rFonts w:ascii="Garamond" w:hAnsi="Garamond"/>
                      <w:i/>
                      <w:sz w:val="20"/>
                      <w:szCs w:val="20"/>
                    </w:rPr>
                  </w:pPr>
                  <w:r>
                    <w:rPr>
                      <w:rFonts w:ascii="Garamond" w:hAnsi="Garamond"/>
                      <w:i/>
                      <w:sz w:val="20"/>
                      <w:szCs w:val="20"/>
                    </w:rPr>
                    <w:t>[votre liste]</w:t>
                  </w:r>
                </w:p>
              </w:tc>
            </w:tr>
          </w:tbl>
          <w:p w14:paraId="3226564A" w14:textId="77777777" w:rsidR="00C05C16" w:rsidRDefault="00000000">
            <w:pPr>
              <w:pStyle w:val="C-Head-Middle"/>
            </w:pPr>
            <w:r>
              <w:t>Jeux d’exigences de conformité</w:t>
            </w:r>
          </w:p>
          <w:p w14:paraId="03C92A01" w14:textId="77777777" w:rsidR="00C05C16" w:rsidRDefault="00000000">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5000" w:type="pct"/>
              <w:tblCellMar>
                <w:left w:w="57" w:type="dxa"/>
                <w:right w:w="57" w:type="dxa"/>
              </w:tblCellMar>
              <w:tblLook w:val="04A0" w:firstRow="1" w:lastRow="0" w:firstColumn="1" w:lastColumn="0" w:noHBand="0" w:noVBand="1"/>
            </w:tblPr>
            <w:tblGrid>
              <w:gridCol w:w="2779"/>
              <w:gridCol w:w="2321"/>
              <w:gridCol w:w="2145"/>
            </w:tblGrid>
            <w:tr w:rsidR="00C05C16" w14:paraId="2BFBC204" w14:textId="77777777">
              <w:tc>
                <w:tcPr>
                  <w:tcW w:w="7367" w:type="dxa"/>
                  <w:gridSpan w:val="3"/>
                  <w:shd w:val="clear" w:color="auto" w:fill="17365D" w:themeFill="text2" w:themeFillShade="BF"/>
                </w:tcPr>
                <w:p w14:paraId="575D2906" w14:textId="77777777" w:rsidR="00C05C16" w:rsidRDefault="00000000">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C05C16" w14:paraId="7E9ABE96" w14:textId="77777777">
              <w:tc>
                <w:tcPr>
                  <w:tcW w:w="2845" w:type="dxa"/>
                  <w:tcBorders>
                    <w:right w:val="nil"/>
                  </w:tcBorders>
                </w:tcPr>
                <w:p w14:paraId="744EF070" w14:textId="77777777" w:rsidR="00C05C16" w:rsidRDefault="00000000">
                  <w:pPr>
                    <w:rPr>
                      <w:rFonts w:ascii="Garamond" w:hAnsi="Garamond"/>
                      <w:sz w:val="20"/>
                      <w:szCs w:val="20"/>
                    </w:rPr>
                  </w:pPr>
                  <w:r>
                    <w:rPr>
                      <w:rFonts w:ascii="Garamond" w:hAnsi="Garamond"/>
                      <w:sz w:val="20"/>
                      <w:szCs w:val="20"/>
                    </w:rPr>
                    <w:t>Validation des données et encodage</w:t>
                  </w:r>
                </w:p>
                <w:p w14:paraId="136AE27D" w14:textId="77777777" w:rsidR="00C05C16" w:rsidRDefault="00000000">
                  <w:pPr>
                    <w:rPr>
                      <w:rFonts w:ascii="Garamond" w:hAnsi="Garamond"/>
                      <w:i/>
                      <w:sz w:val="20"/>
                      <w:szCs w:val="20"/>
                    </w:rPr>
                  </w:pPr>
                  <w:r>
                    <w:rPr>
                      <w:rFonts w:ascii="Garamond" w:hAnsi="Garamond"/>
                      <w:i/>
                      <w:sz w:val="20"/>
                      <w:szCs w:val="20"/>
                    </w:rPr>
                    <w:t>[liste de conformité]</w:t>
                  </w:r>
                </w:p>
                <w:p w14:paraId="067F9B2C" w14:textId="77777777" w:rsidR="00C05C16" w:rsidRDefault="00000000">
                  <w:pPr>
                    <w:rPr>
                      <w:rFonts w:ascii="Garamond" w:hAnsi="Garamond"/>
                      <w:sz w:val="20"/>
                      <w:szCs w:val="20"/>
                    </w:rPr>
                  </w:pPr>
                  <w:r>
                    <w:rPr>
                      <w:rFonts w:ascii="Garamond" w:hAnsi="Garamond"/>
                      <w:sz w:val="20"/>
                      <w:szCs w:val="20"/>
                    </w:rPr>
                    <w:t>Authentification</w:t>
                  </w:r>
                </w:p>
                <w:p w14:paraId="68709E94" w14:textId="77777777" w:rsidR="00C05C16" w:rsidRDefault="00000000">
                  <w:pPr>
                    <w:rPr>
                      <w:rFonts w:ascii="Garamond" w:hAnsi="Garamond"/>
                      <w:i/>
                      <w:sz w:val="20"/>
                      <w:szCs w:val="20"/>
                    </w:rPr>
                  </w:pPr>
                  <w:r>
                    <w:rPr>
                      <w:rFonts w:ascii="Garamond" w:hAnsi="Garamond"/>
                      <w:i/>
                      <w:sz w:val="20"/>
                      <w:szCs w:val="20"/>
                    </w:rPr>
                    <w:t>[liste de conformité]</w:t>
                  </w:r>
                </w:p>
              </w:tc>
              <w:tc>
                <w:tcPr>
                  <w:tcW w:w="2355" w:type="dxa"/>
                  <w:tcBorders>
                    <w:left w:val="nil"/>
                    <w:right w:val="nil"/>
                  </w:tcBorders>
                </w:tcPr>
                <w:p w14:paraId="43808B6D" w14:textId="77777777" w:rsidR="00C05C16" w:rsidRDefault="00000000">
                  <w:pPr>
                    <w:rPr>
                      <w:rFonts w:ascii="Garamond" w:hAnsi="Garamond"/>
                      <w:sz w:val="20"/>
                      <w:szCs w:val="20"/>
                    </w:rPr>
                  </w:pPr>
                  <w:r>
                    <w:rPr>
                      <w:rFonts w:ascii="Garamond" w:hAnsi="Garamond"/>
                      <w:sz w:val="20"/>
                      <w:szCs w:val="20"/>
                    </w:rPr>
                    <w:t>Gestion des sessions</w:t>
                  </w:r>
                </w:p>
                <w:p w14:paraId="3571B182" w14:textId="77777777" w:rsidR="00C05C16" w:rsidRDefault="00000000">
                  <w:pPr>
                    <w:rPr>
                      <w:rFonts w:ascii="Garamond" w:hAnsi="Garamond"/>
                      <w:i/>
                      <w:sz w:val="20"/>
                      <w:szCs w:val="20"/>
                    </w:rPr>
                  </w:pPr>
                  <w:r>
                    <w:rPr>
                      <w:rFonts w:ascii="Garamond" w:hAnsi="Garamond"/>
                      <w:i/>
                      <w:sz w:val="20"/>
                      <w:szCs w:val="20"/>
                    </w:rPr>
                    <w:t>[liste de conformité]</w:t>
                  </w:r>
                </w:p>
                <w:p w14:paraId="65B3AB0E" w14:textId="77777777" w:rsidR="00C05C16" w:rsidRDefault="00000000">
                  <w:pPr>
                    <w:rPr>
                      <w:rFonts w:ascii="Garamond" w:hAnsi="Garamond"/>
                      <w:sz w:val="20"/>
                      <w:szCs w:val="20"/>
                    </w:rPr>
                  </w:pPr>
                  <w:r>
                    <w:rPr>
                      <w:rFonts w:ascii="Garamond" w:hAnsi="Garamond"/>
                      <w:sz w:val="20"/>
                      <w:szCs w:val="20"/>
                    </w:rPr>
                    <w:t>Habilitation</w:t>
                  </w:r>
                </w:p>
                <w:p w14:paraId="38B62854" w14:textId="77777777" w:rsidR="00C05C16" w:rsidRDefault="00000000">
                  <w:pPr>
                    <w:rPr>
                      <w:rFonts w:ascii="Garamond" w:hAnsi="Garamond"/>
                      <w:i/>
                      <w:sz w:val="20"/>
                      <w:szCs w:val="20"/>
                    </w:rPr>
                  </w:pPr>
                  <w:r>
                    <w:rPr>
                      <w:rFonts w:ascii="Garamond" w:hAnsi="Garamond"/>
                      <w:i/>
                      <w:sz w:val="20"/>
                      <w:szCs w:val="20"/>
                    </w:rPr>
                    <w:t>[liste de conformité]</w:t>
                  </w:r>
                </w:p>
              </w:tc>
              <w:tc>
                <w:tcPr>
                  <w:tcW w:w="2167" w:type="dxa"/>
                  <w:tcBorders>
                    <w:left w:val="nil"/>
                  </w:tcBorders>
                </w:tcPr>
                <w:p w14:paraId="3F35FC1A" w14:textId="77777777" w:rsidR="00C05C16" w:rsidRDefault="00000000">
                  <w:pPr>
                    <w:rPr>
                      <w:rFonts w:ascii="Garamond" w:hAnsi="Garamond"/>
                      <w:sz w:val="20"/>
                      <w:szCs w:val="20"/>
                    </w:rPr>
                  </w:pPr>
                  <w:r>
                    <w:rPr>
                      <w:rFonts w:ascii="Garamond" w:hAnsi="Garamond"/>
                      <w:sz w:val="20"/>
                      <w:szCs w:val="20"/>
                    </w:rPr>
                    <w:t>Cryptographie</w:t>
                  </w:r>
                </w:p>
                <w:p w14:paraId="15154644" w14:textId="77777777" w:rsidR="00C05C16" w:rsidRDefault="00000000">
                  <w:pPr>
                    <w:rPr>
                      <w:rFonts w:ascii="Garamond" w:hAnsi="Garamond"/>
                      <w:i/>
                      <w:sz w:val="20"/>
                      <w:szCs w:val="20"/>
                    </w:rPr>
                  </w:pPr>
                  <w:r>
                    <w:rPr>
                      <w:rFonts w:ascii="Garamond" w:hAnsi="Garamond"/>
                      <w:i/>
                      <w:sz w:val="20"/>
                      <w:szCs w:val="20"/>
                    </w:rPr>
                    <w:t>[liste de conformité]</w:t>
                  </w:r>
                </w:p>
                <w:p w14:paraId="6C3569DB" w14:textId="77777777" w:rsidR="00C05C16" w:rsidRDefault="00000000">
                  <w:pPr>
                    <w:rPr>
                      <w:rFonts w:ascii="Garamond" w:hAnsi="Garamond"/>
                      <w:sz w:val="20"/>
                      <w:szCs w:val="20"/>
                    </w:rPr>
                  </w:pPr>
                  <w:r>
                    <w:rPr>
                      <w:rFonts w:ascii="Garamond" w:hAnsi="Garamond"/>
                      <w:sz w:val="20"/>
                      <w:szCs w:val="20"/>
                    </w:rPr>
                    <w:t>Cornucopia</w:t>
                  </w:r>
                </w:p>
                <w:p w14:paraId="582AD784" w14:textId="77777777" w:rsidR="00C05C16" w:rsidRDefault="00000000">
                  <w:pPr>
                    <w:rPr>
                      <w:rFonts w:ascii="Garamond" w:hAnsi="Garamond"/>
                      <w:i/>
                      <w:sz w:val="20"/>
                      <w:szCs w:val="20"/>
                    </w:rPr>
                  </w:pPr>
                  <w:r>
                    <w:rPr>
                      <w:rFonts w:ascii="Garamond" w:hAnsi="Garamond"/>
                      <w:i/>
                      <w:sz w:val="20"/>
                      <w:szCs w:val="20"/>
                    </w:rPr>
                    <w:t>[liste de conformité]</w:t>
                  </w:r>
                </w:p>
              </w:tc>
            </w:tr>
          </w:tbl>
          <w:p w14:paraId="118E8651" w14:textId="77777777" w:rsidR="00C05C16" w:rsidRDefault="00C05C16">
            <w:pPr>
              <w:spacing w:after="120"/>
              <w:rPr>
                <w:rFonts w:ascii="Garamond" w:hAnsi="Garamond"/>
                <w:i/>
                <w:sz w:val="20"/>
                <w:szCs w:val="20"/>
              </w:rPr>
            </w:pPr>
          </w:p>
          <w:p w14:paraId="23C394CA" w14:textId="77777777" w:rsidR="00C05C16" w:rsidRDefault="00C05C16">
            <w:pPr>
              <w:spacing w:after="120"/>
              <w:rPr>
                <w:rFonts w:ascii="Garamond" w:hAnsi="Garamond"/>
                <w:i/>
                <w:sz w:val="20"/>
                <w:szCs w:val="20"/>
              </w:rPr>
            </w:pPr>
          </w:p>
          <w:p w14:paraId="212FC82D" w14:textId="77777777" w:rsidR="00C05C16" w:rsidRDefault="00C05C16">
            <w:pPr>
              <w:spacing w:after="120"/>
              <w:rPr>
                <w:rFonts w:ascii="Garamond" w:hAnsi="Garamond"/>
                <w:i/>
                <w:sz w:val="20"/>
                <w:szCs w:val="20"/>
              </w:rPr>
            </w:pPr>
          </w:p>
          <w:p w14:paraId="411F2211" w14:textId="77777777" w:rsidR="00C05C16" w:rsidRDefault="00C05C16">
            <w:pPr>
              <w:spacing w:after="120"/>
              <w:rPr>
                <w:rFonts w:ascii="Garamond" w:hAnsi="Garamond"/>
                <w:i/>
                <w:sz w:val="20"/>
                <w:szCs w:val="20"/>
              </w:rPr>
            </w:pPr>
          </w:p>
          <w:p w14:paraId="626AB719" w14:textId="77777777" w:rsidR="00C05C16" w:rsidRDefault="00C05C16">
            <w:pPr>
              <w:spacing w:after="120"/>
              <w:rPr>
                <w:rFonts w:ascii="Garamond" w:hAnsi="Garamond"/>
                <w:i/>
                <w:sz w:val="20"/>
                <w:szCs w:val="20"/>
              </w:rPr>
            </w:pPr>
          </w:p>
          <w:p w14:paraId="32FF1A84" w14:textId="77777777" w:rsidR="00C05C16" w:rsidRDefault="00C05C16">
            <w:pPr>
              <w:spacing w:after="120"/>
              <w:rPr>
                <w:rFonts w:ascii="Garamond" w:hAnsi="Garamond"/>
                <w:i/>
                <w:sz w:val="20"/>
                <w:szCs w:val="20"/>
              </w:rPr>
            </w:pPr>
          </w:p>
          <w:p w14:paraId="7FA90B06" w14:textId="77777777" w:rsidR="00C05C16" w:rsidRDefault="00C05C16">
            <w:pPr>
              <w:spacing w:after="120"/>
              <w:rPr>
                <w:rFonts w:ascii="Garamond" w:hAnsi="Garamond"/>
                <w:i/>
                <w:sz w:val="20"/>
                <w:szCs w:val="20"/>
              </w:rPr>
            </w:pPr>
          </w:p>
          <w:p w14:paraId="1318D38D" w14:textId="77777777" w:rsidR="00C05C16" w:rsidRDefault="00C05C16">
            <w:pPr>
              <w:spacing w:after="120"/>
              <w:rPr>
                <w:rFonts w:ascii="Garamond" w:hAnsi="Garamond"/>
                <w:i/>
                <w:sz w:val="20"/>
                <w:szCs w:val="20"/>
              </w:rPr>
            </w:pPr>
          </w:p>
          <w:p w14:paraId="3A789121" w14:textId="77777777" w:rsidR="00C05C16" w:rsidRDefault="00C05C16">
            <w:pPr>
              <w:spacing w:after="120"/>
              <w:rPr>
                <w:rFonts w:ascii="Garamond" w:hAnsi="Garamond"/>
                <w:i/>
                <w:sz w:val="20"/>
                <w:szCs w:val="20"/>
              </w:rPr>
            </w:pPr>
          </w:p>
          <w:p w14:paraId="3E646EB6" w14:textId="77777777" w:rsidR="00C05C16" w:rsidRDefault="00C05C16">
            <w:pPr>
              <w:spacing w:after="120"/>
              <w:rPr>
                <w:rFonts w:ascii="Garamond" w:hAnsi="Garamond"/>
                <w:i/>
                <w:sz w:val="20"/>
                <w:szCs w:val="20"/>
              </w:rPr>
            </w:pPr>
          </w:p>
          <w:p w14:paraId="2DF82026" w14:textId="77777777" w:rsidR="00C05C16" w:rsidRDefault="00C05C16">
            <w:pPr>
              <w:spacing w:after="120"/>
              <w:rPr>
                <w:rFonts w:ascii="Garamond" w:hAnsi="Garamond"/>
                <w:i/>
                <w:sz w:val="20"/>
                <w:szCs w:val="20"/>
              </w:rPr>
            </w:pPr>
          </w:p>
          <w:p w14:paraId="22F61817" w14:textId="77777777" w:rsidR="00C05C16" w:rsidRDefault="00C05C16">
            <w:pPr>
              <w:spacing w:after="120"/>
              <w:rPr>
                <w:rFonts w:ascii="Garamond" w:hAnsi="Garamond"/>
                <w:i/>
                <w:sz w:val="20"/>
                <w:szCs w:val="20"/>
              </w:rPr>
            </w:pPr>
          </w:p>
          <w:p w14:paraId="5606EC5E" w14:textId="77777777" w:rsidR="00C05C16" w:rsidRDefault="00C05C16">
            <w:pPr>
              <w:spacing w:after="120"/>
              <w:rPr>
                <w:rFonts w:ascii="Garamond" w:hAnsi="Garamond"/>
                <w:i/>
                <w:sz w:val="20"/>
                <w:szCs w:val="20"/>
              </w:rPr>
            </w:pPr>
          </w:p>
          <w:p w14:paraId="62A6ACF6" w14:textId="77777777" w:rsidR="00C05C16" w:rsidRDefault="00C05C16">
            <w:pPr>
              <w:spacing w:after="120"/>
              <w:rPr>
                <w:rFonts w:ascii="Garamond" w:hAnsi="Garamond"/>
                <w:i/>
                <w:sz w:val="20"/>
                <w:szCs w:val="20"/>
              </w:rPr>
            </w:pPr>
          </w:p>
          <w:p w14:paraId="2F4638E7" w14:textId="77777777" w:rsidR="00C05C16" w:rsidRDefault="00C05C16">
            <w:pPr>
              <w:spacing w:after="120"/>
              <w:rPr>
                <w:rFonts w:ascii="Garamond" w:hAnsi="Garamond"/>
                <w:i/>
                <w:sz w:val="20"/>
                <w:szCs w:val="20"/>
              </w:rPr>
            </w:pPr>
          </w:p>
          <w:p w14:paraId="3401C019" w14:textId="77777777" w:rsidR="00C05C16" w:rsidRDefault="00C05C16">
            <w:pPr>
              <w:spacing w:after="120"/>
              <w:rPr>
                <w:rFonts w:ascii="Garamond" w:hAnsi="Garamond"/>
                <w:i/>
                <w:sz w:val="20"/>
                <w:szCs w:val="20"/>
              </w:rPr>
            </w:pPr>
          </w:p>
          <w:p w14:paraId="4233522D" w14:textId="77777777" w:rsidR="00C05C16" w:rsidRDefault="00C05C16">
            <w:pPr>
              <w:spacing w:after="120"/>
              <w:rPr>
                <w:rFonts w:ascii="Garamond" w:hAnsi="Garamond"/>
                <w:i/>
                <w:sz w:val="20"/>
                <w:szCs w:val="20"/>
              </w:rPr>
            </w:pPr>
          </w:p>
          <w:p w14:paraId="45E4730C" w14:textId="77777777" w:rsidR="00C05C16" w:rsidRDefault="00C05C16">
            <w:pPr>
              <w:spacing w:after="120"/>
              <w:rPr>
                <w:rFonts w:ascii="Garamond" w:hAnsi="Garamond"/>
                <w:i/>
                <w:sz w:val="20"/>
                <w:szCs w:val="20"/>
              </w:rPr>
            </w:pPr>
          </w:p>
          <w:p w14:paraId="681E6002" w14:textId="77777777" w:rsidR="00C05C16" w:rsidRDefault="00C05C16">
            <w:pPr>
              <w:spacing w:after="120"/>
              <w:rPr>
                <w:rFonts w:ascii="Garamond" w:hAnsi="Garamond"/>
                <w:i/>
                <w:sz w:val="20"/>
                <w:szCs w:val="20"/>
              </w:rPr>
            </w:pPr>
          </w:p>
          <w:p w14:paraId="705625F5" w14:textId="77777777" w:rsidR="00C05C16" w:rsidRDefault="00C05C16">
            <w:pPr>
              <w:spacing w:after="120"/>
              <w:rPr>
                <w:rFonts w:ascii="Garamond" w:hAnsi="Garamond"/>
                <w:i/>
                <w:sz w:val="20"/>
                <w:szCs w:val="20"/>
              </w:rPr>
            </w:pPr>
          </w:p>
          <w:p w14:paraId="33FB2429" w14:textId="77777777" w:rsidR="00C05C16" w:rsidRDefault="00000000">
            <w:pPr>
              <w:spacing w:after="120"/>
              <w:rPr>
                <w:rFonts w:ascii="Garamond" w:hAnsi="Garamond"/>
                <w:i/>
                <w:sz w:val="20"/>
                <w:szCs w:val="20"/>
              </w:rPr>
            </w:pPr>
            <w:r>
              <w:rPr>
                <w:rFonts w:ascii="Garamond" w:hAnsi="Garamond"/>
                <w:i/>
                <w:sz w:val="20"/>
                <w:szCs w:val="20"/>
              </w:rPr>
              <w:t>9. Doit-on toujours utiliser un jeu complet de cartes?</w:t>
            </w:r>
          </w:p>
          <w:p w14:paraId="44A711FC" w14:textId="77777777" w:rsidR="00C05C16" w:rsidRDefault="00000000">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5869C943" w14:textId="77777777" w:rsidR="00C05C16" w:rsidRDefault="00000000">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6D5AEB93" w14:textId="77777777" w:rsidR="00C05C16" w:rsidRDefault="00000000">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540C573E" w14:textId="77777777" w:rsidR="00C05C16" w:rsidRDefault="00000000">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787BD4A4" w14:textId="77777777" w:rsidR="00C05C16" w:rsidRDefault="00000000">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41997FBB" w14:textId="77777777" w:rsidR="00C05C16" w:rsidRDefault="00000000">
            <w:pPr>
              <w:spacing w:after="120"/>
              <w:rPr>
                <w:rFonts w:ascii="Garamond" w:hAnsi="Garamond"/>
                <w:spacing w:val="-7"/>
                <w:sz w:val="20"/>
                <w:szCs w:val="20"/>
              </w:rPr>
            </w:pPr>
            <w:hyperlink r:id="rId19">
              <w:r>
                <w:rPr>
                  <w:rStyle w:val="Hyperlink"/>
                  <w:rFonts w:ascii="Garamond" w:hAnsi="Garamond"/>
                  <w:spacing w:val="-7"/>
                  <w:sz w:val="20"/>
                  <w:szCs w:val="20"/>
                </w:rPr>
                <w:t>https://www.owasp.org/index.php/Cornucopia_-_Ecommerce_Website_Edition_-_Wiki_Deck</w:t>
              </w:r>
            </w:hyperlink>
          </w:p>
          <w:p w14:paraId="38C5EEFE" w14:textId="77777777" w:rsidR="00C05C16" w:rsidRDefault="00000000">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1C6E59BF" w14:textId="77777777" w:rsidR="00C05C16" w:rsidRDefault="00000000">
            <w:pPr>
              <w:spacing w:after="120"/>
              <w:rPr>
                <w:rFonts w:ascii="Garamond" w:hAnsi="Garamond"/>
                <w:sz w:val="20"/>
                <w:szCs w:val="20"/>
              </w:rPr>
            </w:pPr>
            <w:hyperlink r:id="rId20" w:anchor="tab=FAQs" w:history="1">
              <w:r>
                <w:rPr>
                  <w:rStyle w:val="Hyperlink"/>
                  <w:rFonts w:ascii="Garamond" w:hAnsi="Garamond"/>
                  <w:spacing w:val="-4"/>
                  <w:sz w:val="20"/>
                  <w:szCs w:val="20"/>
                </w:rPr>
                <w:t>https://www.owasp.org/index.php/OWASP_Cornucopia - tab=FAQs</w:t>
              </w:r>
            </w:hyperlink>
          </w:p>
          <w:p w14:paraId="5075B533" w14:textId="77777777" w:rsidR="00C05C16" w:rsidRDefault="00C05C16">
            <w:pPr>
              <w:spacing w:after="120"/>
              <w:rPr>
                <w:rFonts w:ascii="Garamond" w:eastAsiaTheme="majorEastAsia" w:hAnsi="Garamond" w:cstheme="majorBidi"/>
                <w:b/>
                <w:bCs/>
                <w:i/>
                <w:iCs/>
                <w:color w:val="404040" w:themeColor="text1" w:themeTint="BF"/>
                <w:sz w:val="20"/>
                <w:szCs w:val="20"/>
              </w:rPr>
            </w:pPr>
          </w:p>
        </w:tc>
      </w:tr>
      <w:tr w:rsidR="00C05C16" w14:paraId="4E6DD787" w14:textId="77777777">
        <w:tc>
          <w:tcPr>
            <w:tcW w:w="109"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92"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51"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gridSpan w:val="2"/>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24" w:type="dxa"/>
            <w:gridSpan w:val="2"/>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28"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79"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9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Vous avez inventé une nouvelle attaque contre la Validation des Données et l'Encodage</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(Pas de Carte)</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p>
        </w:tc>
        <w:tc>
          <w:tcPr>
            <w:tcW w:w="89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trPr>
          <w:trHeight w:hRule="exact" w:val="2041"/>
        </w:trPr>
        <w:tc>
          <w:tcPr>
            <w:tcW w:w="109"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
          <w:p w14:paraId="322A84F8"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trPr>
          <w:trHeight w:hRule="exact" w:val="737"/>
        </w:trPr>
        <w:tc>
          <w:tcPr>
            <w:tcW w:w="109"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92"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trPr>
          <w:trHeight w:hRule="exact" w:val="2268"/>
        </w:trPr>
        <w:tc>
          <w:tcPr>
            <w:tcW w:w="109"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peut saisir des noms de champs ou des données malveillantes, car ils ne sont pas vérifiés dans le contexte de l'utilisateur ou du processus en cours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peut contourner les routines d'encodage centralisées, car celles-ci ne sont pas utilisées partout, ou bien de mauvais encodages sont utilisés</w:t>
            </w: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peut contourner les routines d'encodage centralisées, car celles-ci ne sont pas utilisées à chaque saisie</w:t>
            </w: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c>
          <w:tcPr>
            <w:tcW w:w="89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trPr>
          <w:trHeight w:hRule="exact" w:val="2155"/>
        </w:trPr>
        <w:tc>
          <w:tcPr>
            <w:tcW w:w="109"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37"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92"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24" w:type="dxa"/>
            <w:gridSpan w:val="2"/>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28"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9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9514B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8E33B72"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7CA46487"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trPr>
          <w:trHeight w:hRule="exact" w:val="737"/>
        </w:trPr>
        <w:tc>
          <w:tcPr>
            <w:tcW w:w="737" w:type="dxa"/>
            <w:vMerge/>
            <w:tcBorders>
              <w:top w:val="nil"/>
              <w:left w:val="nil"/>
              <w:bottom w:val="nil"/>
              <w:right w:val="nil"/>
            </w:tcBorders>
          </w:tcPr>
          <w:p w14:paraId="033A4EB2"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trPr>
          <w:trHeight w:hRule="exact" w:val="2268"/>
        </w:trPr>
        <w:tc>
          <w:tcPr>
            <w:tcW w:w="737" w:type="dxa"/>
            <w:vMerge/>
            <w:tcBorders>
              <w:top w:val="nil"/>
              <w:left w:val="nil"/>
              <w:bottom w:val="nil"/>
              <w:right w:val="nil"/>
            </w:tcBorders>
          </w:tcPr>
          <w:p w14:paraId="1FCF4A4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peut contourner les routines de sanitisation centralisées, car celles-ci ne sont pas pleinement utilisées</w:t>
            </w:r>
          </w:p>
        </w:tc>
        <w:tc>
          <w:tcPr>
            <w:tcW w:w="851" w:type="dxa"/>
            <w:vMerge/>
            <w:tcBorders>
              <w:top w:val="nil"/>
              <w:left w:val="nil"/>
              <w:bottom w:val="nil"/>
              <w:right w:val="nil"/>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peut contourner la validation des saisies ou la validation des sorties, car les échecs de validation ne sont pas rejetés et/ou sanitisés</w:t>
            </w:r>
          </w:p>
        </w:tc>
        <w:tc>
          <w:tcPr>
            <w:tcW w:w="850" w:type="dxa"/>
            <w:vMerge/>
            <w:tcBorders>
              <w:top w:val="nil"/>
              <w:left w:val="nil"/>
              <w:bottom w:val="nil"/>
              <w:right w:val="nil"/>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p>
        </w:tc>
        <w:tc>
          <w:tcPr>
            <w:tcW w:w="849" w:type="dxa"/>
            <w:vMerge/>
            <w:tcBorders>
              <w:top w:val="nil"/>
              <w:left w:val="nil"/>
              <w:bottom w:val="nil"/>
              <w:right w:val="nil"/>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a le contrôle sur la validation des saisies, la validation des sorties, ou le code d'encodage des sorties, ou les routines, de telle manière que celles-ci peuvent être contournées</w:t>
            </w:r>
          </w:p>
        </w:tc>
      </w:tr>
      <w:tr w:rsidR="00C05C16" w14:paraId="2B87C29E" w14:textId="77777777">
        <w:trPr>
          <w:trHeight w:hRule="exact" w:val="2041"/>
        </w:trPr>
        <w:tc>
          <w:tcPr>
            <w:tcW w:w="737" w:type="dxa"/>
            <w:vMerge/>
            <w:tcBorders>
              <w:top w:val="nil"/>
              <w:left w:val="nil"/>
              <w:bottom w:val="nil"/>
              <w:right w:val="nil"/>
            </w:tcBorders>
          </w:tcPr>
          <w:p w14:paraId="55AFD80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241F447"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557C4E1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3C36C69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FB165B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335679"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275DB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33F6760B" w14:textId="77777777" w:rsidR="00C05C16" w:rsidRDefault="00C05C16">
            <w:pPr>
              <w:rPr>
                <w:rFonts w:ascii="Garamond" w:hAnsi="Garamond"/>
                <w:sz w:val="12"/>
                <w:szCs w:val="12"/>
              </w:rPr>
            </w:pPr>
          </w:p>
        </w:tc>
      </w:tr>
      <w:tr w:rsidR="00C05C16" w14:paraId="36DEE633" w14:textId="77777777">
        <w:trPr>
          <w:trHeight w:hRule="exact" w:val="737"/>
        </w:trPr>
        <w:tc>
          <w:tcPr>
            <w:tcW w:w="737" w:type="dxa"/>
            <w:vMerge/>
            <w:tcBorders>
              <w:top w:val="nil"/>
              <w:left w:val="nil"/>
              <w:bottom w:val="nil"/>
              <w:right w:val="nil"/>
            </w:tcBorders>
          </w:tcPr>
          <w:p w14:paraId="5E0BF90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nil"/>
              <w:left w:val="nil"/>
              <w:bottom w:val="nil"/>
              <w:right w:val="nil"/>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trPr>
          <w:trHeight w:hRule="exact" w:val="2268"/>
        </w:trPr>
        <w:tc>
          <w:tcPr>
            <w:tcW w:w="737" w:type="dxa"/>
            <w:vMerge/>
            <w:tcBorders>
              <w:top w:val="nil"/>
              <w:left w:val="nil"/>
              <w:bottom w:val="nil"/>
              <w:right w:val="nil"/>
            </w:tcBorders>
          </w:tcPr>
          <w:p w14:paraId="2031F657"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Vous avez inventé une nouvelle attaque contre l'Authentification</w:t>
            </w:r>
          </w:p>
        </w:tc>
        <w:tc>
          <w:tcPr>
            <w:tcW w:w="851" w:type="dxa"/>
            <w:vMerge/>
            <w:tcBorders>
              <w:top w:val="nil"/>
              <w:left w:val="nil"/>
              <w:bottom w:val="nil"/>
              <w:right w:val="nil"/>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p>
        </w:tc>
        <w:tc>
          <w:tcPr>
            <w:tcW w:w="849" w:type="dxa"/>
            <w:vMerge/>
            <w:tcBorders>
              <w:top w:val="nil"/>
              <w:left w:val="nil"/>
              <w:bottom w:val="nil"/>
              <w:right w:val="nil"/>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p>
        </w:tc>
      </w:tr>
      <w:tr w:rsidR="00C05C16" w14:paraId="3203FE4E" w14:textId="77777777">
        <w:trPr>
          <w:trHeight w:hRule="exact" w:val="2041"/>
        </w:trPr>
        <w:tc>
          <w:tcPr>
            <w:tcW w:w="737" w:type="dxa"/>
            <w:vMerge/>
            <w:tcBorders>
              <w:top w:val="nil"/>
              <w:left w:val="nil"/>
              <w:bottom w:val="nil"/>
              <w:right w:val="nil"/>
            </w:tcBorders>
          </w:tcPr>
          <w:p w14:paraId="1B2D6E8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Apprenez-en plus à ce sujet dans les antisèches gratuites OWASP sur l'Authentification</w:t>
            </w:r>
          </w:p>
        </w:tc>
        <w:tc>
          <w:tcPr>
            <w:tcW w:w="851" w:type="dxa"/>
            <w:vMerge/>
            <w:tcBorders>
              <w:top w:val="nil"/>
              <w:left w:val="nil"/>
              <w:bottom w:val="nil"/>
              <w:right w:val="nil"/>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E303ED6"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3FD412"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60D227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peut facilement identifier les noms des utilisateurs ou peut les énumérer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peut utiliser les identifiants par défaut, de test, ou facilement devinables, ou peut utiliser un ancien compte ou un compte dont l'application n'a pas besoin</w:t>
            </w: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C05C16" w14:paraId="3AD3FF49"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8362E7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26752B1"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0E907BF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452D6D9A"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trPr>
          <w:trHeight w:hRule="exact" w:val="737"/>
        </w:trPr>
        <w:tc>
          <w:tcPr>
            <w:tcW w:w="737" w:type="dxa"/>
            <w:vMerge/>
            <w:tcBorders>
              <w:top w:val="nil"/>
              <w:left w:val="nil"/>
              <w:bottom w:val="nil"/>
              <w:right w:val="nil"/>
            </w:tcBorders>
          </w:tcPr>
          <w:p w14:paraId="71C8384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trPr>
          <w:trHeight w:hRule="exact" w:val="2268"/>
        </w:trPr>
        <w:tc>
          <w:tcPr>
            <w:tcW w:w="737" w:type="dxa"/>
            <w:vMerge/>
            <w:tcBorders>
              <w:top w:val="nil"/>
              <w:left w:val="nil"/>
              <w:bottom w:val="nil"/>
              <w:right w:val="nil"/>
            </w:tcBorders>
          </w:tcPr>
          <w:p w14:paraId="5FF7B16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peut contourner l'authentification car son échec n'est pas contrôlé (passage en accès non authentifié)</w:t>
            </w:r>
          </w:p>
        </w:tc>
        <w:tc>
          <w:tcPr>
            <w:tcW w:w="851" w:type="dxa"/>
            <w:vMerge/>
            <w:tcBorders>
              <w:top w:val="nil"/>
              <w:left w:val="nil"/>
              <w:bottom w:val="nil"/>
              <w:right w:val="nil"/>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p>
        </w:tc>
        <w:tc>
          <w:tcPr>
            <w:tcW w:w="850" w:type="dxa"/>
            <w:vMerge/>
            <w:tcBorders>
              <w:top w:val="nil"/>
              <w:left w:val="nil"/>
              <w:bottom w:val="nil"/>
              <w:right w:val="nil"/>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p>
        </w:tc>
        <w:tc>
          <w:tcPr>
            <w:tcW w:w="849" w:type="dxa"/>
            <w:vMerge/>
            <w:tcBorders>
              <w:top w:val="nil"/>
              <w:left w:val="nil"/>
              <w:bottom w:val="nil"/>
              <w:right w:val="nil"/>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p>
        </w:tc>
      </w:tr>
      <w:tr w:rsidR="00C05C16" w14:paraId="614B94B3" w14:textId="77777777">
        <w:trPr>
          <w:trHeight w:hRule="exact" w:val="2041"/>
        </w:trPr>
        <w:tc>
          <w:tcPr>
            <w:tcW w:w="737" w:type="dxa"/>
            <w:vMerge/>
            <w:tcBorders>
              <w:top w:val="nil"/>
              <w:left w:val="nil"/>
              <w:bottom w:val="nil"/>
              <w:right w:val="nil"/>
            </w:tcBorders>
          </w:tcPr>
          <w:p w14:paraId="3FDDF4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B947BBC"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4799971"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peut influencer ou modifier du code/routines d'authentification de telle manière que celle-ci soit contournée</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09B069C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5009FD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9B008D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0E1892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671005E"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CF8480E" w14:textId="77777777" w:rsidR="00C05C16" w:rsidRDefault="00C05C16">
            <w:pPr>
              <w:rPr>
                <w:rFonts w:ascii="Garamond" w:hAnsi="Garamond"/>
                <w:sz w:val="12"/>
                <w:szCs w:val="12"/>
              </w:rPr>
            </w:pPr>
          </w:p>
        </w:tc>
      </w:tr>
      <w:tr w:rsidR="00C05C16" w14:paraId="06794E1E" w14:textId="77777777">
        <w:trPr>
          <w:trHeight w:hRule="exact" w:val="737"/>
        </w:trPr>
        <w:tc>
          <w:tcPr>
            <w:tcW w:w="737" w:type="dxa"/>
            <w:vMerge/>
            <w:tcBorders>
              <w:top w:val="nil"/>
              <w:left w:val="nil"/>
              <w:bottom w:val="nil"/>
              <w:right w:val="nil"/>
            </w:tcBorders>
          </w:tcPr>
          <w:p w14:paraId="523FDB9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nil"/>
              <w:left w:val="nil"/>
              <w:bottom w:val="nil"/>
              <w:right w:val="nil"/>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trPr>
          <w:trHeight w:hRule="exact" w:val="2268"/>
        </w:trPr>
        <w:tc>
          <w:tcPr>
            <w:tcW w:w="737" w:type="dxa"/>
            <w:vMerge/>
            <w:tcBorders>
              <w:top w:val="nil"/>
              <w:left w:val="nil"/>
              <w:bottom w:val="nil"/>
              <w:right w:val="nil"/>
            </w:tcBorders>
          </w:tcPr>
          <w:p w14:paraId="76B67FD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Vous avez inventé une nouvelle attaque contre la Gestion des Sessions</w:t>
            </w:r>
          </w:p>
        </w:tc>
        <w:tc>
          <w:tcPr>
            <w:tcW w:w="851" w:type="dxa"/>
            <w:vMerge/>
            <w:tcBorders>
              <w:top w:val="nil"/>
              <w:left w:val="nil"/>
              <w:bottom w:val="nil"/>
              <w:right w:val="nil"/>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a le contrôle sur la génération des identifiants de session</w:t>
            </w:r>
          </w:p>
        </w:tc>
        <w:tc>
          <w:tcPr>
            <w:tcW w:w="849" w:type="dxa"/>
            <w:vMerge/>
            <w:tcBorders>
              <w:top w:val="nil"/>
              <w:left w:val="nil"/>
              <w:bottom w:val="nil"/>
              <w:right w:val="nil"/>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peut utiliser le même compte en parallèle, puisque les sessions concurrentes sont autorisées</w:t>
            </w:r>
          </w:p>
        </w:tc>
      </w:tr>
      <w:tr w:rsidR="00C05C16" w14:paraId="567FF541" w14:textId="77777777">
        <w:trPr>
          <w:trHeight w:hRule="exact" w:val="2041"/>
        </w:trPr>
        <w:tc>
          <w:tcPr>
            <w:tcW w:w="737" w:type="dxa"/>
            <w:vMerge/>
            <w:tcBorders>
              <w:top w:val="nil"/>
              <w:left w:val="nil"/>
              <w:bottom w:val="nil"/>
              <w:right w:val="nil"/>
            </w:tcBorders>
          </w:tcPr>
          <w:p w14:paraId="7516B782"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
        </w:tc>
        <w:tc>
          <w:tcPr>
            <w:tcW w:w="851" w:type="dxa"/>
            <w:vMerge/>
            <w:tcBorders>
              <w:top w:val="nil"/>
              <w:left w:val="nil"/>
              <w:bottom w:val="nil"/>
              <w:right w:val="nil"/>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0536B669"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5F09C34"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45678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peut régler les cookies d'identification de session vers une autre application web, car le chemin et le domaine sont insuffisamment restreints</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C05C16" w14:paraId="43A5FDB4"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6F60DD2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45CB322"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9E6BFB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3867540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trPr>
          <w:trHeight w:hRule="exact" w:val="737"/>
        </w:trPr>
        <w:tc>
          <w:tcPr>
            <w:tcW w:w="737" w:type="dxa"/>
            <w:vMerge/>
            <w:tcBorders>
              <w:top w:val="nil"/>
              <w:left w:val="nil"/>
              <w:bottom w:val="nil"/>
              <w:right w:val="nil"/>
            </w:tcBorders>
          </w:tcPr>
          <w:p w14:paraId="6FF1E7BD"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trPr>
          <w:trHeight w:hRule="exact" w:val="2268"/>
        </w:trPr>
        <w:tc>
          <w:tcPr>
            <w:tcW w:w="737" w:type="dxa"/>
            <w:vMerge/>
            <w:tcBorders>
              <w:top w:val="nil"/>
              <w:left w:val="nil"/>
              <w:bottom w:val="nil"/>
              <w:right w:val="nil"/>
            </w:tcBorders>
          </w:tcPr>
          <w:p w14:paraId="1C51A988"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peut profiter abusivement de sessions longues car l'application ne réauthentifie pas régulièrement pour vérifier si les privilèges ont changé</w:t>
            </w:r>
          </w:p>
        </w:tc>
        <w:tc>
          <w:tcPr>
            <w:tcW w:w="851" w:type="dxa"/>
            <w:vMerge/>
            <w:tcBorders>
              <w:top w:val="nil"/>
              <w:left w:val="nil"/>
              <w:bottom w:val="nil"/>
              <w:right w:val="nil"/>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0" w:type="dxa"/>
            <w:vMerge/>
            <w:tcBorders>
              <w:top w:val="nil"/>
              <w:left w:val="nil"/>
              <w:bottom w:val="nil"/>
              <w:right w:val="nil"/>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p>
        </w:tc>
        <w:tc>
          <w:tcPr>
            <w:tcW w:w="849" w:type="dxa"/>
            <w:vMerge/>
            <w:tcBorders>
              <w:top w:val="nil"/>
              <w:left w:val="nil"/>
              <w:bottom w:val="nil"/>
              <w:right w:val="nil"/>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peut rejouer une interaction identique (ex : requête HTTP, signal, click sur bouton), celle-ci est acceptée et non rejetée</w:t>
            </w:r>
          </w:p>
        </w:tc>
      </w:tr>
      <w:tr w:rsidR="00C05C16" w14:paraId="53E14319" w14:textId="77777777">
        <w:trPr>
          <w:trHeight w:hRule="exact" w:val="2041"/>
        </w:trPr>
        <w:tc>
          <w:tcPr>
            <w:tcW w:w="737" w:type="dxa"/>
            <w:vMerge/>
            <w:tcBorders>
              <w:top w:val="nil"/>
              <w:left w:val="nil"/>
              <w:bottom w:val="nil"/>
              <w:right w:val="nil"/>
            </w:tcBorders>
          </w:tcPr>
          <w:p w14:paraId="5051BD13"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03D7FF6F"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396AEE8"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peut contourner la gestion de session car celle-ci n'est pas globalement et régulièrement appliquée à travers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6C1B6F02"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01590B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719D103"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ADFC4F"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3DCBE0C"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7A21460E" w14:textId="77777777" w:rsidR="00C05C16" w:rsidRDefault="00C05C16">
            <w:pPr>
              <w:rPr>
                <w:rFonts w:ascii="Garamond" w:hAnsi="Garamond"/>
                <w:sz w:val="12"/>
                <w:szCs w:val="12"/>
              </w:rPr>
            </w:pPr>
          </w:p>
        </w:tc>
      </w:tr>
      <w:tr w:rsidR="00C05C16" w14:paraId="7FA656C2" w14:textId="77777777">
        <w:trPr>
          <w:trHeight w:hRule="exact" w:val="737"/>
        </w:trPr>
        <w:tc>
          <w:tcPr>
            <w:tcW w:w="737" w:type="dxa"/>
            <w:vMerge/>
            <w:tcBorders>
              <w:top w:val="nil"/>
              <w:left w:val="nil"/>
              <w:bottom w:val="nil"/>
              <w:right w:val="nil"/>
            </w:tcBorders>
          </w:tcPr>
          <w:p w14:paraId="5C76CF49"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nil"/>
              <w:left w:val="nil"/>
              <w:bottom w:val="nil"/>
              <w:right w:val="nil"/>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trPr>
          <w:trHeight w:hRule="exact" w:val="2268"/>
        </w:trPr>
        <w:tc>
          <w:tcPr>
            <w:tcW w:w="737" w:type="dxa"/>
            <w:vMerge/>
            <w:tcBorders>
              <w:top w:val="nil"/>
              <w:left w:val="nil"/>
              <w:bottom w:val="nil"/>
              <w:right w:val="nil"/>
            </w:tcBorders>
          </w:tcPr>
          <w:p w14:paraId="2B5B3D6D"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Vous avez inventé une nouvelle attaque contre les Habilitations</w:t>
            </w:r>
          </w:p>
        </w:tc>
        <w:tc>
          <w:tcPr>
            <w:tcW w:w="851" w:type="dxa"/>
            <w:vMerge/>
            <w:tcBorders>
              <w:top w:val="nil"/>
              <w:left w:val="nil"/>
              <w:bottom w:val="nil"/>
              <w:right w:val="nil"/>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peut modifier l'emplacement où la donnée est envoyée ou renvoyée</w:t>
            </w:r>
          </w:p>
        </w:tc>
        <w:tc>
          <w:tcPr>
            <w:tcW w:w="849" w:type="dxa"/>
            <w:vMerge/>
            <w:tcBorders>
              <w:top w:val="nil"/>
              <w:left w:val="nil"/>
              <w:bottom w:val="nil"/>
              <w:right w:val="nil"/>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p>
        </w:tc>
      </w:tr>
      <w:tr w:rsidR="00C05C16" w14:paraId="71A07199" w14:textId="77777777">
        <w:trPr>
          <w:trHeight w:hRule="exact" w:val="2041"/>
        </w:trPr>
        <w:tc>
          <w:tcPr>
            <w:tcW w:w="737" w:type="dxa"/>
            <w:vMerge/>
            <w:tcBorders>
              <w:top w:val="nil"/>
              <w:left w:val="nil"/>
              <w:bottom w:val="nil"/>
              <w:right w:val="nil"/>
            </w:tcBorders>
          </w:tcPr>
          <w:p w14:paraId="0FC06B0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guides gratuits OWASP sur le Développement et les Tests</w:t>
            </w:r>
          </w:p>
        </w:tc>
        <w:tc>
          <w:tcPr>
            <w:tcW w:w="851" w:type="dxa"/>
            <w:vMerge/>
            <w:tcBorders>
              <w:top w:val="nil"/>
              <w:left w:val="nil"/>
              <w:bottom w:val="nil"/>
              <w:right w:val="nil"/>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3CF67FDE"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3332E8B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3751C0C0"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peut contourner les contrôles d'habilitation car ils n'échouent pas de façon sécurisée (c'est-à-dire qu'en cas d'échec, retour au comportement par défaut qui est un accès autorisé)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peut avoir accès à des données auxquelles il n'est pas habilité, même s'il a un accès légitime au formulaire/page/ URL/point d'entrée</w:t>
            </w: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peut accéder à des fonctions de l'application, des objets ou des propriétés auxquels elle n'est pas habilitée</w:t>
            </w:r>
          </w:p>
        </w:tc>
      </w:tr>
      <w:tr w:rsidR="00C05C16" w14:paraId="6D88AC9B"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5369EDD3"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2C8C6450"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5F46EEBE"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D5B6E9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trPr>
          <w:trHeight w:hRule="exact" w:val="737"/>
        </w:trPr>
        <w:tc>
          <w:tcPr>
            <w:tcW w:w="737" w:type="dxa"/>
            <w:vMerge/>
            <w:tcBorders>
              <w:top w:val="nil"/>
              <w:left w:val="nil"/>
              <w:bottom w:val="nil"/>
              <w:right w:val="nil"/>
            </w:tcBorders>
          </w:tcPr>
          <w:p w14:paraId="5FCED7AA"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trPr>
          <w:trHeight w:hRule="exact" w:val="2268"/>
        </w:trPr>
        <w:tc>
          <w:tcPr>
            <w:tcW w:w="737" w:type="dxa"/>
            <w:vMerge/>
            <w:tcBorders>
              <w:top w:val="nil"/>
              <w:left w:val="nil"/>
              <w:bottom w:val="nil"/>
              <w:right w:val="nil"/>
            </w:tcBorders>
          </w:tcPr>
          <w:p w14:paraId="493403A9"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tcBorders>
              <w:top w:val="nil"/>
              <w:left w:val="nil"/>
              <w:bottom w:val="nil"/>
              <w:right w:val="nil"/>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0" w:type="dxa"/>
            <w:vMerge/>
            <w:tcBorders>
              <w:top w:val="nil"/>
              <w:left w:val="nil"/>
              <w:bottom w:val="nil"/>
              <w:right w:val="nil"/>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peut contourner les contrôles d'habilitation centralisés puisqu'ils ne sont pas utilisés de façon exhaustive pour toutes les interactions.</w:t>
            </w:r>
          </w:p>
        </w:tc>
        <w:tc>
          <w:tcPr>
            <w:tcW w:w="849" w:type="dxa"/>
            <w:vMerge/>
            <w:tcBorders>
              <w:top w:val="nil"/>
              <w:left w:val="nil"/>
              <w:bottom w:val="nil"/>
              <w:right w:val="nil"/>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peut accéder à des informations sur la configuration de sécurité, ou des listes des contrôles d'accès</w:t>
            </w:r>
          </w:p>
        </w:tc>
      </w:tr>
      <w:tr w:rsidR="00C05C16" w14:paraId="27194C17" w14:textId="77777777">
        <w:trPr>
          <w:trHeight w:hRule="exact" w:val="2041"/>
        </w:trPr>
        <w:tc>
          <w:tcPr>
            <w:tcW w:w="737" w:type="dxa"/>
            <w:vMerge/>
            <w:tcBorders>
              <w:top w:val="nil"/>
              <w:left w:val="nil"/>
              <w:bottom w:val="nil"/>
              <w:right w:val="nil"/>
            </w:tcBorders>
          </w:tcPr>
          <w:p w14:paraId="4A8A79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1088E128"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7FF056F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peut injecter une commande que l'application exécutera avec un niveau de privilège plus élevé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peut influencer ou altérer les contrôles d'habilitations et les permissions,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7FC7E88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3BEDFD7"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3E1050A"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6BC6093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1EA0C7C2"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6738B5FD" w14:textId="77777777" w:rsidR="00C05C16" w:rsidRDefault="00C05C16">
            <w:pPr>
              <w:rPr>
                <w:rFonts w:ascii="Garamond" w:hAnsi="Garamond"/>
                <w:sz w:val="12"/>
                <w:szCs w:val="12"/>
              </w:rPr>
            </w:pPr>
          </w:p>
        </w:tc>
      </w:tr>
      <w:tr w:rsidR="00C05C16" w14:paraId="04DF9543" w14:textId="77777777">
        <w:trPr>
          <w:trHeight w:hRule="exact" w:val="737"/>
        </w:trPr>
        <w:tc>
          <w:tcPr>
            <w:tcW w:w="737" w:type="dxa"/>
            <w:vMerge/>
            <w:tcBorders>
              <w:top w:val="nil"/>
              <w:left w:val="nil"/>
              <w:bottom w:val="nil"/>
              <w:right w:val="nil"/>
            </w:tcBorders>
          </w:tcPr>
          <w:p w14:paraId="7C5CCCC5"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nil"/>
              <w:left w:val="nil"/>
              <w:bottom w:val="nil"/>
              <w:right w:val="nil"/>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trPr>
          <w:trHeight w:hRule="exact" w:val="2268"/>
        </w:trPr>
        <w:tc>
          <w:tcPr>
            <w:tcW w:w="737" w:type="dxa"/>
            <w:vMerge/>
            <w:tcBorders>
              <w:top w:val="nil"/>
              <w:left w:val="nil"/>
              <w:bottom w:val="nil"/>
              <w:right w:val="nil"/>
            </w:tcBorders>
          </w:tcPr>
          <w:p w14:paraId="106DD9CC"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Vous avez inventé une nouvelle attaque contre la Cryptographie</w:t>
            </w:r>
          </w:p>
        </w:tc>
        <w:tc>
          <w:tcPr>
            <w:tcW w:w="851" w:type="dxa"/>
            <w:vMerge/>
            <w:tcBorders>
              <w:top w:val="nil"/>
              <w:left w:val="nil"/>
              <w:bottom w:val="nil"/>
              <w:right w:val="nil"/>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peut accéder aux données parce qu'elles ont été obfusquées au lieu d'être protégées par une fonction de cryptographie approuvée</w:t>
            </w:r>
          </w:p>
        </w:tc>
        <w:tc>
          <w:tcPr>
            <w:tcW w:w="849" w:type="dxa"/>
            <w:vMerge/>
            <w:tcBorders>
              <w:top w:val="nil"/>
              <w:left w:val="nil"/>
              <w:bottom w:val="nil"/>
              <w:right w:val="nil"/>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05C16" w14:paraId="53CC6118" w14:textId="77777777">
        <w:trPr>
          <w:trHeight w:hRule="exact" w:val="2041"/>
        </w:trPr>
        <w:tc>
          <w:tcPr>
            <w:tcW w:w="737" w:type="dxa"/>
            <w:vMerge/>
            <w:tcBorders>
              <w:top w:val="nil"/>
              <w:left w:val="nil"/>
              <w:bottom w:val="nil"/>
              <w:right w:val="nil"/>
            </w:tcBorders>
          </w:tcPr>
          <w:p w14:paraId="54DBC626"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
        </w:tc>
        <w:tc>
          <w:tcPr>
            <w:tcW w:w="851" w:type="dxa"/>
            <w:vMerge/>
            <w:tcBorders>
              <w:top w:val="nil"/>
              <w:left w:val="nil"/>
              <w:bottom w:val="nil"/>
              <w:right w:val="nil"/>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6081CFF3"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62B5AEB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6A80F74"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peut accéder aux données en transit qui ne sont pas chiffrées, même si le canal de communication est chiffré</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peut contourner les contrôles cryptographiques car ils n'échouent pas de façon sécurisée (c'est-à-dire qu'ils reviennent à leur état non protégé par défaut)</w:t>
            </w: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05C16" w14:paraId="1FCDAEDD"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0E33E93D"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tc>
          <w:tcPr>
            <w:tcW w:w="737" w:type="dxa"/>
            <w:vMerge w:val="restart"/>
            <w:tcBorders>
              <w:top w:val="nil"/>
              <w:left w:val="nil"/>
              <w:bottom w:val="nil"/>
              <w:right w:val="nil"/>
            </w:tcBorders>
          </w:tcPr>
          <w:p w14:paraId="551C0F13"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7EC2C2EF"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48F9DD08"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2C213509"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D3CBDE"/>
          </w:tcPr>
          <w:p w14:paraId="3CE2EBAB" w14:textId="77777777" w:rsidR="00C05C16" w:rsidRDefault="00C05C16">
            <w:pPr>
              <w:rPr>
                <w:rFonts w:ascii="Garamond" w:hAnsi="Garamond"/>
                <w:sz w:val="12"/>
                <w:szCs w:val="12"/>
              </w:rPr>
            </w:pPr>
          </w:p>
        </w:tc>
      </w:tr>
      <w:tr w:rsidR="00C05C16" w14:paraId="1C1EDE57" w14:textId="77777777">
        <w:trPr>
          <w:trHeight w:hRule="exact" w:val="737"/>
        </w:trPr>
        <w:tc>
          <w:tcPr>
            <w:tcW w:w="737" w:type="dxa"/>
            <w:vMerge/>
            <w:tcBorders>
              <w:top w:val="nil"/>
              <w:left w:val="nil"/>
              <w:bottom w:val="nil"/>
              <w:right w:val="nil"/>
            </w:tcBorders>
          </w:tcPr>
          <w:p w14:paraId="575297FB"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trPr>
          <w:trHeight w:hRule="exact" w:val="2268"/>
        </w:trPr>
        <w:tc>
          <w:tcPr>
            <w:tcW w:w="737" w:type="dxa"/>
            <w:vMerge/>
            <w:tcBorders>
              <w:top w:val="nil"/>
              <w:left w:val="nil"/>
              <w:bottom w:val="nil"/>
              <w:right w:val="nil"/>
            </w:tcBorders>
          </w:tcPr>
          <w:p w14:paraId="67446E95"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tcBorders>
              <w:top w:val="nil"/>
              <w:left w:val="nil"/>
              <w:bottom w:val="nil"/>
              <w:right w:val="nil"/>
            </w:tcBorders>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0" w:type="dxa"/>
            <w:vMerge/>
            <w:tcBorders>
              <w:top w:val="nil"/>
              <w:left w:val="nil"/>
              <w:bottom w:val="nil"/>
              <w:right w:val="nil"/>
            </w:tcBorders>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p>
        </w:tc>
        <w:tc>
          <w:tcPr>
            <w:tcW w:w="849" w:type="dxa"/>
            <w:vMerge/>
            <w:tcBorders>
              <w:top w:val="nil"/>
              <w:left w:val="nil"/>
              <w:bottom w:val="nil"/>
              <w:right w:val="nil"/>
            </w:tcBorders>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05C16" w14:paraId="4E278FC7" w14:textId="77777777">
        <w:trPr>
          <w:trHeight w:hRule="exact" w:val="2041"/>
        </w:trPr>
        <w:tc>
          <w:tcPr>
            <w:tcW w:w="737" w:type="dxa"/>
            <w:vMerge/>
            <w:tcBorders>
              <w:top w:val="nil"/>
              <w:left w:val="nil"/>
              <w:bottom w:val="nil"/>
              <w:right w:val="nil"/>
            </w:tcBorders>
          </w:tcPr>
          <w:p w14:paraId="6E504911"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EC3928B"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08AC1B7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peut accéder ou prédire les secrets cryptographiques maîtres</w:t>
            </w: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peut influencer ou altérer le code/les routines de cryptographie (chiffrement, hachage, signatures numériques, nombre aléatoire et génération de GUID) et peut ainsi les contourner</w:t>
            </w: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r>
      <w:tr w:rsidR="00C05C16" w14:paraId="05D05FA6"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1BCDCC1C"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nil"/>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1D0923A7"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AC51A56"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53BEA910"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tcPr>
          <w:p w14:paraId="4EA3BF47" w14:textId="77777777" w:rsidR="00C05C16" w:rsidRDefault="00C05C16">
            <w:pPr>
              <w:rPr>
                <w:rFonts w:ascii="Garamond" w:hAnsi="Garamond"/>
                <w:sz w:val="12"/>
                <w:szCs w:val="12"/>
              </w:rPr>
            </w:pPr>
          </w:p>
        </w:tc>
      </w:tr>
      <w:tr w:rsidR="00C05C16" w14:paraId="3A38C884" w14:textId="77777777">
        <w:trPr>
          <w:trHeight w:hRule="exact" w:val="737"/>
        </w:trPr>
        <w:tc>
          <w:tcPr>
            <w:tcW w:w="737" w:type="dxa"/>
            <w:vMerge/>
            <w:tcBorders>
              <w:top w:val="nil"/>
              <w:left w:val="nil"/>
              <w:bottom w:val="nil"/>
              <w:right w:val="nil"/>
            </w:tcBorders>
          </w:tcPr>
          <w:p w14:paraId="139B8F58"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trPr>
          <w:trHeight w:hRule="exact" w:val="2268"/>
        </w:trPr>
        <w:tc>
          <w:tcPr>
            <w:tcW w:w="737" w:type="dxa"/>
            <w:vMerge/>
            <w:tcBorders>
              <w:top w:val="nil"/>
              <w:left w:val="nil"/>
              <w:bottom w:val="nil"/>
              <w:right w:val="nil"/>
            </w:tcBorders>
          </w:tcPr>
          <w:p w14:paraId="2F714AC4"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Vous avez inventé une nouvelle attaque de n'importe quel type</w:t>
            </w:r>
          </w:p>
        </w:tc>
        <w:tc>
          <w:tcPr>
            <w:tcW w:w="851" w:type="dxa"/>
            <w:vMerge/>
            <w:tcBorders>
              <w:top w:val="nil"/>
              <w:left w:val="nil"/>
              <w:bottom w:val="nil"/>
              <w:right w:val="nil"/>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(Pas de Carte)</w:t>
            </w:r>
          </w:p>
        </w:tc>
        <w:tc>
          <w:tcPr>
            <w:tcW w:w="850" w:type="dxa"/>
            <w:vMerge/>
            <w:tcBorders>
              <w:top w:val="nil"/>
              <w:left w:val="nil"/>
              <w:bottom w:val="nil"/>
              <w:right w:val="nil"/>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49" w:type="dxa"/>
            <w:vMerge/>
            <w:tcBorders>
              <w:top w:val="nil"/>
              <w:left w:val="nil"/>
              <w:bottom w:val="nil"/>
              <w:right w:val="nil"/>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peut accéder au code source, ou décompiler, ou accéder à la logique métier pour comprendre le fonctionnement de l'application et les secrets qu'elle contient</w:t>
            </w:r>
          </w:p>
        </w:tc>
      </w:tr>
      <w:tr w:rsidR="00C05C16" w14:paraId="35B40742" w14:textId="77777777">
        <w:trPr>
          <w:trHeight w:hRule="exact" w:val="2041"/>
        </w:trPr>
        <w:tc>
          <w:tcPr>
            <w:tcW w:w="737" w:type="dxa"/>
            <w:vMerge/>
            <w:tcBorders>
              <w:top w:val="nil"/>
              <w:left w:val="nil"/>
              <w:bottom w:val="nil"/>
              <w:right w:val="nil"/>
            </w:tcBorders>
          </w:tcPr>
          <w:p w14:paraId="4CED7C6B"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
        </w:tc>
        <w:tc>
          <w:tcPr>
            <w:tcW w:w="851" w:type="dxa"/>
            <w:vMerge/>
            <w:tcBorders>
              <w:top w:val="nil"/>
              <w:left w:val="nil"/>
              <w:bottom w:val="nil"/>
              <w:right w:val="nil"/>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p w14:paraId="514B4F8D" w14:textId="77777777" w:rsidR="00C05C16" w:rsidRDefault="00C05C16">
            <w:pPr>
              <w:rPr>
                <w:rFonts w:ascii="Garamond" w:hAnsi="Garamond"/>
                <w:sz w:val="20"/>
                <w:szCs w:val="20"/>
              </w:rPr>
            </w:pPr>
          </w:p>
        </w:tc>
        <w:tc>
          <w:tcPr>
            <w:tcW w:w="850" w:type="dxa"/>
            <w:vMerge/>
            <w:tcBorders>
              <w:top w:val="nil"/>
              <w:left w:val="nil"/>
              <w:bottom w:val="nil"/>
              <w:right w:val="nil"/>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56873183"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4E8E0B0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peut effectuer une action et il n'est pas possible de la lui attribuer.</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C05C16" w14:paraId="7BC63CBA"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377BD2DE"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nil"/>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0F69179" w14:textId="77777777" w:rsidR="00C05C16" w:rsidRDefault="00C05C16">
            <w:pPr>
              <w:rPr>
                <w:rFonts w:ascii="Garamond" w:hAnsi="Garamond"/>
                <w:sz w:val="12"/>
                <w:szCs w:val="12"/>
              </w:rPr>
            </w:pPr>
          </w:p>
        </w:tc>
        <w:tc>
          <w:tcPr>
            <w:tcW w:w="851" w:type="dxa"/>
            <w:tcBorders>
              <w:top w:val="nil"/>
              <w:left w:val="nil"/>
              <w:bottom w:val="nil"/>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nil"/>
              <w:right w:val="nil"/>
            </w:tcBorders>
          </w:tcPr>
          <w:p w14:paraId="34C434C7" w14:textId="77777777" w:rsidR="00C05C16" w:rsidRDefault="00C05C16">
            <w:pPr>
              <w:rPr>
                <w:rFonts w:ascii="Garamond" w:hAnsi="Garamond"/>
                <w:sz w:val="12"/>
                <w:szCs w:val="12"/>
              </w:rPr>
            </w:pPr>
          </w:p>
        </w:tc>
        <w:tc>
          <w:tcPr>
            <w:tcW w:w="850" w:type="dxa"/>
            <w:tcBorders>
              <w:top w:val="nil"/>
              <w:left w:val="nil"/>
              <w:bottom w:val="nil"/>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nil"/>
              <w:right w:val="nil"/>
            </w:tcBorders>
          </w:tcPr>
          <w:p w14:paraId="63CA772D" w14:textId="77777777" w:rsidR="00C05C16" w:rsidRDefault="00C05C16">
            <w:pPr>
              <w:rPr>
                <w:rFonts w:ascii="Garamond" w:hAnsi="Garamond"/>
                <w:sz w:val="12"/>
                <w:szCs w:val="12"/>
              </w:rPr>
            </w:pPr>
          </w:p>
        </w:tc>
        <w:tc>
          <w:tcPr>
            <w:tcW w:w="849" w:type="dxa"/>
            <w:tcBorders>
              <w:top w:val="nil"/>
              <w:left w:val="nil"/>
              <w:bottom w:val="nil"/>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nil"/>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trPr>
          <w:trHeight w:hRule="exact" w:val="737"/>
        </w:trPr>
        <w:tc>
          <w:tcPr>
            <w:tcW w:w="737" w:type="dxa"/>
            <w:vMerge/>
            <w:tcBorders>
              <w:top w:val="nil"/>
              <w:left w:val="nil"/>
              <w:bottom w:val="nil"/>
              <w:right w:val="nil"/>
            </w:tcBorders>
          </w:tcPr>
          <w:p w14:paraId="49951C7F" w14:textId="77777777" w:rsidR="00C05C16" w:rsidRDefault="00C05C16">
            <w:pPr>
              <w:rPr>
                <w:rFonts w:ascii="Garamond" w:hAnsi="Garamond"/>
                <w:sz w:val="20"/>
                <w:szCs w:val="20"/>
              </w:rPr>
            </w:pPr>
          </w:p>
        </w:tc>
        <w:tc>
          <w:tcPr>
            <w:tcW w:w="793" w:type="dxa"/>
            <w:vMerge w:val="restart"/>
            <w:tcBorders>
              <w:top w:val="nil"/>
              <w:left w:val="nil"/>
              <w:bottom w:val="nil"/>
              <w:right w:val="nil"/>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trPr>
          <w:trHeight w:hRule="exact" w:val="2268"/>
        </w:trPr>
        <w:tc>
          <w:tcPr>
            <w:tcW w:w="737" w:type="dxa"/>
            <w:vMerge/>
            <w:tcBorders>
              <w:top w:val="nil"/>
              <w:left w:val="nil"/>
              <w:bottom w:val="nil"/>
              <w:right w:val="nil"/>
            </w:tcBorders>
          </w:tcPr>
          <w:p w14:paraId="5829BBCA"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tcBorders>
              <w:top w:val="nil"/>
              <w:left w:val="nil"/>
              <w:bottom w:val="nil"/>
              <w:right w:val="nil"/>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peut contourner l'application pour accéder aux données car les outils ou les interfaces d'administration ne sont pas sécurisés de manière adéquate</w:t>
            </w:r>
          </w:p>
        </w:tc>
        <w:tc>
          <w:tcPr>
            <w:tcW w:w="850" w:type="dxa"/>
            <w:vMerge/>
            <w:tcBorders>
              <w:top w:val="nil"/>
              <w:left w:val="nil"/>
              <w:bottom w:val="nil"/>
              <w:right w:val="nil"/>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nil"/>
              <w:left w:val="nil"/>
              <w:bottom w:val="nil"/>
              <w:right w:val="nil"/>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p>
        </w:tc>
        <w:tc>
          <w:tcPr>
            <w:tcW w:w="849" w:type="dxa"/>
            <w:vMerge/>
            <w:tcBorders>
              <w:top w:val="nil"/>
              <w:left w:val="nil"/>
              <w:bottom w:val="nil"/>
              <w:right w:val="nil"/>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nil"/>
              <w:left w:val="nil"/>
              <w:bottom w:val="nil"/>
              <w:right w:val="nil"/>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p>
        </w:tc>
      </w:tr>
      <w:tr w:rsidR="00C05C16" w14:paraId="420E0771" w14:textId="77777777">
        <w:trPr>
          <w:trHeight w:hRule="exact" w:val="2041"/>
        </w:trPr>
        <w:tc>
          <w:tcPr>
            <w:tcW w:w="737" w:type="dxa"/>
            <w:vMerge/>
            <w:tcBorders>
              <w:top w:val="nil"/>
              <w:left w:val="nil"/>
              <w:bottom w:val="nil"/>
              <w:right w:val="nil"/>
            </w:tcBorders>
          </w:tcPr>
          <w:p w14:paraId="4359E4FF" w14:textId="77777777" w:rsidR="00C05C16" w:rsidRDefault="00C05C16">
            <w:pPr>
              <w:rPr>
                <w:rFonts w:ascii="Garamond" w:hAnsi="Garamond"/>
                <w:sz w:val="20"/>
                <w:szCs w:val="20"/>
              </w:rPr>
            </w:pPr>
          </w:p>
        </w:tc>
        <w:tc>
          <w:tcPr>
            <w:tcW w:w="793" w:type="dxa"/>
            <w:vMerge/>
            <w:tcBorders>
              <w:top w:val="nil"/>
              <w:left w:val="nil"/>
              <w:bottom w:val="nil"/>
              <w:right w:val="nil"/>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nil"/>
              <w:left w:val="nil"/>
              <w:bottom w:val="nil"/>
              <w:right w:val="nil"/>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trPr>
          <w:trHeight w:hRule="exact" w:val="737"/>
        </w:trPr>
        <w:tc>
          <w:tcPr>
            <w:tcW w:w="737" w:type="dxa"/>
            <w:vMerge/>
            <w:tcBorders>
              <w:top w:val="single" w:sz="4" w:space="0" w:color="000000"/>
              <w:left w:val="single" w:sz="4" w:space="0" w:color="000000"/>
              <w:bottom w:val="single" w:sz="4" w:space="0" w:color="000000"/>
              <w:right w:val="single" w:sz="4" w:space="0" w:color="000000"/>
            </w:tcBorders>
          </w:tcPr>
          <w:p w14:paraId="2F40552A" w14:textId="77777777" w:rsidR="00C05C16" w:rsidRDefault="00C05C16">
            <w:pPr>
              <w:rPr>
                <w:rFonts w:ascii="Garamond" w:hAnsi="Garamond"/>
                <w:sz w:val="20"/>
                <w:szCs w:val="20"/>
              </w:rPr>
            </w:pPr>
          </w:p>
        </w:tc>
        <w:tc>
          <w:tcPr>
            <w:tcW w:w="793"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
        </w:tc>
      </w:tr>
      <w:tr w:rsidR="00C05C16" w14:paraId="639F6FC6" w14:textId="77777777">
        <w:trPr>
          <w:trHeight w:hRule="exact" w:val="2268"/>
        </w:trPr>
        <w:tc>
          <w:tcPr>
            <w:tcW w:w="737" w:type="dxa"/>
            <w:vMerge/>
            <w:tcBorders>
              <w:top w:val="single" w:sz="4" w:space="0" w:color="000000"/>
              <w:left w:val="single" w:sz="4" w:space="0" w:color="000000"/>
              <w:bottom w:val="single" w:sz="4" w:space="0" w:color="000000"/>
              <w:right w:val="single" w:sz="4" w:space="0" w:color="000000"/>
            </w:tcBorders>
          </w:tcPr>
          <w:p w14:paraId="21B67259"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peut entreprendre des actions malveillantes, non légitimes, sans détection et réponse en temps réel par l'application</w:t>
            </w: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peut utiliser l'application pour refuser le service à certains ou à tous ses utilisateurs</w:t>
            </w: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peut utiliser l'application pour attaquer les systèmes et les données des utilisateurs</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peut influencer, altérer ou affecter l'application de façon à ce qu'elle ne soit plus conforme aux exigences légales, réglementaires, contractuelles ou autres exigences de l'organisation</w:t>
            </w:r>
          </w:p>
        </w:tc>
      </w:tr>
      <w:tr w:rsidR="00C05C16" w14:paraId="62CC7F73" w14:textId="77777777">
        <w:trPr>
          <w:trHeight w:hRule="exact" w:val="2155"/>
        </w:trPr>
        <w:tc>
          <w:tcPr>
            <w:tcW w:w="737" w:type="dxa"/>
            <w:vMerge/>
            <w:tcBorders>
              <w:top w:val="single" w:sz="4" w:space="0" w:color="000000"/>
              <w:left w:val="single" w:sz="4" w:space="0" w:color="000000"/>
              <w:bottom w:val="single" w:sz="4" w:space="0" w:color="000000"/>
              <w:right w:val="single" w:sz="4" w:space="0" w:color="000000"/>
            </w:tcBorders>
          </w:tcPr>
          <w:p w14:paraId="768FE1FB" w14:textId="77777777" w:rsidR="00C05C16" w:rsidRDefault="00C05C16">
            <w:pPr>
              <w:rPr>
                <w:rFonts w:ascii="Garamond" w:hAnsi="Garamond"/>
                <w:sz w:val="20"/>
                <w:szCs w:val="20"/>
              </w:rPr>
            </w:pPr>
          </w:p>
        </w:tc>
        <w:tc>
          <w:tcPr>
            <w:tcW w:w="793"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000000"/>
              <w:left w:val="single" w:sz="4" w:space="0" w:color="000000"/>
              <w:bottom w:val="single" w:sz="4" w:space="0" w:color="000000"/>
              <w:right w:val="single" w:sz="4" w:space="0" w:color="000000"/>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000000"/>
              <w:left w:val="single" w:sz="4" w:space="0" w:color="000000"/>
              <w:bottom w:val="single" w:sz="4" w:space="0" w:color="000000"/>
              <w:right w:val="single" w:sz="4" w:space="0" w:color="000000"/>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
        </w:tc>
        <w:tc>
          <w:tcPr>
            <w:tcW w:w="849" w:type="dxa"/>
            <w:vMerge/>
            <w:tcBorders>
              <w:top w:val="single" w:sz="4" w:space="0" w:color="000000"/>
              <w:left w:val="single" w:sz="4" w:space="0" w:color="000000"/>
              <w:bottom w:val="single" w:sz="4" w:space="0" w:color="000000"/>
              <w:right w:val="single" w:sz="4" w:space="0" w:color="000000"/>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000000"/>
              <w:left w:val="single" w:sz="4" w:space="0" w:color="000000"/>
              <w:bottom w:val="single" w:sz="4" w:space="0" w:color="000000"/>
              <w:right w:val="single" w:sz="4" w:space="0" w:color="000000"/>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1"/>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Draft original.</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revu et mis à jour.</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annoncé à la liste de diffusion de l’OWASP SCP pour commentaire.</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Version initiale.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Références croisées mises à jour d'ASVS v3.0.1 vers ASVS v4.0 par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tc>
          <w:tcPr>
            <w:tcW w:w="7977" w:type="dxa"/>
            <w:tcBorders>
              <w:top w:val="nil"/>
              <w:left w:val="nil"/>
              <w:bottom w:val="nil"/>
              <w:right w:val="nil"/>
            </w:tcBorders>
          </w:tcPr>
          <w:p w14:paraId="36E95E41" w14:textId="77777777" w:rsidR="00C05C16" w:rsidRDefault="00000000">
            <w:pPr>
              <w:pStyle w:val="C-Head-Top"/>
              <w:pageBreakBefore/>
            </w:pPr>
            <w:r>
              <w:t>Contributeurs du projet</w:t>
            </w:r>
          </w:p>
          <w:p w14:paraId="31D1BF8D" w14:textId="77777777" w:rsidR="00C05C16" w:rsidRDefault="00000000">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p>
          <w:p w14:paraId="56AE5931" w14:textId="77777777" w:rsidR="00C05C16" w:rsidRDefault="00000000">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p>
          <w:p w14:paraId="79A085E3" w14:textId="77777777" w:rsidR="00C05C16" w:rsidRDefault="00000000">
            <w:pPr>
              <w:pStyle w:val="C-Head-Top"/>
              <w:rPr>
                <w:b w:val="0"/>
                <w:sz w:val="20"/>
                <w:szCs w:val="20"/>
              </w:rPr>
            </w:pPr>
            <w:r>
              <w:rPr>
                <w:b w:val="0"/>
                <w:sz w:val="20"/>
                <w:szCs w:val="20"/>
              </w:rPr>
              <w:t>Sans tous leurs efforts, le projet n’aurait pas progressé jusqu’à ce point.</w:t>
            </w:r>
          </w:p>
          <w:p w14:paraId="1E3D548C" w14:textId="77777777" w:rsidR="00C05C16" w:rsidRDefault="00000000">
            <w:pPr>
              <w:pStyle w:val="C-Head-Top"/>
              <w:rPr>
                <w:b w:val="0"/>
                <w:sz w:val="20"/>
                <w:szCs w:val="20"/>
              </w:rPr>
            </w:pPr>
            <w:r>
              <w:rPr>
                <w:b w:val="0"/>
                <w:sz w:val="20"/>
                <w:szCs w:val="20"/>
              </w:rPr>
              <w:t>Veuillez contacter la liste de diffusion ou les chefs du projet directement, s’il manque quelqu’un dans les listes ci-dessous.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Sebastien Gioria</w:t>
                  </w:r>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Tobias Gondrom</w:t>
                  </w:r>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John Herrlin</w:t>
                  </w:r>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Marios Kourtesis</w:t>
                  </w:r>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Antonis Manaras</w:t>
                  </w:r>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Jim Manico</w:t>
                  </w:r>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Susana Romaniz</w:t>
                  </w:r>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4C052557" w14:textId="77777777" w:rsidR="00C05C16" w:rsidRDefault="00000000">
                  <w:pPr>
                    <w:pStyle w:val="C-Head-Top"/>
                    <w:numPr>
                      <w:ilvl w:val="0"/>
                      <w:numId w:val="4"/>
                    </w:numPr>
                    <w:ind w:left="494" w:hanging="357"/>
                    <w:rPr>
                      <w:b w:val="0"/>
                      <w:sz w:val="20"/>
                      <w:szCs w:val="20"/>
                    </w:rPr>
                  </w:pPr>
                  <w:r>
                    <w:rPr>
                      <w:b w:val="0"/>
                      <w:sz w:val="20"/>
                      <w:szCs w:val="20"/>
                    </w:rPr>
                    <w:t>Colin Watson</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•Les employés de l’OWASP travaillant dur, en particulier Kate Hartmann</w:t>
            </w:r>
          </w:p>
          <w:p w14:paraId="3EB6B2AD" w14:textId="77777777" w:rsidR="00C05C16" w:rsidRDefault="00000000">
            <w:pPr>
              <w:pStyle w:val="C-Head-Top"/>
              <w:numPr>
                <w:ilvl w:val="0"/>
                <w:numId w:val="5"/>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F167B3" w14:textId="77777777" w:rsidR="00C05C16" w:rsidRDefault="00000000">
            <w:pPr>
              <w:pStyle w:val="C-Head-Top"/>
              <w:numPr>
                <w:ilvl w:val="0"/>
                <w:numId w:val="5"/>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2523F121" w14:textId="77777777" w:rsidR="00C05C16" w:rsidRDefault="00000000">
            <w:pPr>
              <w:pStyle w:val="C-Head-Top"/>
              <w:numPr>
                <w:ilvl w:val="0"/>
                <w:numId w:val="5"/>
              </w:numPr>
              <w:rPr>
                <w:b w:val="0"/>
                <w:sz w:val="20"/>
                <w:szCs w:val="20"/>
              </w:rPr>
            </w:pPr>
            <w:r>
              <w:rPr>
                <w:b w:val="0"/>
                <w:sz w:val="20"/>
                <w:szCs w:val="20"/>
              </w:rPr>
              <w:t>•OWASP NYC pour la création d’un design de boîte OWASP et la distribution de packs à AppSec USA 2014.</w:t>
            </w:r>
          </w:p>
          <w:p w14:paraId="6EE6542E" w14:textId="77777777" w:rsidR="00C05C16" w:rsidRDefault="00000000">
            <w:pPr>
              <w:pStyle w:val="C-Head-Middle"/>
            </w:pPr>
            <w:r>
              <w:t>Podcasts et vidéos</w:t>
            </w:r>
          </w:p>
          <w:p w14:paraId="15386DB6" w14:textId="77777777" w:rsidR="00C05C16" w:rsidRDefault="00000000">
            <w:pPr>
              <w:rPr>
                <w:rFonts w:ascii="Garamond" w:hAnsi="Garamond"/>
                <w:sz w:val="20"/>
                <w:szCs w:val="20"/>
              </w:rPr>
            </w:pPr>
            <w:r>
              <w:rPr>
                <w:rFonts w:ascii="Garamond" w:hAnsi="Garamond"/>
                <w:sz w:val="20"/>
                <w:szCs w:val="20"/>
              </w:rPr>
              <w:t>Les ressources suivantes de l’OWASP Cornucopia sont disponibles en ligne: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 Using the cards, créée lors du sommet AppSec EU 2015 project, 20 mai 2015</w:t>
            </w:r>
            <w:r>
              <w:rPr>
                <w:b w:val="0"/>
                <w:sz w:val="20"/>
                <w:szCs w:val="20"/>
              </w:rPr>
              <w:br/>
            </w:r>
            <w:hyperlink r:id="rId22">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Interview Podcast, OWASP 24/7 Podcast channel, 21 mars 2014</w:t>
            </w:r>
            <w:r>
              <w:rPr>
                <w:b w:val="0"/>
                <w:sz w:val="20"/>
                <w:szCs w:val="20"/>
              </w:rPr>
              <w:br/>
            </w:r>
            <w:hyperlink r:id="rId23">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Vidéo de présentation, lors de l’OWASP EU Tour 2013 London, 3 juin 2013</w:t>
            </w:r>
            <w:r>
              <w:rPr>
                <w:b w:val="0"/>
                <w:sz w:val="20"/>
                <w:szCs w:val="20"/>
              </w:rPr>
              <w:br/>
            </w:r>
            <w:hyperlink r:id="rId24">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Visitez le site web du projet pour de plus amples informations et des documents de présentation.</w:t>
            </w:r>
          </w:p>
        </w:tc>
        <w:tc>
          <w:tcPr>
            <w:tcW w:w="7376" w:type="dxa"/>
            <w:tcBorders>
              <w:top w:val="single" w:sz="4" w:space="0" w:color="000000"/>
              <w:left w:val="single" w:sz="4" w:space="0" w:color="000000"/>
              <w:bottom w:val="single" w:sz="4" w:space="0" w:color="000000"/>
              <w:right w:val="single" w:sz="4" w:space="0" w:color="000000"/>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5"/>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6"/>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467C" w14:textId="77777777" w:rsidR="0065701F" w:rsidRDefault="0065701F">
      <w:r>
        <w:separator/>
      </w:r>
    </w:p>
  </w:endnote>
  <w:endnote w:type="continuationSeparator" w:id="0">
    <w:p w14:paraId="5991776B" w14:textId="77777777" w:rsidR="0065701F" w:rsidRDefault="00657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F0AA9" w14:textId="77777777" w:rsidR="0065701F" w:rsidRDefault="0065701F">
      <w:r>
        <w:separator/>
      </w:r>
    </w:p>
  </w:footnote>
  <w:footnote w:type="continuationSeparator" w:id="0">
    <w:p w14:paraId="20156C1D" w14:textId="77777777" w:rsidR="0065701F" w:rsidRDefault="006570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4A70BF"/>
    <w:rsid w:val="0065701F"/>
    <w:rsid w:val="008F298A"/>
    <w:rsid w:val="00A346AE"/>
    <w:rsid w:val="00C05C1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20</Pages>
  <Words>4324</Words>
  <Characters>24652</Characters>
  <Application>Microsoft Office Word</Application>
  <DocSecurity>0</DocSecurity>
  <Lines>205</Lines>
  <Paragraphs>57</Paragraphs>
  <ScaleCrop>false</ScaleCrop>
  <Company>OWASP</Company>
  <LinksUpToDate>false</LinksUpToDate>
  <CharactersWithSpaces>28919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113</cp:revision>
  <cp:lastPrinted>2015-03-31T16:57:00Z</cp:lastPrinted>
  <dcterms:created xsi:type="dcterms:W3CDTF">2016-06-29T14:34:00Z</dcterms:created>
  <dcterms:modified xsi:type="dcterms:W3CDTF">2024-01-05T12:54:00Z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