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Garamond" w:hAnsi="Garamond"/>
          <w:sz w:val="20"/>
          <w:szCs w:val="20"/>
        </w:rPr>
      </w:pPr>
      <w:r>
        <w:rPr>
          <w:rFonts w:ascii="Garamond" w:hAnsi="Garamond"/>
          <w:sz w:val="20"/>
          <w:szCs w:val="20"/>
        </w:rPr>
      </w:r>
    </w:p>
    <w:tbl>
      <w:tblPr>
        <w:tblStyle w:val="TableGrid"/>
        <w:tblW w:w="15354" w:type="dxa"/>
        <w:jc w:val="left"/>
        <w:tblInd w:w="0" w:type="dxa"/>
        <w:tblCellMar>
          <w:top w:w="0" w:type="dxa"/>
          <w:left w:w="108" w:type="dxa"/>
          <w:bottom w:w="0" w:type="dxa"/>
          <w:right w:w="108" w:type="dxa"/>
        </w:tblCellMar>
        <w:tblLook w:val="04a0" w:noHBand="0" w:noVBand="1" w:firstColumn="1" w:lastRow="0" w:lastColumn="0" w:firstRow="1"/>
      </w:tblPr>
      <w:tblGrid>
        <w:gridCol w:w="7477"/>
        <w:gridCol w:w="548"/>
        <w:gridCol w:w="7329"/>
      </w:tblGrid>
      <w:tr>
        <w:trPr/>
        <w:tc>
          <w:tcPr>
            <w:tcW w:w="8025" w:type="dxa"/>
            <w:gridSpan w:val="2"/>
            <w:tcBorders>
              <w:top w:val="nil"/>
              <w:left w:val="nil"/>
              <w:bottom w:val="nil"/>
              <w:right w:val="nil"/>
            </w:tcBorders>
          </w:tcPr>
          <w:p>
            <w:pPr>
              <w:pStyle w:val="Normal"/>
              <w:jc w:val="center"/>
              <w:rPr>
                <w:rFonts w:ascii="Garamond" w:hAnsi="Garamond"/>
                <w:sz w:val="20"/>
                <w:szCs w:val="20"/>
              </w:rPr>
            </w:pPr>
            <w:r>
              <w:rPr/>
              <w:drawing>
                <wp:inline distT="0" distB="0" distL="0" distR="0">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2"/>
                          <a:stretch>
                            <a:fillRect/>
                          </a:stretch>
                        </pic:blipFill>
                        <pic:spPr bwMode="auto">
                          <a:xfrm>
                            <a:off x="0" y="0"/>
                            <a:ext cx="2717800" cy="673100"/>
                          </a:xfrm>
                          <a:prstGeom prst="rect">
                            <a:avLst/>
                          </a:prstGeom>
                        </pic:spPr>
                      </pic:pic>
                    </a:graphicData>
                  </a:graphic>
                </wp:inline>
              </w:drawing>
            </w:r>
          </w:p>
          <w:p>
            <w:pPr>
              <w:pStyle w:val="Normal"/>
              <w:spacing w:before="0" w:after="120"/>
              <w:rPr>
                <w:rFonts w:ascii="Garamond" w:hAnsi="Garamond"/>
                <w:sz w:val="20"/>
                <w:szCs w:val="20"/>
              </w:rPr>
            </w:pPr>
            <w:r>
              <w:rPr>
                <w:rFonts w:ascii="Garamond" w:hAnsi="Garamond"/>
                <w:sz w:val="20"/>
                <w:szCs w:val="20"/>
              </w:rPr>
            </w:r>
          </w:p>
          <w:p>
            <w:pPr>
              <w:pStyle w:val="Normal"/>
              <w:jc w:val="center"/>
              <w:rPr>
                <w:rFonts w:ascii="Garamond" w:hAnsi="Garamond"/>
                <w:b/>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pPr>
              <w:pStyle w:val="Normal"/>
              <w:jc w:val="center"/>
              <w:rPr>
                <w:rFonts w:ascii="Garamond" w:hAnsi="Garamond"/>
                <w:b/>
                <w:b/>
                <w:color w:val="000090"/>
                <w:sz w:val="32"/>
                <w:szCs w:val="32"/>
              </w:rPr>
            </w:pPr>
            <w:r>
              <w:rPr>
                <w:rFonts w:ascii="Garamond" w:hAnsi="Garamond"/>
                <w:b/>
                <w:color w:val="000090"/>
                <w:sz w:val="32"/>
                <w:szCs w:val="32"/>
              </w:rPr>
              <w:t>${Common_Title}</w:t>
            </w:r>
          </w:p>
          <w:p>
            <w:pPr>
              <w:pStyle w:val="Normal"/>
              <w:jc w:val="center"/>
              <w:rPr>
                <w:rFonts w:ascii="Garamond" w:hAnsi="Garamond"/>
                <w:sz w:val="20"/>
                <w:szCs w:val="20"/>
              </w:rPr>
            </w:pPr>
            <w:r>
              <w:rPr>
                <w:rFonts w:ascii="Garamond" w:hAnsi="Garamond"/>
                <w:sz w:val="20"/>
                <w:szCs w:val="20"/>
              </w:rPr>
            </w:r>
          </w:p>
          <w:p>
            <w:pPr>
              <w:pStyle w:val="Normal"/>
              <w:ind w:left="720" w:right="567" w:hanging="0"/>
              <w:jc w:val="both"/>
              <w:rPr>
                <w:rFonts w:ascii="Garamond" w:hAnsi="Garamond"/>
                <w:sz w:val="20"/>
                <w:szCs w:val="20"/>
              </w:rPr>
            </w:pPr>
            <w:r>
              <w:rPr>
                <w:rFonts w:ascii="Garamond" w:hAnsi="Garamond"/>
                <w:sz w:val="20"/>
                <w:szCs w:val="20"/>
              </w:rPr>
              <w:t>${Common_T00010}</w:t>
            </w:r>
          </w:p>
          <w:p>
            <w:pPr>
              <w:pStyle w:val="Normal"/>
              <w:spacing w:before="120" w:after="20"/>
              <w:jc w:val="center"/>
              <w:rPr>
                <w:rFonts w:ascii="Garamond" w:hAnsi="Garamond" w:eastAsia="ＭＳ ゴシック" w:cs="" w:cstheme="majorBidi" w:eastAsiaTheme="majorEastAsia"/>
                <w:b/>
                <w:b/>
                <w:bCs/>
                <w:color w:val="4F81BD" w:themeColor="accent1"/>
                <w:sz w:val="18"/>
                <w:szCs w:val="18"/>
              </w:rPr>
            </w:pPr>
            <w:r>
              <w:rPr>
                <w:rFonts w:ascii="Garamond" w:hAnsi="Garamond"/>
                <w:sz w:val="18"/>
                <w:szCs w:val="18"/>
              </w:rPr>
              <w:t>${Common_T00020}</w:t>
            </w:r>
          </w:p>
          <w:p>
            <w:pPr>
              <w:pStyle w:val="Normal"/>
              <w:spacing w:before="0" w:after="120"/>
              <w:jc w:val="center"/>
              <w:rPr>
                <w:rFonts w:ascii="Garamond" w:hAnsi="Garamond"/>
                <w:sz w:val="20"/>
                <w:szCs w:val="20"/>
              </w:rPr>
            </w:pPr>
            <w:r>
              <w:rPr>
                <w:rFonts w:ascii="Garamond" w:hAnsi="Garamond"/>
                <w:sz w:val="20"/>
                <w:szCs w:val="20"/>
              </w:rPr>
              <w:t>Colin Watson</w:t>
            </w:r>
          </w:p>
          <w:p>
            <w:pPr>
              <w:pStyle w:val="Normal"/>
              <w:spacing w:before="120" w:after="20"/>
              <w:jc w:val="center"/>
              <w:rPr>
                <w:rFonts w:ascii="Garamond" w:hAnsi="Garamond"/>
                <w:sz w:val="18"/>
                <w:szCs w:val="18"/>
              </w:rPr>
            </w:pPr>
            <w:r>
              <w:rPr>
                <w:rFonts w:ascii="Garamond" w:hAnsi="Garamond"/>
                <w:sz w:val="18"/>
                <w:szCs w:val="18"/>
              </w:rPr>
              <w:t xml:space="preserve">${Common_T00030} </w:t>
            </w:r>
          </w:p>
          <w:p>
            <w:pPr>
              <w:pStyle w:val="Normal"/>
              <w:spacing w:before="0" w:after="120"/>
              <w:jc w:val="center"/>
              <w:rPr>
                <w:rFonts w:ascii="Garamond" w:hAnsi="Garamond"/>
                <w:sz w:val="20"/>
                <w:szCs w:val="20"/>
              </w:rPr>
            </w:pPr>
            <w:r>
              <w:rPr>
                <w:rFonts w:ascii="Garamond" w:hAnsi="Garamond"/>
                <w:sz w:val="20"/>
                <w:szCs w:val="20"/>
              </w:rPr>
              <w:t>Colin Watson and Grant Ongers</w:t>
            </w:r>
          </w:p>
          <w:p>
            <w:pPr>
              <w:pStyle w:val="Normal"/>
              <w:spacing w:before="120" w:after="20"/>
              <w:jc w:val="center"/>
              <w:rPr>
                <w:rFonts w:ascii="Garamond" w:hAnsi="Garamond" w:eastAsia="ＭＳ ゴシック" w:cs="" w:cstheme="majorBidi" w:eastAsiaTheme="majorEastAsia"/>
                <w:b/>
                <w:b/>
                <w:bCs/>
                <w:color w:val="4F81BD" w:themeColor="accent1"/>
                <w:sz w:val="18"/>
                <w:szCs w:val="18"/>
              </w:rPr>
            </w:pPr>
            <w:r>
              <w:rPr>
                <w:rFonts w:ascii="Garamond" w:hAnsi="Garamond"/>
                <w:sz w:val="18"/>
                <w:szCs w:val="18"/>
              </w:rPr>
              <w:t>${Common_T00040}</w:t>
            </w:r>
          </w:p>
          <w:p>
            <w:pPr>
              <w:pStyle w:val="Normal"/>
              <w:spacing w:before="0" w:after="120"/>
              <w:jc w:val="center"/>
              <w:rPr>
                <w:rFonts w:ascii="Garamond" w:hAnsi="Garamond"/>
                <w:sz w:val="20"/>
                <w:szCs w:val="20"/>
              </w:rPr>
            </w:pPr>
            <w:r>
              <w:rPr>
                <w:rFonts w:ascii="Garamond" w:hAnsi="Garamond"/>
                <w:sz w:val="20"/>
                <w:szCs w:val="20"/>
              </w:rPr>
              <w:t>Tom Brennan, Johanna Curiel, Darío De Filippis and Timo Goosen</w:t>
            </w:r>
          </w:p>
          <w:p>
            <w:pPr>
              <w:pStyle w:val="Normal"/>
              <w:rPr>
                <w:rFonts w:ascii="Garamond" w:hAnsi="Garamond"/>
                <w:sz w:val="18"/>
                <w:szCs w:val="18"/>
              </w:rPr>
            </w:pPr>
            <w:r>
              <w:rPr>
                <w:rFonts w:ascii="Garamond" w:hAnsi="Garamond"/>
                <w:sz w:val="18"/>
                <w:szCs w:val="18"/>
              </w:rPr>
            </w:r>
          </w:p>
          <w:p>
            <w:pPr>
              <w:pStyle w:val="Normal"/>
              <w:jc w:val="center"/>
              <w:rPr>
                <w:rFonts w:ascii="Garamond" w:hAnsi="Garamond"/>
                <w:sz w:val="20"/>
                <w:szCs w:val="20"/>
              </w:rPr>
            </w:pPr>
            <w:r>
              <w:rPr>
                <w:rFonts w:ascii="Garamond" w:hAnsi="Garamond"/>
                <w:sz w:val="20"/>
                <w:szCs w:val="20"/>
              </w:rPr>
              <w:t>${Common_T00100}</w:t>
            </w:r>
          </w:p>
          <w:p>
            <w:pPr>
              <w:pStyle w:val="Normal"/>
              <w:rPr>
                <w:rFonts w:ascii="Garamond" w:hAnsi="Garamond"/>
                <w:sz w:val="18"/>
                <w:szCs w:val="18"/>
              </w:rPr>
            </w:pPr>
            <w:r>
              <w:rPr>
                <w:rFonts w:ascii="Garamond" w:hAnsi="Garamond"/>
                <w:sz w:val="18"/>
                <w:szCs w:val="18"/>
              </w:rPr>
              <w:t>${Common_T00110}</w:t>
            </w:r>
          </w:p>
          <w:p>
            <w:pPr>
              <w:pStyle w:val="Normal"/>
              <w:rPr>
                <w:rFonts w:ascii="Garamond" w:hAnsi="Garamond"/>
                <w:sz w:val="18"/>
                <w:szCs w:val="18"/>
              </w:rPr>
            </w:pPr>
            <w:r>
              <w:rPr>
                <w:rFonts w:ascii="Garamond" w:hAnsi="Garamond"/>
                <w:sz w:val="18"/>
                <w:szCs w:val="18"/>
              </w:rPr>
            </w:r>
          </w:p>
          <w:p>
            <w:pPr>
              <w:pStyle w:val="Normal"/>
              <w:rPr>
                <w:rFonts w:ascii="Garamond" w:hAnsi="Garamond"/>
                <w:sz w:val="18"/>
                <w:szCs w:val="18"/>
              </w:rPr>
            </w:pPr>
            <w:r>
              <w:rPr>
                <w:rFonts w:ascii="Garamond" w:hAnsi="Garamond"/>
                <w:sz w:val="18"/>
                <w:szCs w:val="18"/>
              </w:rPr>
              <w:t>${Common_T00120}</w:t>
            </w:r>
          </w:p>
          <w:p>
            <w:pPr>
              <w:pStyle w:val="Normal"/>
              <w:rPr>
                <w:rFonts w:ascii="Garamond" w:hAnsi="Garamond"/>
                <w:sz w:val="18"/>
                <w:szCs w:val="18"/>
              </w:rPr>
            </w:pPr>
            <w:r>
              <w:rPr>
                <w:rFonts w:ascii="Garamond" w:hAnsi="Garamond"/>
                <w:sz w:val="18"/>
                <w:szCs w:val="18"/>
              </w:rPr>
            </w:r>
          </w:p>
          <w:p>
            <w:pPr>
              <w:pStyle w:val="Normal"/>
              <w:rPr>
                <w:rFonts w:ascii="Garamond" w:hAnsi="Garamond"/>
                <w:sz w:val="18"/>
                <w:szCs w:val="18"/>
              </w:rPr>
            </w:pPr>
            <w:r>
              <w:rPr>
                <w:rFonts w:ascii="Garamond" w:hAnsi="Garamond"/>
                <w:sz w:val="18"/>
                <w:szCs w:val="18"/>
              </w:rPr>
              <w:t>${Common_T00130}</w:t>
            </w:r>
          </w:p>
          <w:p>
            <w:pPr>
              <w:pStyle w:val="Normal"/>
              <w:rPr>
                <w:rFonts w:ascii="Garamond" w:hAnsi="Garamond"/>
                <w:sz w:val="18"/>
                <w:szCs w:val="18"/>
              </w:rPr>
            </w:pPr>
            <w:r>
              <w:rPr>
                <w:rFonts w:ascii="Garamond" w:hAnsi="Garamond"/>
                <w:sz w:val="18"/>
                <w:szCs w:val="18"/>
              </w:rPr>
            </w:r>
          </w:p>
          <w:p>
            <w:pPr>
              <w:pStyle w:val="Normal"/>
              <w:rPr>
                <w:rFonts w:ascii="Garamond" w:hAnsi="Garamond"/>
                <w:sz w:val="18"/>
                <w:szCs w:val="18"/>
              </w:rPr>
            </w:pPr>
            <w:r>
              <w:rPr>
                <w:rFonts w:ascii="Garamond" w:hAnsi="Garamond"/>
                <w:sz w:val="18"/>
                <w:szCs w:val="18"/>
              </w:rPr>
              <w:t xml:space="preserve">${Common_T00140} </w:t>
            </w:r>
          </w:p>
          <w:p>
            <w:pPr>
              <w:pStyle w:val="Normal"/>
              <w:rPr>
                <w:rFonts w:ascii="Garamond" w:hAnsi="Garamond"/>
                <w:sz w:val="18"/>
                <w:szCs w:val="18"/>
              </w:rPr>
            </w:pPr>
            <w:r>
              <w:rPr>
                <w:rFonts w:ascii="Garamond" w:hAnsi="Garamond"/>
                <w:sz w:val="18"/>
                <w:szCs w:val="18"/>
              </w:rPr>
            </w:r>
          </w:p>
          <w:p>
            <w:pPr>
              <w:pStyle w:val="Normal"/>
              <w:rPr>
                <w:rFonts w:ascii="Garamond" w:hAnsi="Garamond"/>
                <w:sz w:val="18"/>
                <w:szCs w:val="18"/>
              </w:rPr>
            </w:pPr>
            <w:r>
              <w:rPr>
                <w:rFonts w:ascii="Garamond" w:hAnsi="Garamond"/>
                <w:sz w:val="18"/>
                <w:szCs w:val="18"/>
              </w:rPr>
              <w:t>${Common_T00150} ${Common_T00160} ${Common_T00170}</w:t>
            </w:r>
          </w:p>
          <w:p>
            <w:pPr>
              <w:pStyle w:val="Normal"/>
              <w:rPr>
                <w:rFonts w:ascii="Garamond" w:hAnsi="Garamond"/>
                <w:sz w:val="18"/>
                <w:szCs w:val="18"/>
              </w:rPr>
            </w:pPr>
            <w:r>
              <w:rPr>
                <w:rFonts w:ascii="Garamond" w:hAnsi="Garamond"/>
                <w:sz w:val="18"/>
                <w:szCs w:val="18"/>
              </w:rPr>
            </w:r>
          </w:p>
          <w:p>
            <w:pPr>
              <w:pStyle w:val="Normal"/>
              <w:jc w:val="center"/>
              <w:rPr>
                <w:rFonts w:ascii="Garamond" w:hAnsi="Garamond"/>
                <w:sz w:val="18"/>
                <w:szCs w:val="18"/>
              </w:rPr>
            </w:pPr>
            <w:r>
              <w:rPr>
                <w:rFonts w:ascii="Garamond" w:hAnsi="Garamond"/>
                <w:sz w:val="18"/>
                <w:szCs w:val="18"/>
              </w:rPr>
              <w:t>${Common_T00180}</w:t>
            </w:r>
          </w:p>
          <w:p>
            <w:pPr>
              <w:pStyle w:val="Normal"/>
              <w:jc w:val="center"/>
              <w:rPr>
                <w:rFonts w:ascii="Garamond" w:hAnsi="Garamond"/>
                <w:sz w:val="20"/>
                <w:szCs w:val="20"/>
              </w:rPr>
            </w:pPr>
            <w:r>
              <w:rPr>
                <w:rFonts w:ascii="Garamond" w:hAnsi="Garamond"/>
                <w:sz w:val="20"/>
                <w:szCs w:val="20"/>
              </w:rPr>
            </w:r>
          </w:p>
          <w:p>
            <w:pPr>
              <w:pStyle w:val="Normal"/>
              <w:tabs>
                <w:tab w:val="clear" w:pos="720"/>
                <w:tab w:val="left" w:pos="4550" w:leader="none"/>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pPr>
              <w:pStyle w:val="Normal"/>
              <w:rPr>
                <w:rFonts w:ascii="Garamond" w:hAnsi="Garamond"/>
                <w:sz w:val="20"/>
                <w:szCs w:val="20"/>
              </w:rPr>
            </w:pPr>
            <w:r>
              <w:rPr>
                <w:rFonts w:ascii="Garamond" w:hAnsi="Garamond"/>
                <w:sz w:val="20"/>
                <w:szCs w:val="20"/>
              </w:rPr>
            </w:r>
          </w:p>
          <w:p>
            <w:pPr>
              <w:pStyle w:val="Normal"/>
              <w:rPr>
                <w:rFonts w:ascii="Garamond" w:hAnsi="Garamond"/>
                <w:sz w:val="20"/>
                <w:szCs w:val="20"/>
              </w:rPr>
            </w:pPr>
            <w:r>
              <w:rPr/>
              <w:drawing>
                <wp:inline distT="0" distB="0" distL="0" distR="0">
                  <wp:extent cx="4500880" cy="6586220"/>
                  <wp:effectExtent l="0" t="0" r="0" b="0"/>
                  <wp:docPr id="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pic:cNvPicPr>
                            <a:picLocks noChangeAspect="1" noChangeArrowheads="1"/>
                          </pic:cNvPicPr>
                        </pic:nvPicPr>
                        <pic:blipFill>
                          <a:blip r:embed="rId3"/>
                          <a:stretch>
                            <a:fillRect/>
                          </a:stretch>
                        </pic:blipFill>
                        <pic:spPr bwMode="auto">
                          <a:xfrm>
                            <a:off x="0" y="0"/>
                            <a:ext cx="4500880" cy="6586220"/>
                          </a:xfrm>
                          <a:prstGeom prst="rect">
                            <a:avLst/>
                          </a:prstGeom>
                        </pic:spPr>
                      </pic:pic>
                    </a:graphicData>
                  </a:graphic>
                </wp:inline>
              </w:drawing>
            </w:r>
          </w:p>
        </w:tc>
      </w:tr>
      <w:tr>
        <w:trPr/>
        <w:tc>
          <w:tcPr>
            <w:tcW w:w="7477" w:type="dxa"/>
            <w:tcBorders>
              <w:top w:val="nil"/>
              <w:left w:val="nil"/>
              <w:bottom w:val="nil"/>
              <w:right w:val="nil"/>
            </w:tcBorders>
          </w:tcPr>
          <w:p>
            <w:pPr>
              <w:pStyle w:val="CHeadTop"/>
              <w:rPr/>
            </w:pPr>
            <w:r>
              <w:rPr/>
              <w:t>${Common_T00200}</w:t>
            </w:r>
          </w:p>
          <w:p>
            <w:pPr>
              <w:pStyle w:val="Normal"/>
              <w:spacing w:before="0" w:after="120"/>
              <w:rPr>
                <w:rFonts w:ascii="Garamond" w:hAnsi="Garamond"/>
                <w:sz w:val="20"/>
                <w:szCs w:val="20"/>
              </w:rPr>
            </w:pPr>
            <w:r>
              <w:rPr>
                <w:rFonts w:ascii="Garamond" w:hAnsi="Garamond"/>
                <w:sz w:val="20"/>
                <w:szCs w:val="20"/>
              </w:rPr>
              <w:t xml:space="preserve">${Common_T00210} ${Common_T00220} </w:t>
            </w:r>
          </w:p>
          <w:p>
            <w:pPr>
              <w:pStyle w:val="Normal"/>
              <w:spacing w:before="0" w:after="120"/>
              <w:rPr>
                <w:rFonts w:ascii="Garamond" w:hAnsi="Garamond"/>
                <w:sz w:val="20"/>
                <w:szCs w:val="20"/>
              </w:rPr>
            </w:pPr>
            <w:r>
              <w:rPr>
                <w:rFonts w:ascii="Garamond" w:hAnsi="Garamond"/>
                <w:sz w:val="20"/>
                <w:szCs w:val="20"/>
              </w:rPr>
              <w:t xml:space="preserve">${Common_T00230} ${Common_T00240} </w:t>
            </w:r>
          </w:p>
          <w:p>
            <w:pPr>
              <w:pStyle w:val="Normal"/>
              <w:spacing w:before="0" w:after="120"/>
              <w:rPr>
                <w:rFonts w:ascii="Garamond" w:hAnsi="Garamond"/>
                <w:sz w:val="20"/>
                <w:szCs w:val="20"/>
              </w:rPr>
            </w:pPr>
            <w:r>
              <w:rPr>
                <w:rFonts w:ascii="Garamond" w:hAnsi="Garamond"/>
                <w:sz w:val="20"/>
                <w:szCs w:val="20"/>
              </w:rPr>
              <w:t xml:space="preserve">${Common_T00250} ${Common_T00260} </w:t>
            </w:r>
          </w:p>
          <w:p>
            <w:pPr>
              <w:pStyle w:val="Normal"/>
              <w:spacing w:before="0" w:after="120"/>
              <w:rPr>
                <w:rFonts w:ascii="Garamond" w:hAnsi="Garamond"/>
                <w:sz w:val="20"/>
                <w:szCs w:val="20"/>
              </w:rPr>
            </w:pPr>
            <w:r>
              <w:rPr>
                <w:rFonts w:ascii="Garamond" w:hAnsi="Garamond"/>
                <w:sz w:val="20"/>
                <w:szCs w:val="20"/>
              </w:rPr>
              <w:t xml:space="preserve">${Common_T00270} </w:t>
            </w:r>
          </w:p>
          <w:p>
            <w:pPr>
              <w:pStyle w:val="CHeadMiddle"/>
              <w:rPr/>
            </w:pPr>
            <w:r>
              <w:rPr/>
              <w:t>${Common_T00300}</w:t>
            </w:r>
          </w:p>
          <w:p>
            <w:pPr>
              <w:pStyle w:val="Normal"/>
              <w:spacing w:before="0" w:after="120"/>
              <w:rPr>
                <w:rFonts w:ascii="Garamond" w:hAnsi="Garamond"/>
                <w:sz w:val="20"/>
                <w:szCs w:val="20"/>
              </w:rPr>
            </w:pPr>
            <w:r>
              <w:rPr>
                <w:rFonts w:ascii="Garamond" w:hAnsi="Garamond"/>
                <w:sz w:val="18"/>
                <w:szCs w:val="18"/>
              </w:rPr>
              <w:t>${Common_T00310}</w:t>
            </w:r>
            <w:r>
              <w:rPr>
                <w:rFonts w:ascii="Garamond" w:hAnsi="Garamond"/>
                <w:sz w:val="20"/>
                <w:szCs w:val="20"/>
              </w:rPr>
              <w:t xml:space="preserve"> ${Common_T00320} </w:t>
            </w:r>
          </w:p>
          <w:p>
            <w:pPr>
              <w:pStyle w:val="ListParagraph"/>
              <w:numPr>
                <w:ilvl w:val="0"/>
                <w:numId w:val="2"/>
              </w:numPr>
              <w:spacing w:before="0" w:after="120"/>
              <w:contextualSpacing/>
              <w:rPr>
                <w:rFonts w:ascii="Garamond" w:hAnsi="Garamond"/>
                <w:sz w:val="20"/>
                <w:szCs w:val="20"/>
              </w:rPr>
            </w:pPr>
            <w:r>
              <w:rPr>
                <w:rFonts w:ascii="Garamond" w:hAnsi="Garamond"/>
                <w:sz w:val="20"/>
                <w:szCs w:val="20"/>
              </w:rPr>
              <w:t>${Common_T00330}</w:t>
            </w:r>
          </w:p>
          <w:p>
            <w:pPr>
              <w:pStyle w:val="ListParagraph"/>
              <w:numPr>
                <w:ilvl w:val="0"/>
                <w:numId w:val="2"/>
              </w:numPr>
              <w:spacing w:before="0" w:after="120"/>
              <w:contextualSpacing/>
              <w:rPr>
                <w:rFonts w:ascii="Garamond" w:hAnsi="Garamond"/>
                <w:sz w:val="20"/>
                <w:szCs w:val="20"/>
              </w:rPr>
            </w:pPr>
            <w:r>
              <w:rPr>
                <w:rFonts w:ascii="Garamond" w:hAnsi="Garamond"/>
                <w:sz w:val="20"/>
                <w:szCs w:val="20"/>
              </w:rPr>
              <w:t>${Common_T00340}</w:t>
            </w:r>
          </w:p>
          <w:p>
            <w:pPr>
              <w:pStyle w:val="ListParagraph"/>
              <w:numPr>
                <w:ilvl w:val="0"/>
                <w:numId w:val="2"/>
              </w:numPr>
              <w:spacing w:before="0" w:after="120"/>
              <w:contextualSpacing/>
              <w:rPr>
                <w:rFonts w:ascii="Garamond" w:hAnsi="Garamond"/>
                <w:sz w:val="20"/>
                <w:szCs w:val="20"/>
              </w:rPr>
            </w:pPr>
            <w:r>
              <w:rPr>
                <w:rFonts w:ascii="Garamond" w:hAnsi="Garamond"/>
                <w:sz w:val="20"/>
                <w:szCs w:val="20"/>
              </w:rPr>
              <w:t>${Common_T00350}</w:t>
            </w:r>
          </w:p>
          <w:p>
            <w:pPr>
              <w:pStyle w:val="ListParagraph"/>
              <w:numPr>
                <w:ilvl w:val="0"/>
                <w:numId w:val="2"/>
              </w:numPr>
              <w:spacing w:before="0" w:after="120"/>
              <w:contextualSpacing/>
              <w:rPr>
                <w:rFonts w:ascii="Garamond" w:hAnsi="Garamond"/>
                <w:sz w:val="20"/>
                <w:szCs w:val="20"/>
              </w:rPr>
            </w:pPr>
            <w:r>
              <w:rPr>
                <w:rFonts w:ascii="Garamond" w:hAnsi="Garamond"/>
                <w:sz w:val="20"/>
                <w:szCs w:val="20"/>
              </w:rPr>
              <w:t>${Common_T00360}</w:t>
            </w:r>
          </w:p>
          <w:p>
            <w:pPr>
              <w:pStyle w:val="ListParagraph"/>
              <w:numPr>
                <w:ilvl w:val="0"/>
                <w:numId w:val="2"/>
              </w:numPr>
              <w:spacing w:before="0" w:after="120"/>
              <w:contextualSpacing/>
              <w:rPr>
                <w:rFonts w:ascii="Garamond" w:hAnsi="Garamond"/>
                <w:sz w:val="20"/>
                <w:szCs w:val="20"/>
              </w:rPr>
            </w:pPr>
            <w:r>
              <w:rPr>
                <w:rFonts w:ascii="Garamond" w:hAnsi="Garamond"/>
                <w:sz w:val="20"/>
                <w:szCs w:val="20"/>
              </w:rPr>
              <w:t>${Common_T00370}</w:t>
            </w:r>
          </w:p>
          <w:p>
            <w:pPr>
              <w:pStyle w:val="ListParagraph"/>
              <w:numPr>
                <w:ilvl w:val="0"/>
                <w:numId w:val="2"/>
              </w:numPr>
              <w:spacing w:before="0" w:after="120"/>
              <w:contextualSpacing/>
              <w:rPr>
                <w:rFonts w:ascii="Garamond" w:hAnsi="Garamond"/>
                <w:sz w:val="20"/>
                <w:szCs w:val="20"/>
              </w:rPr>
            </w:pPr>
            <w:r>
              <w:rPr>
                <w:rFonts w:ascii="Garamond" w:hAnsi="Garamond"/>
                <w:sz w:val="20"/>
                <w:szCs w:val="20"/>
              </w:rPr>
              <w:t>${Common_T00380}</w:t>
            </w:r>
          </w:p>
          <w:p>
            <w:pPr>
              <w:pStyle w:val="Normal"/>
              <w:spacing w:before="0" w:after="120"/>
              <w:rPr>
                <w:rFonts w:ascii="Garamond" w:hAnsi="Garamond"/>
                <w:sz w:val="20"/>
                <w:szCs w:val="20"/>
              </w:rPr>
            </w:pPr>
            <w:r>
              <w:rPr>
                <w:rFonts w:ascii="Garamond" w:hAnsi="Garamond"/>
                <w:sz w:val="20"/>
                <w:szCs w:val="20"/>
              </w:rPr>
              <w:t>${Common_T00390} ${Common_T00400}</w:t>
            </w:r>
          </w:p>
          <w:p>
            <w:pPr>
              <w:pStyle w:val="CHeadMiddle"/>
              <w:rPr/>
            </w:pPr>
            <w:r>
              <w:rPr/>
              <w:t>${Common_T00500}</w:t>
            </w:r>
          </w:p>
          <w:p>
            <w:pPr>
              <w:pStyle w:val="Normal"/>
              <w:spacing w:before="0" w:after="120"/>
              <w:rPr>
                <w:rFonts w:ascii="Garamond" w:hAnsi="Garamond"/>
                <w:sz w:val="20"/>
                <w:szCs w:val="20"/>
              </w:rPr>
            </w:pPr>
            <w:r>
              <w:rPr>
                <w:rFonts w:ascii="Garamond" w:hAnsi="Garamond"/>
                <w:sz w:val="20"/>
                <w:szCs w:val="20"/>
              </w:rPr>
              <w:t>${Common_T00510} ${Common_T00520} ${Common_T00530}</w:t>
            </w:r>
          </w:p>
        </w:tc>
        <w:tc>
          <w:tcPr>
            <w:tcW w:w="548" w:type="dxa"/>
            <w:tcBorders>
              <w:top w:val="nil"/>
              <w:left w:val="nil"/>
              <w:bottom w:val="nil"/>
              <w:right w:val="nil"/>
            </w:tcBorders>
          </w:tcPr>
          <w:p>
            <w:pPr>
              <w:pStyle w:val="Normal"/>
              <w:spacing w:before="0" w:after="120"/>
              <w:rPr>
                <w:rFonts w:ascii="Garamond" w:hAnsi="Garamond"/>
                <w:sz w:val="20"/>
                <w:szCs w:val="20"/>
              </w:rPr>
            </w:pPr>
            <w:r>
              <w:rPr>
                <w:rFonts w:ascii="Garamond" w:hAnsi="Garamond"/>
                <w:sz w:val="20"/>
                <w:szCs w:val="20"/>
              </w:rPr>
            </w:r>
          </w:p>
        </w:tc>
        <w:tc>
          <w:tcPr>
            <w:tcW w:w="7329" w:type="dxa"/>
            <w:tcBorders>
              <w:top w:val="nil"/>
              <w:left w:val="nil"/>
              <w:bottom w:val="nil"/>
              <w:right w:val="nil"/>
            </w:tcBorders>
          </w:tcPr>
          <w:p>
            <w:pPr>
              <w:pStyle w:val="CHeadTop"/>
              <w:rPr/>
            </w:pPr>
            <w:r>
              <w:rPr/>
              <w:t>${Common_T00600}</w:t>
            </w:r>
          </w:p>
          <w:p>
            <w:pPr>
              <w:pStyle w:val="Normal"/>
              <w:spacing w:before="0" w:after="120"/>
              <w:rPr>
                <w:rFonts w:ascii="Garamond" w:hAnsi="Garamond"/>
                <w:sz w:val="20"/>
                <w:szCs w:val="20"/>
              </w:rPr>
            </w:pPr>
            <w:r>
              <w:rPr>
                <w:rFonts w:ascii="Garamond" w:hAnsi="Garamond"/>
                <w:sz w:val="20"/>
                <w:szCs w:val="20"/>
              </w:rPr>
              <w:t>${Common_T00610}</w:t>
            </w:r>
          </w:p>
          <w:p>
            <w:pPr>
              <w:pStyle w:val="CHeadMiddle"/>
              <w:rPr/>
            </w:pPr>
            <w:r>
              <w:rPr/>
              <w:t>${Common_T00700}</w:t>
            </w:r>
          </w:p>
          <w:p>
            <w:pPr>
              <w:pStyle w:val="Normal"/>
              <w:spacing w:before="0" w:after="120"/>
              <w:rPr>
                <w:rFonts w:ascii="Garamond" w:hAnsi="Garamond"/>
                <w:sz w:val="20"/>
                <w:szCs w:val="20"/>
              </w:rPr>
            </w:pPr>
            <w:r>
              <w:rPr>
                <w:rFonts w:ascii="Garamond" w:hAnsi="Garamond"/>
                <w:sz w:val="20"/>
                <w:szCs w:val="20"/>
              </w:rPr>
              <w:t xml:space="preserve">${Common_T00710} </w:t>
            </w:r>
          </w:p>
          <w:p>
            <w:pPr>
              <w:pStyle w:val="Normal"/>
              <w:spacing w:before="0" w:after="120"/>
              <w:rPr>
                <w:rFonts w:ascii="Garamond" w:hAnsi="Garamond"/>
                <w:sz w:val="20"/>
                <w:szCs w:val="20"/>
              </w:rPr>
            </w:pPr>
            <w:r>
              <w:rPr>
                <w:rFonts w:ascii="Garamond" w:hAnsi="Garamond"/>
                <w:sz w:val="20"/>
                <w:szCs w:val="20"/>
              </w:rPr>
              <w:t>${Common_T00720} ${Common_T00730} ${Common_T00740} ${Common_T00750} ${Common_T00760} ${Common_T00770}</w:t>
            </w:r>
          </w:p>
          <w:p>
            <w:pPr>
              <w:pStyle w:val="Normal"/>
              <w:spacing w:before="0" w:after="120"/>
              <w:rPr>
                <w:rFonts w:ascii="Garamond" w:hAnsi="Garamond"/>
                <w:sz w:val="20"/>
                <w:szCs w:val="20"/>
              </w:rPr>
            </w:pPr>
            <w:r>
              <w:rPr>
                <w:rFonts w:ascii="Garamond" w:hAnsi="Garamond"/>
                <w:sz w:val="20"/>
                <w:szCs w:val="20"/>
              </w:rPr>
              <w:t>${Common_T00780} ${Common_T00790}</w:t>
            </w:r>
          </w:p>
          <w:p>
            <w:pPr>
              <w:pStyle w:val="Normal"/>
              <w:spacing w:before="0" w:after="120"/>
              <w:rPr>
                <w:rFonts w:ascii="Garamond" w:hAnsi="Garamond"/>
                <w:sz w:val="20"/>
                <w:szCs w:val="20"/>
              </w:rPr>
            </w:pPr>
            <w:r>
              <w:rPr>
                <w:rFonts w:ascii="Garamond" w:hAnsi="Garamond"/>
                <w:sz w:val="20"/>
                <w:szCs w:val="20"/>
              </w:rPr>
              <w:t>${Common_T00800} ${Common_T00810} ${Common_T00820} ${Common_T00830} ${Common_T00840} ${Common_T00850}</w:t>
            </w:r>
          </w:p>
          <w:p>
            <w:pPr>
              <w:pStyle w:val="CHeadMiddle"/>
              <w:rPr/>
            </w:pPr>
            <w:r>
              <w:rPr/>
              <w:t>${Common_T00900}</w:t>
            </w:r>
          </w:p>
          <w:p>
            <w:pPr>
              <w:pStyle w:val="Normal"/>
              <w:spacing w:before="0" w:after="120"/>
              <w:rPr>
                <w:rFonts w:ascii="Garamond" w:hAnsi="Garamond"/>
                <w:sz w:val="20"/>
                <w:szCs w:val="20"/>
              </w:rPr>
            </w:pPr>
            <w:r>
              <w:rPr>
                <w:rFonts w:ascii="Garamond" w:hAnsi="Garamond"/>
                <w:sz w:val="20"/>
                <w:szCs w:val="20"/>
              </w:rPr>
              <w:t>${Common_T00910} ${Common_T00920}</w:t>
            </w:r>
          </w:p>
          <w:p>
            <w:pPr>
              <w:pStyle w:val="CHeadMiddle"/>
              <w:rPr/>
            </w:pPr>
            <w:r>
              <w:rPr/>
              <w:t>${Common_T01000}</w:t>
            </w:r>
          </w:p>
          <w:p>
            <w:pPr>
              <w:pStyle w:val="Normal"/>
              <w:spacing w:before="0" w:after="120"/>
              <w:rPr>
                <w:rFonts w:ascii="Garamond" w:hAnsi="Garamond"/>
                <w:sz w:val="20"/>
                <w:szCs w:val="20"/>
              </w:rPr>
            </w:pPr>
            <w:r>
              <w:rPr>
                <w:rFonts w:ascii="Garamond" w:hAnsi="Garamond"/>
                <w:sz w:val="20"/>
                <w:szCs w:val="20"/>
              </w:rPr>
              <w:t>${Common_T01010} ${Common_T01020}</w:t>
            </w:r>
          </w:p>
          <w:p>
            <w:pPr>
              <w:pStyle w:val="Normal"/>
              <w:spacing w:before="0" w:after="120"/>
              <w:rPr>
                <w:rFonts w:ascii="Garamond" w:hAnsi="Garamond"/>
                <w:sz w:val="20"/>
                <w:szCs w:val="20"/>
              </w:rPr>
            </w:pPr>
            <w:r>
              <w:rPr>
                <w:rFonts w:ascii="Garamond" w:hAnsi="Garamond"/>
                <w:sz w:val="20"/>
                <w:szCs w:val="20"/>
              </w:rPr>
              <w:t>${Common_T01030}</w:t>
            </w:r>
          </w:p>
          <w:p>
            <w:pPr>
              <w:pStyle w:val="ListParagraph"/>
              <w:numPr>
                <w:ilvl w:val="0"/>
                <w:numId w:val="1"/>
              </w:numPr>
              <w:spacing w:before="0" w:after="120"/>
              <w:contextualSpacing/>
              <w:rPr>
                <w:rFonts w:ascii="Garamond" w:hAnsi="Garamond"/>
                <w:sz w:val="20"/>
                <w:szCs w:val="20"/>
              </w:rPr>
            </w:pPr>
            <w:r>
              <w:rPr>
                <w:rFonts w:ascii="Garamond" w:hAnsi="Garamond"/>
                <w:sz w:val="20"/>
                <w:szCs w:val="20"/>
              </w:rPr>
              <w:t>${Common_T01040}</w:t>
              <w:br/>
            </w:r>
            <w:hyperlink r:id="rId4">
              <w:r>
                <w:rPr>
                  <w:rStyle w:val="InternetLink"/>
                  <w:rFonts w:ascii="Garamond" w:hAnsi="Garamond"/>
                  <w:sz w:val="20"/>
                  <w:szCs w:val="20"/>
                </w:rPr>
                <w:t>https://lists.owasp.org/mailman/listinfo/owasp_cornucopia</w:t>
              </w:r>
            </w:hyperlink>
          </w:p>
          <w:p>
            <w:pPr>
              <w:pStyle w:val="ListParagraph"/>
              <w:numPr>
                <w:ilvl w:val="0"/>
                <w:numId w:val="1"/>
              </w:numPr>
              <w:spacing w:before="0" w:after="120"/>
              <w:contextualSpacing/>
              <w:rPr>
                <w:rFonts w:ascii="Garamond" w:hAnsi="Garamond"/>
                <w:sz w:val="20"/>
                <w:szCs w:val="20"/>
              </w:rPr>
            </w:pPr>
            <w:r>
              <w:rPr>
                <w:rFonts w:ascii="Garamond" w:hAnsi="Garamond"/>
                <w:sz w:val="20"/>
                <w:szCs w:val="20"/>
              </w:rPr>
              <w:t>${Common_T01050}</w:t>
              <w:br/>
            </w:r>
            <w:hyperlink r:id="rId5">
              <w:r>
                <w:rPr>
                  <w:rStyle w:val="InternetLink"/>
                  <w:rFonts w:ascii="Garamond" w:hAnsi="Garamond"/>
                  <w:sz w:val="20"/>
                  <w:szCs w:val="20"/>
                </w:rPr>
                <w:t>https://www.owasp.org/index.php/OWASP_Cornucopia</w:t>
              </w:r>
            </w:hyperlink>
          </w:p>
          <w:p>
            <w:pPr>
              <w:pStyle w:val="Normal"/>
              <w:spacing w:before="0" w:after="120"/>
              <w:rPr>
                <w:rFonts w:ascii="Garamond" w:hAnsi="Garamond"/>
                <w:sz w:val="20"/>
                <w:szCs w:val="20"/>
              </w:rPr>
            </w:pPr>
            <w:r>
              <w:rPr>
                <w:rFonts w:ascii="Garamond" w:hAnsi="Garamond"/>
                <w:sz w:val="20"/>
                <w:szCs w:val="20"/>
              </w:rPr>
              <w:t>${Common_T01060} ${Common_T01070}</w:t>
            </w:r>
          </w:p>
        </w:tc>
      </w:tr>
    </w:tbl>
    <w:p>
      <w:pPr>
        <w:pStyle w:val="Normal"/>
        <w:rPr>
          <w:rFonts w:ascii="Garamond" w:hAnsi="Garamond"/>
          <w:sz w:val="20"/>
          <w:szCs w:val="20"/>
        </w:rPr>
      </w:pPr>
      <w:r>
        <w:rPr>
          <w:rFonts w:ascii="Garamond" w:hAnsi="Garamond"/>
          <w:sz w:val="20"/>
          <w:szCs w:val="20"/>
        </w:rPr>
      </w:r>
      <w:r>
        <w:br w:type="page"/>
      </w:r>
    </w:p>
    <w:tbl>
      <w:tblPr>
        <w:tblStyle w:val="TableGrid"/>
        <w:tblW w:w="15355" w:type="dxa"/>
        <w:jc w:val="left"/>
        <w:tblInd w:w="0" w:type="dxa"/>
        <w:tblCellMar>
          <w:top w:w="0" w:type="dxa"/>
          <w:left w:w="108" w:type="dxa"/>
          <w:bottom w:w="0" w:type="dxa"/>
          <w:right w:w="108" w:type="dxa"/>
        </w:tblCellMar>
        <w:tblLook w:val="04a0" w:noHBand="0" w:noVBand="1" w:firstColumn="1" w:lastRow="0" w:lastColumn="0" w:firstRow="1"/>
      </w:tblPr>
      <w:tblGrid>
        <w:gridCol w:w="109"/>
        <w:gridCol w:w="737"/>
        <w:gridCol w:w="792"/>
        <w:gridCol w:w="2581"/>
        <w:gridCol w:w="851"/>
        <w:gridCol w:w="2458"/>
        <w:gridCol w:w="123"/>
        <w:gridCol w:w="121"/>
        <w:gridCol w:w="703"/>
        <w:gridCol w:w="2580"/>
        <w:gridCol w:w="828"/>
        <w:gridCol w:w="2579"/>
        <w:gridCol w:w="891"/>
      </w:tblGrid>
      <w:tr>
        <w:trPr/>
        <w:tc>
          <w:tcPr>
            <w:tcW w:w="7528" w:type="dxa"/>
            <w:gridSpan w:val="6"/>
            <w:tcBorders>
              <w:top w:val="nil"/>
              <w:left w:val="nil"/>
              <w:bottom w:val="nil"/>
              <w:right w:val="nil"/>
            </w:tcBorders>
          </w:tcPr>
          <w:p>
            <w:pPr>
              <w:pStyle w:val="CHeadTop"/>
              <w:pageBreakBefore/>
              <w:rPr/>
            </w:pPr>
            <w:r>
              <w:rPr/>
              <w:t>${Common_T01100}</w:t>
            </w:r>
          </w:p>
          <w:p>
            <w:pPr>
              <w:pStyle w:val="Normal"/>
              <w:spacing w:before="0" w:after="120"/>
              <w:rPr>
                <w:rFonts w:ascii="Garamond" w:hAnsi="Garamond"/>
                <w:sz w:val="20"/>
                <w:szCs w:val="20"/>
              </w:rPr>
            </w:pPr>
            <w:r>
              <w:rPr>
                <w:rFonts w:ascii="Garamond" w:hAnsi="Garamond"/>
                <w:sz w:val="20"/>
                <w:szCs w:val="20"/>
              </w:rPr>
              <w:t>${Common_T01110} ${Common_T01120} ${Common_T01130} ${Common_T01140} ${Common_T01150}</w:t>
            </w:r>
          </w:p>
          <w:p>
            <w:pPr>
              <w:pStyle w:val="Normal"/>
              <w:jc w:val="center"/>
              <w:rPr>
                <w:rFonts w:ascii="Garamond" w:hAnsi="Garamond"/>
                <w:i/>
                <w:i/>
                <w:sz w:val="20"/>
                <w:szCs w:val="20"/>
              </w:rPr>
            </w:pPr>
            <w:r>
              <w:rPr>
                <w:rFonts w:ascii="Garamond" w:hAnsi="Garamond"/>
                <w:i/>
                <w:sz w:val="20"/>
                <w:szCs w:val="20"/>
              </w:rPr>
              <w:t>${Common_T01160}</w:t>
            </w:r>
          </w:p>
          <w:p>
            <w:pPr>
              <w:pStyle w:val="Normal"/>
              <w:spacing w:before="0" w:after="120"/>
              <w:rPr>
                <w:rFonts w:ascii="Garamond" w:hAnsi="Garamond"/>
                <w:sz w:val="20"/>
                <w:szCs w:val="20"/>
              </w:rPr>
            </w:pPr>
            <w:r>
              <w:rPr>
                <w:rFonts w:ascii="Garamond" w:hAnsi="Garamond"/>
                <w:sz w:val="20"/>
                <w:szCs w:val="20"/>
              </w:rPr>
              <w:t>${Common_T01170} ${Common_T01180}</w:t>
            </w:r>
          </w:p>
          <w:p>
            <w:pPr>
              <w:pStyle w:val="Normal"/>
              <w:spacing w:before="0" w:after="120"/>
              <w:rPr>
                <w:rFonts w:ascii="Garamond" w:hAnsi="Garamond"/>
                <w:sz w:val="20"/>
                <w:szCs w:val="20"/>
              </w:rPr>
            </w:pPr>
            <w:r>
              <w:rPr>
                <w:rFonts w:ascii="Garamond" w:hAnsi="Garamond"/>
                <w:sz w:val="20"/>
                <w:szCs w:val="20"/>
              </w:rPr>
              <w:t>${Common_T01190}</w:t>
            </w:r>
          </w:p>
          <w:p>
            <w:pPr>
              <w:pStyle w:val="Normal"/>
              <w:spacing w:before="0" w:after="120"/>
              <w:rPr/>
            </w:pPr>
            <w:hyperlink r:id="rId6">
              <w:r>
                <w:rPr>
                  <w:rStyle w:val="InternetLink"/>
                  <w:rFonts w:ascii="Garamond" w:hAnsi="Garamond"/>
                  <w:spacing w:val="-7"/>
                  <w:sz w:val="20"/>
                  <w:szCs w:val="20"/>
                </w:rPr>
                <w:t>https://w</w:t>
              </w:r>
              <w:r>
                <w:rPr>
                  <w:rStyle w:val="InternetLink"/>
                  <w:rFonts w:ascii="Garamond" w:hAnsi="Garamond"/>
                  <w:spacing w:val="-7"/>
                  <w:sz w:val="20"/>
                  <w:szCs w:val="20"/>
                </w:rPr>
                <w:t>iki</w:t>
              </w:r>
              <w:r>
                <w:rPr>
                  <w:rStyle w:val="InternetLink"/>
                  <w:rFonts w:ascii="Garamond" w:hAnsi="Garamond"/>
                  <w:spacing w:val="-7"/>
                  <w:sz w:val="20"/>
                  <w:szCs w:val="20"/>
                </w:rPr>
                <w:t>.owasp.org/index.php/Cornucopia_-_Ecommerce_Website_Edition_-_Wiki_Deck</w:t>
              </w:r>
            </w:hyperlink>
          </w:p>
          <w:p>
            <w:pPr>
              <w:pStyle w:val="Normal"/>
              <w:spacing w:before="0" w:after="120"/>
              <w:rPr>
                <w:rFonts w:ascii="Garamond" w:hAnsi="Garamond"/>
                <w:sz w:val="20"/>
                <w:szCs w:val="20"/>
              </w:rPr>
            </w:pPr>
            <w:r>
              <w:rPr>
                <w:rFonts w:ascii="Garamond" w:hAnsi="Garamond"/>
                <w:sz w:val="20"/>
                <w:szCs w:val="20"/>
              </w:rPr>
              <w:t>${Common_T01200}</w:t>
            </w:r>
          </w:p>
          <w:p>
            <w:pPr>
              <w:pStyle w:val="ListParagraph"/>
              <w:numPr>
                <w:ilvl w:val="0"/>
                <w:numId w:val="3"/>
              </w:numPr>
              <w:spacing w:before="0" w:after="120"/>
              <w:contextualSpacing/>
              <w:rPr>
                <w:rFonts w:ascii="Garamond" w:hAnsi="Garamond"/>
                <w:sz w:val="20"/>
                <w:szCs w:val="20"/>
              </w:rPr>
            </w:pPr>
            <w:r>
              <w:rPr>
                <w:rFonts w:ascii="Garamond" w:hAnsi="Garamond"/>
                <w:sz w:val="20"/>
                <w:szCs w:val="20"/>
              </w:rPr>
              <w:t>${Common_T01210}</w:t>
              <w:br/>
            </w:r>
            <w:hyperlink r:id="rId7">
              <w:r>
                <w:rPr>
                  <w:rStyle w:val="InternetLink"/>
                  <w:rFonts w:ascii="Garamond" w:hAnsi="Garamond"/>
                  <w:spacing w:val="-6"/>
                  <w:sz w:val="20"/>
                  <w:szCs w:val="20"/>
                </w:rPr>
                <w:t>https://www.owasp.org/index.php/File:OWASP_SCP_Quick_Reference_Guide_v2.pdf</w:t>
              </w:r>
            </w:hyperlink>
          </w:p>
          <w:p>
            <w:pPr>
              <w:pStyle w:val="ListParagraph"/>
              <w:numPr>
                <w:ilvl w:val="0"/>
                <w:numId w:val="3"/>
              </w:numPr>
              <w:spacing w:before="0" w:after="120"/>
              <w:contextualSpacing/>
              <w:rPr>
                <w:rFonts w:ascii="Garamond" w:hAnsi="Garamond"/>
                <w:sz w:val="20"/>
                <w:szCs w:val="20"/>
              </w:rPr>
            </w:pPr>
            <w:r>
              <w:rPr>
                <w:rFonts w:ascii="Garamond" w:hAnsi="Garamond"/>
                <w:sz w:val="20"/>
                <w:szCs w:val="20"/>
              </w:rPr>
              <w:t>${Common_T01220}</w:t>
              <w:br/>
            </w:r>
            <w:hyperlink r:id="rId8">
              <w:r>
                <w:rPr>
                  <w:rStyle w:val="InternetLink"/>
                  <w:rFonts w:ascii="Garamond" w:hAnsi="Garamond"/>
                  <w:spacing w:val="-14"/>
                  <w:sz w:val="20"/>
                  <w:szCs w:val="20"/>
                </w:rPr>
                <w:t>https</w:t>
              </w:r>
              <w:r>
                <w:rPr>
                  <w:rStyle w:val="InternetLink"/>
                  <w:rFonts w:ascii="Garamond" w:hAnsi="Garamond"/>
                  <w:spacing w:val="-34"/>
                  <w:sz w:val="20"/>
                  <w:szCs w:val="20"/>
                </w:rPr>
                <w:t>://</w:t>
              </w:r>
              <w:r>
                <w:rPr>
                  <w:rStyle w:val="InternetLink"/>
                  <w:rFonts w:ascii="Garamond" w:hAnsi="Garamond"/>
                  <w:spacing w:val="-14"/>
                  <w:sz w:val="20"/>
                  <w:szCs w:val="20"/>
                </w:rPr>
                <w:t>www.owasp.org/images</w:t>
              </w:r>
              <w:r>
                <w:rPr>
                  <w:rStyle w:val="InternetLink"/>
                  <w:rFonts w:ascii="Garamond" w:hAnsi="Garamond"/>
                  <w:spacing w:val="-34"/>
                  <w:sz w:val="20"/>
                  <w:szCs w:val="20"/>
                </w:rPr>
                <w:t>/3/33/</w:t>
              </w:r>
              <w:r>
                <w:rPr>
                  <w:rStyle w:val="InternetLink"/>
                  <w:rFonts w:ascii="Garamond" w:hAnsi="Garamond"/>
                  <w:spacing w:val="-14"/>
                  <w:sz w:val="20"/>
                  <w:szCs w:val="20"/>
                </w:rPr>
                <w:t>OWASP</w:t>
              </w:r>
              <w:r>
                <w:rPr>
                  <w:rStyle w:val="InternetLink"/>
                  <w:rFonts w:ascii="Garamond" w:hAnsi="Garamond"/>
                  <w:spacing w:val="-34"/>
                  <w:sz w:val="20"/>
                  <w:szCs w:val="20"/>
                </w:rPr>
                <w:t>_</w:t>
              </w:r>
              <w:r>
                <w:rPr>
                  <w:rStyle w:val="InternetLink"/>
                  <w:rFonts w:ascii="Garamond" w:hAnsi="Garamond"/>
                  <w:spacing w:val="-14"/>
                  <w:sz w:val="20"/>
                  <w:szCs w:val="20"/>
                </w:rPr>
                <w:t>Application</w:t>
              </w:r>
              <w:r>
                <w:rPr>
                  <w:rStyle w:val="InternetLink"/>
                  <w:rFonts w:ascii="Garamond" w:hAnsi="Garamond"/>
                  <w:spacing w:val="-34"/>
                  <w:sz w:val="20"/>
                  <w:szCs w:val="20"/>
                </w:rPr>
                <w:t>_</w:t>
              </w:r>
              <w:r>
                <w:rPr>
                  <w:rStyle w:val="InternetLink"/>
                  <w:rFonts w:ascii="Garamond" w:hAnsi="Garamond"/>
                  <w:spacing w:val="-14"/>
                  <w:sz w:val="20"/>
                  <w:szCs w:val="20"/>
                </w:rPr>
                <w:t>Security</w:t>
              </w:r>
              <w:r>
                <w:rPr>
                  <w:rStyle w:val="InternetLink"/>
                  <w:rFonts w:ascii="Garamond" w:hAnsi="Garamond"/>
                  <w:spacing w:val="-34"/>
                  <w:sz w:val="20"/>
                  <w:szCs w:val="20"/>
                </w:rPr>
                <w:t>_</w:t>
              </w:r>
              <w:r>
                <w:rPr>
                  <w:rStyle w:val="InternetLink"/>
                  <w:rFonts w:ascii="Garamond" w:hAnsi="Garamond"/>
                  <w:spacing w:val="-14"/>
                  <w:sz w:val="20"/>
                  <w:szCs w:val="20"/>
                </w:rPr>
                <w:t>Verification</w:t>
              </w:r>
              <w:r>
                <w:rPr>
                  <w:rStyle w:val="InternetLink"/>
                  <w:rFonts w:ascii="Garamond" w:hAnsi="Garamond"/>
                  <w:spacing w:val="-34"/>
                  <w:sz w:val="20"/>
                  <w:szCs w:val="20"/>
                </w:rPr>
                <w:t>_</w:t>
              </w:r>
              <w:r>
                <w:rPr>
                  <w:rStyle w:val="InternetLink"/>
                  <w:rFonts w:ascii="Garamond" w:hAnsi="Garamond"/>
                  <w:spacing w:val="-14"/>
                  <w:sz w:val="20"/>
                  <w:szCs w:val="20"/>
                </w:rPr>
                <w:t>Standard</w:t>
              </w:r>
              <w:r>
                <w:rPr>
                  <w:rStyle w:val="InternetLink"/>
                  <w:rFonts w:ascii="Garamond" w:hAnsi="Garamond"/>
                  <w:spacing w:val="-34"/>
                  <w:sz w:val="20"/>
                  <w:szCs w:val="20"/>
                </w:rPr>
                <w:t>_</w:t>
              </w:r>
              <w:r>
                <w:rPr>
                  <w:rStyle w:val="InternetLink"/>
                  <w:rFonts w:ascii="Garamond" w:hAnsi="Garamond"/>
                  <w:spacing w:val="-14"/>
                  <w:sz w:val="20"/>
                  <w:szCs w:val="20"/>
                </w:rPr>
                <w:t>3.0.1.pdf</w:t>
              </w:r>
            </w:hyperlink>
          </w:p>
          <w:p>
            <w:pPr>
              <w:pStyle w:val="ListParagraph"/>
              <w:numPr>
                <w:ilvl w:val="0"/>
                <w:numId w:val="3"/>
              </w:numPr>
              <w:spacing w:before="0" w:after="120"/>
              <w:contextualSpacing/>
              <w:rPr>
                <w:rFonts w:ascii="Garamond" w:hAnsi="Garamond"/>
                <w:sz w:val="20"/>
                <w:szCs w:val="20"/>
              </w:rPr>
            </w:pPr>
            <w:r>
              <w:rPr>
                <w:rFonts w:ascii="Garamond" w:hAnsi="Garamond"/>
                <w:sz w:val="20"/>
                <w:szCs w:val="20"/>
              </w:rPr>
              <w:t>${Common_T01230}</w:t>
              <w:br/>
            </w:r>
            <w:hyperlink r:id="rId9">
              <w:r>
                <w:rPr>
                  <w:rStyle w:val="InternetLink"/>
                  <w:rFonts w:ascii="Garamond" w:hAnsi="Garamond"/>
                  <w:sz w:val="20"/>
                  <w:szCs w:val="20"/>
                </w:rPr>
                <w:t>https://www.owasp.org/index.php/AppSensor_DetectionPoints</w:t>
              </w:r>
            </w:hyperlink>
          </w:p>
          <w:p>
            <w:pPr>
              <w:pStyle w:val="ListParagraph"/>
              <w:numPr>
                <w:ilvl w:val="0"/>
                <w:numId w:val="3"/>
              </w:numPr>
              <w:spacing w:before="0" w:after="120"/>
              <w:contextualSpacing/>
              <w:rPr>
                <w:rFonts w:ascii="Garamond" w:hAnsi="Garamond"/>
                <w:sz w:val="20"/>
                <w:szCs w:val="20"/>
              </w:rPr>
            </w:pPr>
            <w:r>
              <w:rPr>
                <w:rFonts w:ascii="Garamond" w:hAnsi="Garamond"/>
                <w:sz w:val="20"/>
                <w:szCs w:val="20"/>
              </w:rPr>
              <w:t>${Common_T01240}</w:t>
            </w:r>
          </w:p>
          <w:p>
            <w:pPr>
              <w:pStyle w:val="ListParagraph"/>
              <w:spacing w:before="0" w:after="120"/>
              <w:contextualSpacing/>
              <w:rPr>
                <w:rFonts w:ascii="Garamond" w:hAnsi="Garamond"/>
                <w:sz w:val="20"/>
                <w:szCs w:val="20"/>
              </w:rPr>
            </w:pPr>
            <w:hyperlink r:id="rId10">
              <w:r>
                <w:rPr>
                  <w:rStyle w:val="InternetLink"/>
                  <w:rFonts w:ascii="Garamond" w:hAnsi="Garamond"/>
                  <w:sz w:val="20"/>
                  <w:szCs w:val="20"/>
                </w:rPr>
                <w:t>http://capec.mitre.org/data/archive/capec_v2.8.zip</w:t>
              </w:r>
            </w:hyperlink>
          </w:p>
          <w:p>
            <w:pPr>
              <w:pStyle w:val="ListParagraph"/>
              <w:numPr>
                <w:ilvl w:val="0"/>
                <w:numId w:val="3"/>
              </w:numPr>
              <w:spacing w:before="0" w:after="120"/>
              <w:contextualSpacing/>
              <w:rPr>
                <w:rFonts w:ascii="Garamond" w:hAnsi="Garamond"/>
                <w:sz w:val="20"/>
                <w:szCs w:val="20"/>
              </w:rPr>
            </w:pPr>
            <w:r>
              <w:rPr>
                <w:rFonts w:ascii="Garamond" w:hAnsi="Garamond"/>
                <w:sz w:val="20"/>
                <w:szCs w:val="20"/>
              </w:rPr>
              <w:t>${Common_T01250}</w:t>
            </w:r>
          </w:p>
          <w:p>
            <w:pPr>
              <w:pStyle w:val="ListParagraph"/>
              <w:spacing w:before="0" w:after="120"/>
              <w:contextualSpacing/>
              <w:rPr>
                <w:rFonts w:ascii="Garamond" w:hAnsi="Garamond"/>
                <w:sz w:val="20"/>
                <w:szCs w:val="20"/>
              </w:rPr>
            </w:pPr>
            <w:hyperlink r:id="rId11">
              <w:r>
                <w:rPr>
                  <w:rStyle w:val="InternetLink"/>
                  <w:rFonts w:ascii="Garamond" w:hAnsi="Garamond"/>
                  <w:sz w:val="20"/>
                  <w:szCs w:val="20"/>
                </w:rPr>
                <w:t>http://www.safecode.org/publications/SAFECode_Agile_Dev_Security0712.pdf</w:t>
              </w:r>
            </w:hyperlink>
          </w:p>
          <w:p>
            <w:pPr>
              <w:pStyle w:val="Normal"/>
              <w:spacing w:before="0" w:after="120"/>
              <w:rPr>
                <w:rFonts w:ascii="Garamond" w:hAnsi="Garamond"/>
                <w:sz w:val="20"/>
                <w:szCs w:val="20"/>
              </w:rPr>
            </w:pPr>
            <w:r>
              <w:rPr>
                <w:rFonts w:ascii="Garamond" w:hAnsi="Garamond"/>
                <w:sz w:val="20"/>
                <w:szCs w:val="20"/>
              </w:rPr>
              <w:t>${Common_T01260} ${Common_T01270} ${Common_T01280} ${Common_T01290}</w:t>
            </w:r>
          </w:p>
          <w:p>
            <w:pPr>
              <w:pStyle w:val="Normal"/>
              <w:spacing w:before="0" w:after="120"/>
              <w:rPr>
                <w:rFonts w:ascii="Garamond" w:hAnsi="Garamond"/>
                <w:sz w:val="20"/>
                <w:szCs w:val="20"/>
              </w:rPr>
            </w:pPr>
            <w:r>
              <w:rPr>
                <w:rFonts w:ascii="Garamond" w:hAnsi="Garamond"/>
                <w:sz w:val="20"/>
                <w:szCs w:val="20"/>
              </w:rPr>
              <w:t>${Common_T01300} ${Common_T01310}</w:t>
            </w:r>
          </w:p>
          <w:p>
            <w:pPr>
              <w:pStyle w:val="Normal"/>
              <w:spacing w:before="0" w:after="120"/>
              <w:rPr>
                <w:rStyle w:val="InternetLink"/>
                <w:rFonts w:ascii="Garamond" w:hAnsi="Garamond"/>
                <w:sz w:val="20"/>
                <w:szCs w:val="20"/>
              </w:rPr>
            </w:pPr>
            <w:hyperlink r:id="rId12">
              <w:r>
                <w:rPr>
                  <w:rStyle w:val="InternetLink"/>
                  <w:rFonts w:ascii="Garamond" w:hAnsi="Garamond"/>
                  <w:sz w:val="20"/>
                  <w:szCs w:val="20"/>
                </w:rPr>
                <w:t>https://youtu.be/i5Y0akWj31k</w:t>
              </w:r>
            </w:hyperlink>
            <w:hyperlink r:id="rId13">
              <w:r>
                <w:rPr>
                  <w:rStyle w:val="InternetLink"/>
                  <w:rFonts w:ascii="Garamond" w:hAnsi="Garamond"/>
                  <w:sz w:val="20"/>
                  <w:szCs w:val="20"/>
                </w:rPr>
                <w:t>https://www.owasp.org/index.php/File:Cornucopia-scoresheet.pdf</w:t>
              </w:r>
            </w:hyperlink>
          </w:p>
          <w:p>
            <w:pPr>
              <w:pStyle w:val="CHeadTop"/>
              <w:rPr/>
            </w:pPr>
            <w:r>
              <w:rPr/>
              <w:t>${Common_T01900}</w:t>
            </w:r>
          </w:p>
          <w:p>
            <w:pPr>
              <w:pStyle w:val="Normal"/>
              <w:spacing w:before="0" w:after="120"/>
              <w:rPr>
                <w:rFonts w:ascii="Garamond" w:hAnsi="Garamond"/>
                <w:sz w:val="20"/>
                <w:szCs w:val="20"/>
              </w:rPr>
            </w:pPr>
            <w:r>
              <w:rPr>
                <w:rFonts w:ascii="Garamond" w:hAnsi="Garamond"/>
                <w:sz w:val="20"/>
                <w:szCs w:val="20"/>
              </w:rPr>
              <w:t>${Common_T01910} ${Common_T01920} ${Common_T01930}</w:t>
            </w:r>
          </w:p>
          <w:p>
            <w:pPr>
              <w:pStyle w:val="Normal"/>
              <w:spacing w:before="0" w:after="120"/>
              <w:rPr>
                <w:rFonts w:ascii="Garamond" w:hAnsi="Garamond"/>
                <w:sz w:val="20"/>
                <w:szCs w:val="20"/>
              </w:rPr>
            </w:pPr>
            <w:r>
              <w:rPr>
                <w:rFonts w:ascii="Garamond" w:hAnsi="Garamond"/>
                <w:sz w:val="20"/>
                <w:szCs w:val="20"/>
              </w:rPr>
              <w:t>${Common_T01940}</w:t>
            </w:r>
          </w:p>
          <w:p>
            <w:pPr>
              <w:pStyle w:val="Normal"/>
              <w:spacing w:before="0" w:after="120"/>
              <w:rPr>
                <w:rFonts w:ascii="Garamond" w:hAnsi="Garamond"/>
                <w:sz w:val="20"/>
                <w:szCs w:val="20"/>
              </w:rPr>
            </w:pPr>
            <w:r>
              <w:rPr>
                <w:rFonts w:ascii="Garamond" w:hAnsi="Garamond"/>
                <w:sz w:val="20"/>
                <w:szCs w:val="20"/>
              </w:rPr>
              <w:t>${Common_T01950} ${Common_T01960} ${Common_T01970}</w:t>
            </w:r>
          </w:p>
          <w:p>
            <w:pPr>
              <w:pStyle w:val="Normal"/>
              <w:spacing w:before="0" w:after="120"/>
              <w:rPr>
                <w:rFonts w:ascii="Garamond" w:hAnsi="Garamond"/>
                <w:sz w:val="20"/>
                <w:szCs w:val="20"/>
              </w:rPr>
            </w:pPr>
            <w:r>
              <w:rPr>
                <w:rFonts w:ascii="Garamond" w:hAnsi="Garamond"/>
                <w:sz w:val="20"/>
                <w:szCs w:val="20"/>
              </w:rPr>
              <w:t>${Common_T01980}</w:t>
            </w:r>
          </w:p>
          <w:p>
            <w:pPr>
              <w:pStyle w:val="Normal"/>
              <w:spacing w:before="0" w:after="120"/>
              <w:rPr>
                <w:rFonts w:ascii="Garamond" w:hAnsi="Garamond"/>
                <w:sz w:val="20"/>
                <w:szCs w:val="20"/>
              </w:rPr>
            </w:pPr>
            <w:r>
              <w:rPr>
                <w:rFonts w:ascii="Garamond" w:hAnsi="Garamond"/>
                <w:sz w:val="20"/>
                <w:szCs w:val="20"/>
              </w:rPr>
              <w:t>${Common_T01990} ${Common_T02000}</w:t>
            </w:r>
          </w:p>
          <w:p>
            <w:pPr>
              <w:pStyle w:val="Normal"/>
              <w:spacing w:before="0" w:after="120"/>
              <w:rPr>
                <w:rFonts w:ascii="Garamond" w:hAnsi="Garamond"/>
                <w:sz w:val="20"/>
                <w:szCs w:val="20"/>
              </w:rPr>
            </w:pPr>
            <w:r>
              <w:rPr>
                <w:rFonts w:ascii="Garamond" w:hAnsi="Garamond"/>
                <w:sz w:val="20"/>
                <w:szCs w:val="20"/>
              </w:rPr>
              <w:t>${Common_T02010} ${Common_T02020} ${Common_T02030}</w:t>
            </w:r>
          </w:p>
          <w:p>
            <w:pPr>
              <w:pStyle w:val="Normal"/>
              <w:spacing w:before="0" w:after="120"/>
              <w:rPr>
                <w:rFonts w:ascii="Garamond" w:hAnsi="Garamond"/>
                <w:sz w:val="20"/>
                <w:szCs w:val="20"/>
              </w:rPr>
            </w:pPr>
            <w:r>
              <w:rPr>
                <w:rFonts w:ascii="Garamond" w:hAnsi="Garamond"/>
                <w:sz w:val="20"/>
                <w:szCs w:val="20"/>
              </w:rPr>
              <w:t>${Common_T02040}</w:t>
            </w:r>
          </w:p>
          <w:p>
            <w:pPr>
              <w:pStyle w:val="CHeadMiddle"/>
              <w:rPr/>
            </w:pPr>
            <w:r>
              <w:rPr/>
              <w:t>${Common_T02100}</w:t>
            </w:r>
          </w:p>
          <w:p>
            <w:pPr>
              <w:pStyle w:val="Normal"/>
              <w:spacing w:before="0" w:after="120"/>
              <w:rPr>
                <w:rFonts w:ascii="Garamond" w:hAnsi="Garamond"/>
                <w:sz w:val="20"/>
                <w:szCs w:val="20"/>
              </w:rPr>
            </w:pPr>
            <w:r>
              <w:rPr>
                <w:rFonts w:ascii="Garamond" w:hAnsi="Garamond"/>
                <w:sz w:val="20"/>
                <w:szCs w:val="20"/>
              </w:rPr>
              <w:t>${Common_T02110} ${Common_T02120}</w:t>
            </w:r>
          </w:p>
          <w:p>
            <w:pPr>
              <w:pStyle w:val="Normal"/>
              <w:rPr>
                <w:rFonts w:ascii="Garamond" w:hAnsi="Garamond"/>
                <w:sz w:val="20"/>
                <w:szCs w:val="20"/>
              </w:rPr>
            </w:pPr>
            <w:r>
              <w:rPr>
                <w:rFonts w:ascii="Garamond" w:hAnsi="Garamond"/>
                <w:sz w:val="20"/>
                <w:szCs w:val="20"/>
              </w:rPr>
              <w:t>${Common_T02130} ${Common_T02140}</w:t>
            </w:r>
          </w:p>
          <w:p>
            <w:pPr>
              <w:pStyle w:val="Normal"/>
              <w:spacing w:before="0" w:after="120"/>
              <w:rPr>
                <w:rStyle w:val="InternetLink"/>
                <w:rFonts w:ascii="Garamond" w:hAnsi="Garamond"/>
                <w:sz w:val="20"/>
                <w:szCs w:val="20"/>
              </w:rPr>
            </w:pPr>
            <w:r>
              <w:rPr>
                <w:rFonts w:ascii="Garamond" w:hAnsi="Garamond"/>
                <w:sz w:val="20"/>
                <w:szCs w:val="20"/>
              </w:rPr>
            </w:r>
          </w:p>
          <w:p>
            <w:pPr>
              <w:pStyle w:val="Normal"/>
              <w:spacing w:before="0" w:after="120"/>
              <w:rPr>
                <w:rFonts w:ascii="Garamond" w:hAnsi="Garamond"/>
                <w:sz w:val="20"/>
                <w:szCs w:val="20"/>
              </w:rPr>
            </w:pPr>
            <w:r>
              <w:rPr>
                <w:rFonts w:ascii="Garamond" w:hAnsi="Garamond"/>
                <w:sz w:val="20"/>
                <w:szCs w:val="20"/>
              </w:rPr>
            </w:r>
          </w:p>
          <w:p>
            <w:pPr>
              <w:pStyle w:val="Normal"/>
              <w:spacing w:before="0" w:after="120"/>
              <w:rPr>
                <w:rFonts w:ascii="Garamond" w:hAnsi="Garamond"/>
                <w:sz w:val="20"/>
                <w:szCs w:val="20"/>
              </w:rPr>
            </w:pPr>
            <w:r>
              <w:rPr>
                <w:rFonts w:ascii="Garamond" w:hAnsi="Garamond"/>
                <w:sz w:val="20"/>
                <w:szCs w:val="20"/>
              </w:rPr>
            </w:r>
          </w:p>
          <w:p>
            <w:pPr>
              <w:pStyle w:val="Normal"/>
              <w:tabs>
                <w:tab w:val="clear" w:pos="720"/>
                <w:tab w:val="right" w:pos="7263" w:leader="none"/>
              </w:tabs>
              <w:spacing w:before="0" w:after="120"/>
              <w:rPr>
                <w:rFonts w:ascii="Garamond" w:hAnsi="Garamond"/>
                <w:b/>
                <w:b/>
                <w:bCs/>
                <w:i/>
                <w:i/>
                <w:sz w:val="22"/>
                <w:szCs w:val="22"/>
              </w:rPr>
            </w:pPr>
            <w:r>
              <w:rPr>
                <w:rFonts w:ascii="Garamond" w:hAnsi="Garamond"/>
                <w:b/>
                <w:bCs/>
                <w:i/>
                <w:sz w:val="22"/>
                <w:szCs w:val="22"/>
              </w:rPr>
            </w:r>
          </w:p>
          <w:p>
            <w:pPr>
              <w:pStyle w:val="Normal"/>
              <w:tabs>
                <w:tab w:val="clear" w:pos="720"/>
                <w:tab w:val="right" w:pos="7263" w:leader="none"/>
              </w:tabs>
              <w:spacing w:before="0" w:after="120"/>
              <w:rPr>
                <w:rFonts w:ascii="Garamond" w:hAnsi="Garamond"/>
                <w:b/>
                <w:b/>
                <w:bCs/>
                <w:i/>
                <w:i/>
                <w:sz w:val="22"/>
                <w:szCs w:val="22"/>
              </w:rPr>
            </w:pPr>
            <w:r>
              <w:rPr>
                <w:rFonts w:ascii="Garamond" w:hAnsi="Garamond"/>
                <w:b/>
                <w:bCs/>
                <w:i/>
                <w:sz w:val="22"/>
                <w:szCs w:val="22"/>
              </w:rPr>
            </w:r>
          </w:p>
          <w:p>
            <w:pPr>
              <w:pStyle w:val="Normal"/>
              <w:tabs>
                <w:tab w:val="clear" w:pos="720"/>
                <w:tab w:val="right" w:pos="7263" w:leader="none"/>
              </w:tabs>
              <w:spacing w:before="0" w:after="120"/>
              <w:rPr>
                <w:rFonts w:ascii="Garamond" w:hAnsi="Garamond"/>
                <w:b/>
                <w:b/>
                <w:bCs/>
                <w:i/>
                <w:i/>
                <w:sz w:val="22"/>
                <w:szCs w:val="22"/>
              </w:rPr>
            </w:pPr>
            <w:r>
              <w:rPr>
                <w:rFonts w:ascii="Garamond" w:hAnsi="Garamond"/>
                <w:b/>
                <w:bCs/>
                <w:i/>
                <w:sz w:val="22"/>
                <w:szCs w:val="22"/>
              </w:rPr>
            </w:r>
          </w:p>
          <w:p>
            <w:pPr>
              <w:pStyle w:val="Normal"/>
              <w:tabs>
                <w:tab w:val="clear" w:pos="720"/>
                <w:tab w:val="right" w:pos="7263" w:leader="none"/>
              </w:tabs>
              <w:spacing w:before="0" w:after="120"/>
              <w:rPr>
                <w:rFonts w:ascii="Garamond" w:hAnsi="Garamond"/>
                <w:b/>
                <w:b/>
                <w:bCs/>
                <w:i/>
                <w:i/>
                <w:sz w:val="22"/>
                <w:szCs w:val="22"/>
              </w:rPr>
            </w:pPr>
            <w:r>
              <w:rPr>
                <w:rFonts w:ascii="Garamond" w:hAnsi="Garamond"/>
                <w:b/>
                <w:bCs/>
                <w:i/>
                <w:sz w:val="22"/>
                <w:szCs w:val="22"/>
              </w:rPr>
            </w:r>
          </w:p>
          <w:p>
            <w:pPr>
              <w:pStyle w:val="Normal"/>
              <w:tabs>
                <w:tab w:val="clear" w:pos="720"/>
                <w:tab w:val="right" w:pos="7263" w:leader="none"/>
              </w:tabs>
              <w:spacing w:before="0" w:after="120"/>
              <w:rPr>
                <w:rFonts w:ascii="Garamond" w:hAnsi="Garamond"/>
                <w:b/>
                <w:b/>
                <w:bCs/>
                <w:i/>
                <w:i/>
                <w:sz w:val="22"/>
                <w:szCs w:val="22"/>
              </w:rPr>
            </w:pPr>
            <w:r>
              <w:rPr>
                <w:rFonts w:ascii="Garamond" w:hAnsi="Garamond"/>
                <w:b/>
                <w:bCs/>
                <w:i/>
                <w:sz w:val="22"/>
                <w:szCs w:val="22"/>
              </w:rPr>
            </w:r>
          </w:p>
          <w:p>
            <w:pPr>
              <w:pStyle w:val="Normal"/>
              <w:tabs>
                <w:tab w:val="clear" w:pos="720"/>
                <w:tab w:val="right" w:pos="7263" w:leader="none"/>
              </w:tabs>
              <w:spacing w:before="0" w:after="120"/>
              <w:rPr>
                <w:rFonts w:ascii="Garamond" w:hAnsi="Garamond"/>
                <w:b/>
                <w:b/>
                <w:bCs/>
                <w:i/>
                <w:i/>
                <w:sz w:val="22"/>
                <w:szCs w:val="22"/>
              </w:rPr>
            </w:pPr>
            <w:r>
              <w:rPr>
                <w:rFonts w:ascii="Garamond" w:hAnsi="Garamond"/>
                <w:b/>
                <w:bCs/>
                <w:i/>
                <w:sz w:val="22"/>
                <w:szCs w:val="22"/>
              </w:rPr>
              <w:t>${Common_T02600}</w:t>
            </w:r>
          </w:p>
          <w:p>
            <w:pPr>
              <w:pStyle w:val="Normal"/>
              <w:tabs>
                <w:tab w:val="clear" w:pos="720"/>
                <w:tab w:val="right" w:pos="7263" w:leader="none"/>
              </w:tabs>
              <w:spacing w:before="0" w:after="120"/>
              <w:jc w:val="right"/>
              <w:rPr>
                <w:rFonts w:ascii="Garamond" w:hAnsi="Garamond"/>
                <w:i/>
                <w:i/>
                <w:sz w:val="20"/>
                <w:szCs w:val="20"/>
              </w:rPr>
            </w:pPr>
            <w:r>
              <w:rPr>
                <w:rFonts w:ascii="Garamond" w:hAnsi="Garamond"/>
                <w:i/>
                <w:sz w:val="20"/>
                <w:szCs w:val="20"/>
              </w:rPr>
              <w:t xml:space="preserve">${Common_T02610} </w:t>
              <w:tab/>
            </w:r>
          </w:p>
          <w:p>
            <w:pPr>
              <w:pStyle w:val="Normal"/>
              <w:spacing w:before="0" w:after="120"/>
              <w:rPr>
                <w:rFonts w:ascii="Garamond" w:hAnsi="Garamond"/>
                <w:i/>
                <w:i/>
                <w:sz w:val="20"/>
                <w:szCs w:val="20"/>
              </w:rPr>
            </w:pPr>
            <w:r>
              <w:rPr>
                <w:rFonts w:ascii="Garamond" w:hAnsi="Garamond"/>
                <w:i/>
                <w:sz w:val="20"/>
                <w:szCs w:val="20"/>
              </w:rPr>
              <w:t>${Common_T02620} ${Common_T02630} ${Common_T02640}</w:t>
            </w:r>
          </w:p>
          <w:p>
            <w:pPr>
              <w:pStyle w:val="Normal"/>
              <w:spacing w:before="0" w:after="120"/>
              <w:rPr>
                <w:rFonts w:ascii="Garamond" w:hAnsi="Garamond"/>
                <w:i/>
                <w:i/>
                <w:sz w:val="20"/>
                <w:szCs w:val="20"/>
              </w:rPr>
            </w:pPr>
            <w:r>
              <w:rPr>
                <w:rFonts w:ascii="Garamond" w:hAnsi="Garamond"/>
                <w:i/>
                <w:sz w:val="20"/>
                <w:szCs w:val="20"/>
              </w:rPr>
              <w:t>${Common_T02650}</w:t>
            </w:r>
          </w:p>
          <w:p>
            <w:pPr>
              <w:pStyle w:val="Normal"/>
              <w:spacing w:before="0" w:after="120"/>
              <w:rPr>
                <w:rFonts w:ascii="Garamond" w:hAnsi="Garamond"/>
                <w:i/>
                <w:i/>
                <w:sz w:val="20"/>
                <w:szCs w:val="20"/>
              </w:rPr>
            </w:pPr>
            <w:r>
              <w:rPr>
                <w:rFonts w:ascii="Garamond" w:hAnsi="Garamond"/>
                <w:i/>
                <w:sz w:val="20"/>
                <w:szCs w:val="20"/>
              </w:rPr>
              <w:t>${Common_T02660}</w:t>
            </w:r>
          </w:p>
          <w:p>
            <w:pPr>
              <w:pStyle w:val="Normal"/>
              <w:spacing w:before="0" w:after="120"/>
              <w:rPr>
                <w:rFonts w:ascii="Garamond" w:hAnsi="Garamond"/>
                <w:i/>
                <w:i/>
                <w:sz w:val="20"/>
                <w:szCs w:val="20"/>
              </w:rPr>
            </w:pPr>
            <w:r>
              <w:rPr>
                <w:rFonts w:ascii="Garamond" w:hAnsi="Garamond"/>
                <w:i/>
                <w:sz w:val="20"/>
                <w:szCs w:val="20"/>
              </w:rPr>
              <w:t>${Common_T02670}</w:t>
            </w:r>
          </w:p>
          <w:p>
            <w:pPr>
              <w:pStyle w:val="Normal"/>
              <w:spacing w:before="0" w:after="120"/>
              <w:rPr>
                <w:rFonts w:ascii="Garamond" w:hAnsi="Garamond"/>
                <w:i/>
                <w:i/>
                <w:sz w:val="20"/>
                <w:szCs w:val="20"/>
              </w:rPr>
            </w:pPr>
            <w:r>
              <w:rPr>
                <w:rFonts w:ascii="Garamond" w:hAnsi="Garamond"/>
                <w:i/>
                <w:sz w:val="20"/>
                <w:szCs w:val="20"/>
              </w:rPr>
              <w:t>${Common_T02680} ${Common_T02690} ${Common_T02700} ${Common_T02710} ${Common_T02720} ${Common_T02730} ${Common_T02740}</w:t>
            </w:r>
          </w:p>
          <w:p>
            <w:pPr>
              <w:pStyle w:val="Normal"/>
              <w:spacing w:before="0" w:after="120"/>
              <w:rPr>
                <w:rFonts w:ascii="Garamond" w:hAnsi="Garamond"/>
                <w:i/>
                <w:i/>
                <w:sz w:val="20"/>
                <w:szCs w:val="20"/>
              </w:rPr>
            </w:pPr>
            <w:r>
              <w:rPr>
                <w:rFonts w:ascii="Garamond" w:hAnsi="Garamond"/>
                <w:i/>
                <w:sz w:val="20"/>
                <w:szCs w:val="20"/>
              </w:rPr>
              <w:t>${Common_T02750}</w:t>
            </w:r>
          </w:p>
          <w:p>
            <w:pPr>
              <w:pStyle w:val="Normal"/>
              <w:spacing w:before="0" w:after="120"/>
              <w:rPr>
                <w:rFonts w:ascii="Garamond" w:hAnsi="Garamond"/>
                <w:i/>
                <w:i/>
                <w:sz w:val="20"/>
                <w:szCs w:val="20"/>
              </w:rPr>
            </w:pPr>
            <w:r>
              <w:rPr>
                <w:rFonts w:ascii="Garamond" w:hAnsi="Garamond"/>
                <w:i/>
                <w:sz w:val="20"/>
                <w:szCs w:val="20"/>
              </w:rPr>
              <w:t>${Common_T02760} ${Common_T02770} ${Common_T02780}</w:t>
            </w:r>
          </w:p>
          <w:p>
            <w:pPr>
              <w:pStyle w:val="Normal"/>
              <w:spacing w:before="0" w:after="120"/>
              <w:rPr>
                <w:rFonts w:ascii="Garamond" w:hAnsi="Garamond"/>
                <w:i/>
                <w:i/>
                <w:sz w:val="20"/>
                <w:szCs w:val="20"/>
              </w:rPr>
            </w:pPr>
            <w:r>
              <w:rPr>
                <w:rFonts w:ascii="Garamond" w:hAnsi="Garamond"/>
                <w:i/>
                <w:sz w:val="20"/>
                <w:szCs w:val="20"/>
              </w:rPr>
              <w:t>${Common_T02790}</w:t>
            </w:r>
          </w:p>
          <w:p>
            <w:pPr>
              <w:pStyle w:val="Normal"/>
              <w:spacing w:before="0" w:after="120"/>
              <w:rPr>
                <w:rFonts w:ascii="Garamond" w:hAnsi="Garamond"/>
                <w:i/>
                <w:i/>
                <w:sz w:val="20"/>
                <w:szCs w:val="20"/>
              </w:rPr>
            </w:pPr>
            <w:r>
              <w:rPr>
                <w:rFonts w:ascii="Garamond" w:hAnsi="Garamond"/>
                <w:i/>
                <w:sz w:val="20"/>
                <w:szCs w:val="20"/>
              </w:rPr>
              <w:t>${Common_T02800} ${Common_T02810}</w:t>
            </w:r>
          </w:p>
          <w:p>
            <w:pPr>
              <w:pStyle w:val="Normal"/>
              <w:spacing w:before="0" w:after="120"/>
              <w:rPr>
                <w:rFonts w:ascii="Garamond" w:hAnsi="Garamond"/>
                <w:i/>
                <w:i/>
                <w:sz w:val="20"/>
                <w:szCs w:val="20"/>
              </w:rPr>
            </w:pPr>
            <w:r>
              <w:rPr>
                <w:rFonts w:ascii="Garamond" w:hAnsi="Garamond"/>
                <w:i/>
                <w:sz w:val="20"/>
                <w:szCs w:val="20"/>
              </w:rPr>
              <w:t>${Common_T02820}</w:t>
            </w:r>
          </w:p>
          <w:p>
            <w:pPr>
              <w:pStyle w:val="Normal"/>
              <w:spacing w:before="0" w:after="120"/>
              <w:rPr>
                <w:rFonts w:ascii="Garamond" w:hAnsi="Garamond"/>
                <w:i/>
                <w:i/>
                <w:sz w:val="20"/>
                <w:szCs w:val="20"/>
              </w:rPr>
            </w:pPr>
            <w:r>
              <w:rPr>
                <w:rFonts w:ascii="Garamond" w:hAnsi="Garamond"/>
                <w:i/>
                <w:sz w:val="20"/>
                <w:szCs w:val="20"/>
              </w:rPr>
              <w:t>${Common_T02830} ${Common_T02840}</w:t>
            </w:r>
          </w:p>
          <w:p>
            <w:pPr>
              <w:pStyle w:val="Normal"/>
              <w:spacing w:before="0" w:after="120"/>
              <w:rPr>
                <w:rFonts w:ascii="Garamond" w:hAnsi="Garamond"/>
                <w:i/>
                <w:i/>
                <w:sz w:val="20"/>
                <w:szCs w:val="20"/>
              </w:rPr>
            </w:pPr>
            <w:r>
              <w:rPr>
                <w:rFonts w:ascii="Garamond" w:hAnsi="Garamond"/>
                <w:i/>
                <w:sz w:val="20"/>
                <w:szCs w:val="20"/>
              </w:rPr>
              <w:t>${Common_T02850}</w:t>
            </w:r>
          </w:p>
          <w:p>
            <w:pPr>
              <w:pStyle w:val="Normal"/>
              <w:spacing w:before="0" w:after="120"/>
              <w:rPr>
                <w:rFonts w:ascii="Garamond" w:hAnsi="Garamond"/>
                <w:i/>
                <w:i/>
                <w:sz w:val="20"/>
                <w:szCs w:val="20"/>
              </w:rPr>
            </w:pPr>
            <w:r>
              <w:rPr>
                <w:rFonts w:ascii="Garamond" w:hAnsi="Garamond"/>
                <w:i/>
                <w:sz w:val="20"/>
                <w:szCs w:val="20"/>
              </w:rPr>
              <w:t>${Common_T02860} ${Common_T02870} ${Common_T02880}</w:t>
            </w:r>
          </w:p>
          <w:p>
            <w:pPr>
              <w:pStyle w:val="Normal"/>
              <w:spacing w:before="0" w:after="120"/>
              <w:rPr>
                <w:rFonts w:ascii="Garamond" w:hAnsi="Garamond"/>
                <w:i/>
                <w:i/>
                <w:sz w:val="20"/>
                <w:szCs w:val="20"/>
              </w:rPr>
            </w:pPr>
            <w:r>
              <w:rPr>
                <w:rFonts w:ascii="Garamond" w:hAnsi="Garamond"/>
                <w:i/>
                <w:sz w:val="20"/>
                <w:szCs w:val="20"/>
              </w:rPr>
              <w:t>${Common_T02890}</w:t>
            </w:r>
          </w:p>
          <w:p>
            <w:pPr>
              <w:pStyle w:val="Normal"/>
              <w:spacing w:before="0" w:after="120"/>
              <w:rPr>
                <w:rFonts w:ascii="Garamond" w:hAnsi="Garamond"/>
                <w:i/>
                <w:i/>
                <w:sz w:val="20"/>
                <w:szCs w:val="20"/>
              </w:rPr>
            </w:pPr>
            <w:r>
              <w:rPr>
                <w:rFonts w:ascii="Garamond" w:hAnsi="Garamond"/>
                <w:i/>
                <w:sz w:val="20"/>
                <w:szCs w:val="20"/>
              </w:rPr>
              <w:t>${Common_T02900} ${Common_T02910} ${Common_T02920}</w:t>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sz w:val="20"/>
                <w:szCs w:val="20"/>
              </w:rPr>
            </w:pPr>
            <w:r>
              <w:rPr>
                <w:rFonts w:ascii="Garamond" w:hAnsi="Garamond"/>
                <w:sz w:val="20"/>
                <w:szCs w:val="20"/>
              </w:rPr>
            </w:r>
          </w:p>
        </w:tc>
        <w:tc>
          <w:tcPr>
            <w:tcW w:w="244" w:type="dxa"/>
            <w:gridSpan w:val="2"/>
            <w:tcBorders>
              <w:top w:val="nil"/>
              <w:left w:val="nil"/>
              <w:bottom w:val="nil"/>
              <w:right w:val="nil"/>
            </w:tcBorders>
          </w:tcPr>
          <w:p>
            <w:pPr>
              <w:pStyle w:val="Normal"/>
              <w:spacing w:before="0" w:after="120"/>
              <w:rPr>
                <w:rFonts w:ascii="Garamond" w:hAnsi="Garamond"/>
                <w:sz w:val="20"/>
                <w:szCs w:val="20"/>
              </w:rPr>
            </w:pPr>
            <w:r>
              <w:rPr>
                <w:rFonts w:ascii="Garamond" w:hAnsi="Garamond"/>
                <w:sz w:val="20"/>
                <w:szCs w:val="20"/>
              </w:rPr>
            </w:r>
          </w:p>
        </w:tc>
        <w:tc>
          <w:tcPr>
            <w:tcW w:w="7581" w:type="dxa"/>
            <w:gridSpan w:val="5"/>
            <w:tcBorders>
              <w:top w:val="nil"/>
              <w:left w:val="nil"/>
              <w:bottom w:val="nil"/>
              <w:right w:val="nil"/>
            </w:tcBorders>
          </w:tcPr>
          <w:p>
            <w:pPr>
              <w:pStyle w:val="CHeadTop"/>
              <w:rPr/>
            </w:pPr>
            <w:r>
              <w:rPr/>
              <w:t>${Common_T01400}</w:t>
            </w:r>
          </w:p>
          <w:p>
            <w:pPr>
              <w:pStyle w:val="CHeadTop"/>
              <w:ind w:left="720" w:hanging="0"/>
              <w:rPr>
                <w:b w:val="false"/>
                <w:b w:val="false"/>
                <w:bCs/>
                <w:sz w:val="20"/>
                <w:szCs w:val="20"/>
              </w:rPr>
            </w:pPr>
            <w:r>
              <w:rPr>
                <w:b w:val="false"/>
                <w:bCs/>
                <w:sz w:val="20"/>
                <w:szCs w:val="20"/>
              </w:rPr>
              <w:t xml:space="preserve">${Common_T01410}                                                                   ${Common_T01420} </w:t>
              <w:br/>
              <w:t xml:space="preserve">${Common_T01430}                                                                     ${Common_T01440}                                                                                                      ${Common_T01450}                                                                                                                                                                                                            </w:t>
            </w:r>
          </w:p>
          <w:p>
            <w:pPr>
              <w:pStyle w:val="CHeadMiddle"/>
              <w:rPr/>
            </w:pPr>
            <w:r>
              <w:rPr/>
              <w:t>${Common_T01500}</w:t>
            </w:r>
          </w:p>
          <w:p>
            <w:pPr>
              <w:pStyle w:val="Normal"/>
              <w:spacing w:before="0" w:after="120"/>
              <w:rPr>
                <w:rFonts w:ascii="Garamond" w:hAnsi="Garamond"/>
                <w:sz w:val="20"/>
                <w:szCs w:val="20"/>
              </w:rPr>
            </w:pPr>
            <w:r>
              <w:rPr>
                <w:rFonts w:ascii="Garamond" w:hAnsi="Garamond"/>
                <w:sz w:val="20"/>
                <w:szCs w:val="20"/>
              </w:rPr>
              <w:t>${Common_T01510} ${Common_T01520} ${Common_T01530}</w:t>
            </w:r>
          </w:p>
          <w:p>
            <w:pPr>
              <w:pStyle w:val="Normal"/>
              <w:spacing w:before="0" w:after="120"/>
              <w:ind w:left="720" w:hanging="0"/>
              <w:rPr>
                <w:rFonts w:ascii="Garamond" w:hAnsi="Garamond"/>
                <w:sz w:val="20"/>
                <w:szCs w:val="20"/>
              </w:rPr>
            </w:pPr>
            <w:r>
              <w:rPr>
                <w:rFonts w:ascii="Garamond" w:hAnsi="Garamond"/>
                <w:sz w:val="20"/>
                <w:szCs w:val="20"/>
              </w:rPr>
              <w:t xml:space="preserve">${Common_T01540}                                                                      ${Common_T01550}                                                                  ${Common_T01560}                                                                       ${Common_T01570}                                                                     ${Common_T01580} ${Common_T01590}          </w:t>
              <w:br/>
              <w:t xml:space="preserve">${Common_T01600}                                                                                                      ${Common_T01610}                </w:t>
            </w:r>
          </w:p>
          <w:p>
            <w:pPr>
              <w:pStyle w:val="CHeadMiddle"/>
              <w:rPr/>
            </w:pPr>
            <w:r>
              <w:rPr/>
              <w:t>${Common_T01700}</w:t>
            </w:r>
          </w:p>
          <w:p>
            <w:pPr>
              <w:pStyle w:val="Normal"/>
              <w:spacing w:before="0" w:after="120"/>
              <w:rPr>
                <w:rFonts w:ascii="Garamond" w:hAnsi="Garamond"/>
                <w:sz w:val="20"/>
                <w:szCs w:val="20"/>
              </w:rPr>
            </w:pPr>
            <w:r>
              <w:rPr>
                <w:rFonts w:ascii="Garamond" w:hAnsi="Garamond"/>
                <w:sz w:val="20"/>
                <w:szCs w:val="20"/>
              </w:rPr>
              <w:t>${Common_T01710}</w:t>
            </w:r>
          </w:p>
          <w:p>
            <w:pPr>
              <w:pStyle w:val="Normal"/>
              <w:spacing w:before="0" w:after="120"/>
              <w:ind w:left="720" w:hanging="0"/>
              <w:rPr>
                <w:rFonts w:ascii="Garamond" w:hAnsi="Garamond"/>
                <w:sz w:val="20"/>
                <w:szCs w:val="20"/>
              </w:rPr>
            </w:pPr>
            <w:r>
              <w:rPr>
                <w:rFonts w:ascii="Garamond" w:hAnsi="Garamond"/>
                <w:sz w:val="20"/>
                <w:szCs w:val="20"/>
              </w:rPr>
              <w:t xml:space="preserve">${Common_T01720}   </w:t>
              <w:br/>
              <w:t xml:space="preserve">${Common_T01730}                                                                                                      ${Common_T01740}                                                          </w:t>
            </w:r>
          </w:p>
          <w:p>
            <w:pPr>
              <w:pStyle w:val="CHeadMiddle"/>
              <w:rPr/>
            </w:pPr>
            <w:r>
              <w:rPr/>
              <w:t>${Common_T01800}</w:t>
            </w:r>
          </w:p>
          <w:p>
            <w:pPr>
              <w:pStyle w:val="Normal"/>
              <w:spacing w:before="0" w:after="120"/>
              <w:ind w:left="720" w:hanging="0"/>
              <w:rPr>
                <w:rFonts w:ascii="Garamond" w:hAnsi="Garamond"/>
                <w:sz w:val="20"/>
                <w:szCs w:val="20"/>
              </w:rPr>
            </w:pPr>
            <w:r>
              <w:rPr>
                <w:rFonts w:ascii="Garamond" w:hAnsi="Garamond"/>
                <w:sz w:val="20"/>
                <w:szCs w:val="20"/>
              </w:rPr>
              <w:t>${Common_T01810}                                                                      ${Common_T01820}</w:t>
            </w:r>
          </w:p>
          <w:p>
            <w:pPr>
              <w:pStyle w:val="CHeadTop"/>
              <w:rPr/>
            </w:pPr>
            <w:r>
              <w:rPr/>
            </w:r>
          </w:p>
          <w:p>
            <w:pPr>
              <w:pStyle w:val="CHeadTop"/>
              <w:rPr/>
            </w:pPr>
            <w:r>
              <w:rPr/>
              <w:t>${Common_T02200}</w:t>
            </w:r>
          </w:p>
          <w:p>
            <w:pPr>
              <w:pStyle w:val="Normal"/>
              <w:spacing w:before="0" w:after="120"/>
              <w:rPr>
                <w:rFonts w:ascii="Garamond" w:hAnsi="Garamond"/>
                <w:sz w:val="20"/>
                <w:szCs w:val="20"/>
              </w:rPr>
            </w:pPr>
            <w:r>
              <w:rPr>
                <w:rFonts w:ascii="Garamond" w:hAnsi="Garamond"/>
                <w:sz w:val="20"/>
                <w:szCs w:val="20"/>
              </w:rPr>
              <w:t>${Common_T02210}</w:t>
            </w:r>
          </w:p>
          <w:tbl>
            <w:tblPr>
              <w:tblStyle w:val="TableGrid"/>
              <w:tblW w:w="5000" w:type="pct"/>
              <w:jc w:val="left"/>
              <w:tblInd w:w="0" w:type="dxa"/>
              <w:tblCellMar>
                <w:top w:w="0" w:type="dxa"/>
                <w:left w:w="57" w:type="dxa"/>
                <w:bottom w:w="0" w:type="dxa"/>
                <w:right w:w="57" w:type="dxa"/>
              </w:tblCellMar>
              <w:tblLook w:val="04a0" w:noHBand="0" w:noVBand="1" w:firstColumn="1" w:lastRow="0" w:lastColumn="0" w:firstRow="1"/>
            </w:tblPr>
            <w:tblGrid>
              <w:gridCol w:w="2845"/>
              <w:gridCol w:w="2355"/>
              <w:gridCol w:w="2167"/>
            </w:tblGrid>
            <w:tr>
              <w:trPr/>
              <w:tc>
                <w:tcPr>
                  <w:tcW w:w="7367" w:type="dxa"/>
                  <w:gridSpan w:val="3"/>
                  <w:tcBorders/>
                  <w:shd w:color="auto" w:fill="17365D" w:themeFill="text2" w:themeFillShade="bf" w:val="clear"/>
                </w:tcPr>
                <w:p>
                  <w:pPr>
                    <w:pStyle w:val="Normal"/>
                    <w:rPr>
                      <w:rFonts w:ascii="Garamond" w:hAnsi="Garamond"/>
                      <w:color w:val="FFFFFF" w:themeColor="background1"/>
                      <w:sz w:val="20"/>
                      <w:szCs w:val="20"/>
                    </w:rPr>
                  </w:pPr>
                  <w:r>
                    <w:rPr>
                      <w:rFonts w:ascii="Garamond" w:hAnsi="Garamond"/>
                      <w:color w:val="FFFFFF" w:themeColor="background1"/>
                      <w:sz w:val="20"/>
                      <w:szCs w:val="20"/>
                    </w:rPr>
                    <w:t>${Common_T02220}</w:t>
                  </w:r>
                </w:p>
              </w:tc>
            </w:tr>
            <w:tr>
              <w:trPr/>
              <w:tc>
                <w:tcPr>
                  <w:tcW w:w="2845" w:type="dxa"/>
                  <w:tcBorders>
                    <w:right w:val="nil"/>
                  </w:tcBorders>
                </w:tcPr>
                <w:p>
                  <w:pPr>
                    <w:pStyle w:val="Normal"/>
                    <w:rPr>
                      <w:rFonts w:ascii="Garamond" w:hAnsi="Garamond"/>
                      <w:sz w:val="20"/>
                      <w:szCs w:val="20"/>
                    </w:rPr>
                  </w:pPr>
                  <w:r>
                    <w:rPr>
                      <w:rFonts w:ascii="Garamond" w:hAnsi="Garamond"/>
                      <w:sz w:val="20"/>
                      <w:szCs w:val="20"/>
                    </w:rPr>
                    <w:t>${Common_T02230}</w:t>
                  </w:r>
                </w:p>
                <w:p>
                  <w:pPr>
                    <w:pStyle w:val="Normal"/>
                    <w:rPr>
                      <w:rFonts w:ascii="Garamond" w:hAnsi="Garamond"/>
                      <w:i/>
                      <w:i/>
                      <w:sz w:val="20"/>
                      <w:szCs w:val="20"/>
                    </w:rPr>
                  </w:pPr>
                  <w:r>
                    <w:rPr>
                      <w:rFonts w:ascii="Garamond" w:hAnsi="Garamond"/>
                      <w:i/>
                      <w:sz w:val="20"/>
                      <w:szCs w:val="20"/>
                    </w:rPr>
                    <w:t>${Common_T02240}</w:t>
                  </w:r>
                </w:p>
                <w:p>
                  <w:pPr>
                    <w:pStyle w:val="Normal"/>
                    <w:rPr>
                      <w:rFonts w:ascii="Garamond" w:hAnsi="Garamond"/>
                      <w:sz w:val="20"/>
                      <w:szCs w:val="20"/>
                    </w:rPr>
                  </w:pPr>
                  <w:r>
                    <w:rPr>
                      <w:rFonts w:ascii="Garamond" w:hAnsi="Garamond"/>
                      <w:sz w:val="20"/>
                      <w:szCs w:val="20"/>
                    </w:rPr>
                    <w:t>${Common_T02250}</w:t>
                  </w:r>
                </w:p>
                <w:p>
                  <w:pPr>
                    <w:pStyle w:val="Normal"/>
                    <w:rPr>
                      <w:rFonts w:ascii="Garamond" w:hAnsi="Garamond"/>
                      <w:i/>
                      <w:i/>
                      <w:sz w:val="20"/>
                      <w:szCs w:val="20"/>
                    </w:rPr>
                  </w:pPr>
                  <w:r>
                    <w:rPr>
                      <w:rFonts w:ascii="Garamond" w:hAnsi="Garamond"/>
                      <w:i/>
                      <w:sz w:val="20"/>
                      <w:szCs w:val="20"/>
                    </w:rPr>
                    <w:t>${Common_T02260}</w:t>
                  </w:r>
                </w:p>
              </w:tc>
              <w:tc>
                <w:tcPr>
                  <w:tcW w:w="2355" w:type="dxa"/>
                  <w:tcBorders>
                    <w:left w:val="nil"/>
                    <w:right w:val="nil"/>
                  </w:tcBorders>
                </w:tcPr>
                <w:p>
                  <w:pPr>
                    <w:pStyle w:val="Normal"/>
                    <w:rPr>
                      <w:rFonts w:ascii="Garamond" w:hAnsi="Garamond"/>
                      <w:sz w:val="20"/>
                      <w:szCs w:val="20"/>
                    </w:rPr>
                  </w:pPr>
                  <w:r>
                    <w:rPr>
                      <w:rFonts w:ascii="Garamond" w:hAnsi="Garamond"/>
                      <w:sz w:val="20"/>
                      <w:szCs w:val="20"/>
                    </w:rPr>
                    <w:t>${Common_T02270}</w:t>
                  </w:r>
                </w:p>
                <w:p>
                  <w:pPr>
                    <w:pStyle w:val="Normal"/>
                    <w:rPr>
                      <w:rFonts w:ascii="Garamond" w:hAnsi="Garamond"/>
                      <w:i/>
                      <w:i/>
                      <w:sz w:val="20"/>
                      <w:szCs w:val="20"/>
                    </w:rPr>
                  </w:pPr>
                  <w:r>
                    <w:rPr>
                      <w:rFonts w:ascii="Garamond" w:hAnsi="Garamond"/>
                      <w:i/>
                      <w:sz w:val="20"/>
                      <w:szCs w:val="20"/>
                    </w:rPr>
                    <w:t>${Common_T02280}</w:t>
                  </w:r>
                </w:p>
                <w:p>
                  <w:pPr>
                    <w:pStyle w:val="Normal"/>
                    <w:rPr>
                      <w:rFonts w:ascii="Garamond" w:hAnsi="Garamond"/>
                      <w:sz w:val="20"/>
                      <w:szCs w:val="20"/>
                    </w:rPr>
                  </w:pPr>
                  <w:r>
                    <w:rPr>
                      <w:rFonts w:ascii="Garamond" w:hAnsi="Garamond"/>
                      <w:sz w:val="20"/>
                      <w:szCs w:val="20"/>
                    </w:rPr>
                    <w:t>${Common_T02290}</w:t>
                  </w:r>
                </w:p>
                <w:p>
                  <w:pPr>
                    <w:pStyle w:val="Normal"/>
                    <w:rPr>
                      <w:rFonts w:ascii="Garamond" w:hAnsi="Garamond"/>
                      <w:i/>
                      <w:i/>
                      <w:sz w:val="20"/>
                      <w:szCs w:val="20"/>
                    </w:rPr>
                  </w:pPr>
                  <w:r>
                    <w:rPr>
                      <w:rFonts w:ascii="Garamond" w:hAnsi="Garamond"/>
                      <w:i/>
                      <w:sz w:val="20"/>
                      <w:szCs w:val="20"/>
                    </w:rPr>
                    <w:t>${Common_T02300}</w:t>
                  </w:r>
                </w:p>
              </w:tc>
              <w:tc>
                <w:tcPr>
                  <w:tcW w:w="2167" w:type="dxa"/>
                  <w:tcBorders>
                    <w:left w:val="nil"/>
                  </w:tcBorders>
                </w:tcPr>
                <w:p>
                  <w:pPr>
                    <w:pStyle w:val="Normal"/>
                    <w:rPr>
                      <w:rFonts w:ascii="Garamond" w:hAnsi="Garamond"/>
                      <w:sz w:val="20"/>
                      <w:szCs w:val="20"/>
                    </w:rPr>
                  </w:pPr>
                  <w:r>
                    <w:rPr>
                      <w:rFonts w:ascii="Garamond" w:hAnsi="Garamond"/>
                      <w:sz w:val="20"/>
                      <w:szCs w:val="20"/>
                    </w:rPr>
                    <w:t>${Common_T02310}</w:t>
                  </w:r>
                </w:p>
                <w:p>
                  <w:pPr>
                    <w:pStyle w:val="Normal"/>
                    <w:rPr>
                      <w:rFonts w:ascii="Garamond" w:hAnsi="Garamond"/>
                      <w:i/>
                      <w:i/>
                      <w:sz w:val="20"/>
                      <w:szCs w:val="20"/>
                    </w:rPr>
                  </w:pPr>
                  <w:r>
                    <w:rPr>
                      <w:rFonts w:ascii="Garamond" w:hAnsi="Garamond"/>
                      <w:i/>
                      <w:sz w:val="20"/>
                      <w:szCs w:val="20"/>
                    </w:rPr>
                    <w:t>${Common_T02320}</w:t>
                  </w:r>
                </w:p>
                <w:p>
                  <w:pPr>
                    <w:pStyle w:val="Normal"/>
                    <w:rPr>
                      <w:rFonts w:ascii="Garamond" w:hAnsi="Garamond"/>
                      <w:sz w:val="20"/>
                      <w:szCs w:val="20"/>
                    </w:rPr>
                  </w:pPr>
                  <w:r>
                    <w:rPr>
                      <w:rFonts w:ascii="Garamond" w:hAnsi="Garamond"/>
                      <w:sz w:val="20"/>
                      <w:szCs w:val="20"/>
                    </w:rPr>
                    <w:t>${Common_T02330}</w:t>
                  </w:r>
                </w:p>
                <w:p>
                  <w:pPr>
                    <w:pStyle w:val="Normal"/>
                    <w:rPr>
                      <w:rFonts w:ascii="Garamond" w:hAnsi="Garamond"/>
                      <w:i/>
                      <w:i/>
                      <w:sz w:val="20"/>
                      <w:szCs w:val="20"/>
                    </w:rPr>
                  </w:pPr>
                  <w:r>
                    <w:rPr>
                      <w:rFonts w:ascii="Garamond" w:hAnsi="Garamond"/>
                      <w:i/>
                      <w:sz w:val="20"/>
                      <w:szCs w:val="20"/>
                    </w:rPr>
                    <w:t>${Common_T02340}</w:t>
                  </w:r>
                </w:p>
              </w:tc>
            </w:tr>
          </w:tbl>
          <w:p>
            <w:pPr>
              <w:pStyle w:val="CHeadMiddle"/>
              <w:rPr/>
            </w:pPr>
            <w:r>
              <w:rPr/>
              <w:t>${Common_T02400}</w:t>
            </w:r>
          </w:p>
          <w:p>
            <w:pPr>
              <w:pStyle w:val="Normal"/>
              <w:spacing w:before="0" w:after="120"/>
              <w:rPr>
                <w:rFonts w:ascii="Garamond" w:hAnsi="Garamond"/>
                <w:sz w:val="20"/>
                <w:szCs w:val="20"/>
              </w:rPr>
            </w:pPr>
            <w:r>
              <w:rPr>
                <w:rFonts w:ascii="Garamond" w:hAnsi="Garamond"/>
                <w:sz w:val="20"/>
                <w:szCs w:val="20"/>
              </w:rPr>
              <w:t>${Common_T02410}</w:t>
            </w:r>
          </w:p>
          <w:tbl>
            <w:tblPr>
              <w:tblStyle w:val="TableGrid"/>
              <w:tblW w:w="5000" w:type="pct"/>
              <w:jc w:val="left"/>
              <w:tblInd w:w="0" w:type="dxa"/>
              <w:tblCellMar>
                <w:top w:w="0" w:type="dxa"/>
                <w:left w:w="57" w:type="dxa"/>
                <w:bottom w:w="0" w:type="dxa"/>
                <w:right w:w="57" w:type="dxa"/>
              </w:tblCellMar>
              <w:tblLook w:val="04a0" w:noHBand="0" w:noVBand="1" w:firstColumn="1" w:lastRow="0" w:lastColumn="0" w:firstRow="1"/>
            </w:tblPr>
            <w:tblGrid>
              <w:gridCol w:w="2845"/>
              <w:gridCol w:w="2355"/>
              <w:gridCol w:w="2167"/>
            </w:tblGrid>
            <w:tr>
              <w:trPr/>
              <w:tc>
                <w:tcPr>
                  <w:tcW w:w="7367" w:type="dxa"/>
                  <w:gridSpan w:val="3"/>
                  <w:tcBorders/>
                  <w:shd w:color="auto" w:fill="17365D" w:themeFill="text2" w:themeFillShade="bf" w:val="clear"/>
                </w:tcPr>
                <w:p>
                  <w:pPr>
                    <w:pStyle w:val="Normal"/>
                    <w:rPr>
                      <w:rFonts w:ascii="Garamond" w:hAnsi="Garamond"/>
                      <w:color w:val="FFFFFF" w:themeColor="background1"/>
                      <w:sz w:val="20"/>
                      <w:szCs w:val="20"/>
                    </w:rPr>
                  </w:pPr>
                  <w:r>
                    <w:rPr>
                      <w:rFonts w:ascii="Garamond" w:hAnsi="Garamond"/>
                      <w:color w:val="FFFFFF" w:themeColor="background1"/>
                      <w:sz w:val="20"/>
                      <w:szCs w:val="20"/>
                    </w:rPr>
                    <w:t>${Common_T02420}</w:t>
                  </w:r>
                </w:p>
              </w:tc>
            </w:tr>
            <w:tr>
              <w:trPr/>
              <w:tc>
                <w:tcPr>
                  <w:tcW w:w="2845" w:type="dxa"/>
                  <w:tcBorders>
                    <w:right w:val="nil"/>
                  </w:tcBorders>
                </w:tcPr>
                <w:p>
                  <w:pPr>
                    <w:pStyle w:val="Normal"/>
                    <w:rPr>
                      <w:rFonts w:ascii="Garamond" w:hAnsi="Garamond"/>
                      <w:sz w:val="20"/>
                      <w:szCs w:val="20"/>
                    </w:rPr>
                  </w:pPr>
                  <w:r>
                    <w:rPr>
                      <w:rFonts w:ascii="Garamond" w:hAnsi="Garamond"/>
                      <w:sz w:val="20"/>
                      <w:szCs w:val="20"/>
                    </w:rPr>
                    <w:t>${Common_T02430}</w:t>
                  </w:r>
                </w:p>
                <w:p>
                  <w:pPr>
                    <w:pStyle w:val="Normal"/>
                    <w:rPr>
                      <w:rFonts w:ascii="Garamond" w:hAnsi="Garamond"/>
                      <w:i/>
                      <w:i/>
                      <w:sz w:val="20"/>
                      <w:szCs w:val="20"/>
                    </w:rPr>
                  </w:pPr>
                  <w:r>
                    <w:rPr>
                      <w:rFonts w:ascii="Garamond" w:hAnsi="Garamond"/>
                      <w:i/>
                      <w:sz w:val="20"/>
                      <w:szCs w:val="20"/>
                    </w:rPr>
                    <w:t>${Common_T02440}</w:t>
                  </w:r>
                </w:p>
                <w:p>
                  <w:pPr>
                    <w:pStyle w:val="Normal"/>
                    <w:rPr>
                      <w:rFonts w:ascii="Garamond" w:hAnsi="Garamond"/>
                      <w:sz w:val="20"/>
                      <w:szCs w:val="20"/>
                    </w:rPr>
                  </w:pPr>
                  <w:r>
                    <w:rPr>
                      <w:rFonts w:ascii="Garamond" w:hAnsi="Garamond"/>
                      <w:sz w:val="20"/>
                      <w:szCs w:val="20"/>
                    </w:rPr>
                    <w:t>${Common_T02450}</w:t>
                  </w:r>
                </w:p>
                <w:p>
                  <w:pPr>
                    <w:pStyle w:val="Normal"/>
                    <w:rPr>
                      <w:rFonts w:ascii="Garamond" w:hAnsi="Garamond"/>
                      <w:i/>
                      <w:i/>
                      <w:sz w:val="20"/>
                      <w:szCs w:val="20"/>
                    </w:rPr>
                  </w:pPr>
                  <w:r>
                    <w:rPr>
                      <w:rFonts w:ascii="Garamond" w:hAnsi="Garamond"/>
                      <w:i/>
                      <w:sz w:val="20"/>
                      <w:szCs w:val="20"/>
                    </w:rPr>
                    <w:t>${Common_T02460}</w:t>
                  </w:r>
                </w:p>
              </w:tc>
              <w:tc>
                <w:tcPr>
                  <w:tcW w:w="2355" w:type="dxa"/>
                  <w:tcBorders>
                    <w:left w:val="nil"/>
                    <w:right w:val="nil"/>
                  </w:tcBorders>
                </w:tcPr>
                <w:p>
                  <w:pPr>
                    <w:pStyle w:val="Normal"/>
                    <w:rPr>
                      <w:rFonts w:ascii="Garamond" w:hAnsi="Garamond"/>
                      <w:sz w:val="20"/>
                      <w:szCs w:val="20"/>
                    </w:rPr>
                  </w:pPr>
                  <w:r>
                    <w:rPr>
                      <w:rFonts w:ascii="Garamond" w:hAnsi="Garamond"/>
                      <w:sz w:val="20"/>
                      <w:szCs w:val="20"/>
                    </w:rPr>
                    <w:t>${Common_T02470}</w:t>
                  </w:r>
                </w:p>
                <w:p>
                  <w:pPr>
                    <w:pStyle w:val="Normal"/>
                    <w:rPr>
                      <w:rFonts w:ascii="Garamond" w:hAnsi="Garamond"/>
                      <w:i/>
                      <w:i/>
                      <w:sz w:val="20"/>
                      <w:szCs w:val="20"/>
                    </w:rPr>
                  </w:pPr>
                  <w:r>
                    <w:rPr>
                      <w:rFonts w:ascii="Garamond" w:hAnsi="Garamond"/>
                      <w:i/>
                      <w:sz w:val="20"/>
                      <w:szCs w:val="20"/>
                    </w:rPr>
                    <w:t>${Common_T02480}</w:t>
                  </w:r>
                </w:p>
                <w:p>
                  <w:pPr>
                    <w:pStyle w:val="Normal"/>
                    <w:rPr>
                      <w:rFonts w:ascii="Garamond" w:hAnsi="Garamond"/>
                      <w:sz w:val="20"/>
                      <w:szCs w:val="20"/>
                    </w:rPr>
                  </w:pPr>
                  <w:r>
                    <w:rPr>
                      <w:rFonts w:ascii="Garamond" w:hAnsi="Garamond"/>
                      <w:sz w:val="20"/>
                      <w:szCs w:val="20"/>
                    </w:rPr>
                    <w:t>${Common_T02490}</w:t>
                  </w:r>
                </w:p>
                <w:p>
                  <w:pPr>
                    <w:pStyle w:val="Normal"/>
                    <w:rPr>
                      <w:rFonts w:ascii="Garamond" w:hAnsi="Garamond"/>
                      <w:i/>
                      <w:i/>
                      <w:sz w:val="20"/>
                      <w:szCs w:val="20"/>
                    </w:rPr>
                  </w:pPr>
                  <w:r>
                    <w:rPr>
                      <w:rFonts w:ascii="Garamond" w:hAnsi="Garamond"/>
                      <w:i/>
                      <w:sz w:val="20"/>
                      <w:szCs w:val="20"/>
                    </w:rPr>
                    <w:t>${Common_T02500}</w:t>
                  </w:r>
                </w:p>
              </w:tc>
              <w:tc>
                <w:tcPr>
                  <w:tcW w:w="2167" w:type="dxa"/>
                  <w:tcBorders>
                    <w:left w:val="nil"/>
                  </w:tcBorders>
                </w:tcPr>
                <w:p>
                  <w:pPr>
                    <w:pStyle w:val="Normal"/>
                    <w:rPr>
                      <w:rFonts w:ascii="Garamond" w:hAnsi="Garamond"/>
                      <w:sz w:val="20"/>
                      <w:szCs w:val="20"/>
                    </w:rPr>
                  </w:pPr>
                  <w:r>
                    <w:rPr>
                      <w:rFonts w:ascii="Garamond" w:hAnsi="Garamond"/>
                      <w:sz w:val="20"/>
                      <w:szCs w:val="20"/>
                    </w:rPr>
                    <w:t>${Common_T02510}</w:t>
                  </w:r>
                </w:p>
                <w:p>
                  <w:pPr>
                    <w:pStyle w:val="Normal"/>
                    <w:rPr>
                      <w:rFonts w:ascii="Garamond" w:hAnsi="Garamond"/>
                      <w:i/>
                      <w:i/>
                      <w:sz w:val="20"/>
                      <w:szCs w:val="20"/>
                    </w:rPr>
                  </w:pPr>
                  <w:r>
                    <w:rPr>
                      <w:rFonts w:ascii="Garamond" w:hAnsi="Garamond"/>
                      <w:i/>
                      <w:sz w:val="20"/>
                      <w:szCs w:val="20"/>
                    </w:rPr>
                    <w:t>${Common_T02520}</w:t>
                  </w:r>
                </w:p>
                <w:p>
                  <w:pPr>
                    <w:pStyle w:val="Normal"/>
                    <w:rPr>
                      <w:rFonts w:ascii="Garamond" w:hAnsi="Garamond"/>
                      <w:sz w:val="20"/>
                      <w:szCs w:val="20"/>
                    </w:rPr>
                  </w:pPr>
                  <w:r>
                    <w:rPr>
                      <w:rFonts w:ascii="Garamond" w:hAnsi="Garamond"/>
                      <w:sz w:val="20"/>
                      <w:szCs w:val="20"/>
                    </w:rPr>
                    <w:t>${Common_T02530}</w:t>
                  </w:r>
                </w:p>
                <w:p>
                  <w:pPr>
                    <w:pStyle w:val="Normal"/>
                    <w:rPr>
                      <w:rFonts w:ascii="Garamond" w:hAnsi="Garamond"/>
                      <w:i/>
                      <w:i/>
                      <w:sz w:val="20"/>
                      <w:szCs w:val="20"/>
                    </w:rPr>
                  </w:pPr>
                  <w:r>
                    <w:rPr>
                      <w:rFonts w:ascii="Garamond" w:hAnsi="Garamond"/>
                      <w:i/>
                      <w:sz w:val="20"/>
                      <w:szCs w:val="20"/>
                    </w:rPr>
                    <w:t>${Common_T02540}</w:t>
                  </w:r>
                </w:p>
              </w:tc>
            </w:tr>
          </w:tbl>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t>${Common_T02930}</w:t>
            </w:r>
          </w:p>
          <w:p>
            <w:pPr>
              <w:pStyle w:val="Normal"/>
              <w:spacing w:before="0" w:after="120"/>
              <w:rPr>
                <w:rFonts w:ascii="Garamond" w:hAnsi="Garamond"/>
                <w:i/>
                <w:i/>
                <w:sz w:val="20"/>
                <w:szCs w:val="20"/>
              </w:rPr>
            </w:pPr>
            <w:r>
              <w:rPr>
                <w:rFonts w:ascii="Garamond" w:hAnsi="Garamond"/>
                <w:i/>
                <w:sz w:val="20"/>
                <w:szCs w:val="20"/>
              </w:rPr>
              <w:t>${Common_T02940} ${Common_T02950} ${Common_T02960} ${Common_T02970} ${Common_T02980} ${Common_T02990}</w:t>
            </w:r>
          </w:p>
          <w:p>
            <w:pPr>
              <w:pStyle w:val="Normal"/>
              <w:spacing w:before="0" w:after="120"/>
              <w:rPr>
                <w:rFonts w:ascii="Garamond" w:hAnsi="Garamond"/>
                <w:i/>
                <w:i/>
                <w:sz w:val="20"/>
                <w:szCs w:val="20"/>
              </w:rPr>
            </w:pPr>
            <w:r>
              <w:rPr>
                <w:rFonts w:ascii="Garamond" w:hAnsi="Garamond"/>
                <w:i/>
                <w:sz w:val="20"/>
                <w:szCs w:val="20"/>
              </w:rPr>
              <w:t>${Common_T03000}</w:t>
            </w:r>
          </w:p>
          <w:p>
            <w:pPr>
              <w:pStyle w:val="Normal"/>
              <w:spacing w:before="0" w:after="120"/>
              <w:rPr>
                <w:rFonts w:ascii="Garamond" w:hAnsi="Garamond"/>
                <w:i/>
                <w:i/>
                <w:sz w:val="20"/>
                <w:szCs w:val="20"/>
              </w:rPr>
            </w:pPr>
            <w:r>
              <w:rPr>
                <w:rFonts w:ascii="Garamond" w:hAnsi="Garamond"/>
                <w:i/>
                <w:sz w:val="20"/>
                <w:szCs w:val="20"/>
              </w:rPr>
              <w:t>${Common_T03010} ${Common_T03020}</w:t>
            </w:r>
          </w:p>
          <w:p>
            <w:pPr>
              <w:pStyle w:val="Normal"/>
              <w:spacing w:before="0" w:after="120"/>
              <w:rPr>
                <w:rFonts w:ascii="Garamond" w:hAnsi="Garamond"/>
                <w:i/>
                <w:i/>
                <w:sz w:val="20"/>
                <w:szCs w:val="20"/>
              </w:rPr>
            </w:pPr>
            <w:r>
              <w:rPr>
                <w:rFonts w:ascii="Garamond" w:hAnsi="Garamond"/>
                <w:i/>
                <w:sz w:val="20"/>
                <w:szCs w:val="20"/>
              </w:rPr>
              <w:t>${Common_T03030}</w:t>
            </w:r>
          </w:p>
          <w:p>
            <w:pPr>
              <w:pStyle w:val="Normal"/>
              <w:spacing w:before="0" w:after="120"/>
              <w:rPr>
                <w:rFonts w:ascii="Garamond" w:hAnsi="Garamond"/>
                <w:i/>
                <w:i/>
                <w:sz w:val="20"/>
                <w:szCs w:val="20"/>
              </w:rPr>
            </w:pPr>
            <w:r>
              <w:rPr>
                <w:rFonts w:ascii="Garamond" w:hAnsi="Garamond"/>
                <w:i/>
                <w:sz w:val="20"/>
                <w:szCs w:val="20"/>
              </w:rPr>
              <w:t>${Common_T03040} ${Common_T03050}</w:t>
            </w:r>
          </w:p>
          <w:p>
            <w:pPr>
              <w:pStyle w:val="Normal"/>
              <w:spacing w:before="0" w:after="120"/>
              <w:rPr>
                <w:rFonts w:ascii="Garamond" w:hAnsi="Garamond"/>
                <w:spacing w:val="-7"/>
                <w:sz w:val="20"/>
                <w:szCs w:val="20"/>
              </w:rPr>
            </w:pPr>
            <w:hyperlink r:id="rId14">
              <w:r>
                <w:rPr>
                  <w:rStyle w:val="InternetLink"/>
                  <w:rFonts w:ascii="Garamond" w:hAnsi="Garamond"/>
                  <w:spacing w:val="-7"/>
                  <w:sz w:val="20"/>
                  <w:szCs w:val="20"/>
                </w:rPr>
                <w:t>https://www.owasp.org/index.php/Cornucopia_-_Ecommerce_Website_Edition_-_Wiki_Deck</w:t>
              </w:r>
            </w:hyperlink>
          </w:p>
          <w:p>
            <w:pPr>
              <w:pStyle w:val="Normal"/>
              <w:spacing w:before="0" w:after="120"/>
              <w:rPr>
                <w:rFonts w:ascii="Garamond" w:hAnsi="Garamond"/>
                <w:i/>
                <w:i/>
                <w:sz w:val="20"/>
                <w:szCs w:val="20"/>
              </w:rPr>
            </w:pPr>
            <w:r>
              <w:rPr>
                <w:rFonts w:ascii="Garamond" w:hAnsi="Garamond"/>
                <w:i/>
                <w:sz w:val="20"/>
                <w:szCs w:val="20"/>
              </w:rPr>
              <w:t>${Common_T03060} ${Common_T03070}</w:t>
            </w:r>
          </w:p>
          <w:p>
            <w:pPr>
              <w:pStyle w:val="Normal"/>
              <w:spacing w:before="0" w:after="120"/>
              <w:rPr>
                <w:rFonts w:ascii="Garamond" w:hAnsi="Garamond"/>
                <w:sz w:val="20"/>
                <w:szCs w:val="20"/>
              </w:rPr>
            </w:pPr>
            <w:r>
              <w:fldChar w:fldCharType="begin"/>
            </w:r>
            <w:r>
              <w:rPr>
                <w:rStyle w:val="InternetLink"/>
                <w:sz w:val="20"/>
                <w:spacing w:val="-4"/>
                <w:szCs w:val="20"/>
                <w:rFonts w:ascii="Garamond" w:hAnsi="Garamond"/>
              </w:rPr>
              <w:instrText> HYPERLINK "https://www.owasp.org/index.php/OWASP_Cornucopia" \l "tab=FAQs"</w:instrText>
            </w:r>
            <w:r>
              <w:rPr>
                <w:rStyle w:val="InternetLink"/>
                <w:sz w:val="20"/>
                <w:spacing w:val="-4"/>
                <w:szCs w:val="20"/>
                <w:rFonts w:ascii="Garamond" w:hAnsi="Garamond"/>
              </w:rPr>
              <w:fldChar w:fldCharType="separate"/>
            </w:r>
            <w:r>
              <w:rPr>
                <w:rStyle w:val="InternetLink"/>
                <w:rFonts w:ascii="Garamond" w:hAnsi="Garamond"/>
                <w:spacing w:val="-4"/>
                <w:sz w:val="20"/>
                <w:szCs w:val="20"/>
              </w:rPr>
              <w:t>https://www.owasp.org/index.php/OWASP_Cornucopia - tab=FAQs</w:t>
            </w:r>
            <w:r>
              <w:rPr>
                <w:rStyle w:val="InternetLink"/>
                <w:sz w:val="20"/>
                <w:spacing w:val="-4"/>
                <w:szCs w:val="20"/>
                <w:rFonts w:ascii="Garamond" w:hAnsi="Garamond"/>
              </w:rPr>
              <w:fldChar w:fldCharType="end"/>
            </w:r>
          </w:p>
          <w:p>
            <w:pPr>
              <w:pStyle w:val="Normal"/>
              <w:spacing w:before="0" w:after="120"/>
              <w:rPr>
                <w:rFonts w:ascii="Garamond" w:hAnsi="Garamond" w:eastAsia="ＭＳ ゴシック" w:cs="" w:cstheme="majorBidi" w:eastAsiaTheme="majorEastAsia"/>
                <w:b/>
                <w:b/>
                <w:bCs/>
                <w:i/>
                <w:i/>
                <w:iCs/>
                <w:color w:val="404040" w:themeColor="text1" w:themeTint="bf"/>
                <w:sz w:val="20"/>
                <w:szCs w:val="20"/>
              </w:rPr>
            </w:pPr>
            <w:r>
              <w:rPr>
                <w:rFonts w:eastAsia="ＭＳ ゴシック" w:cs="" w:cstheme="majorBidi" w:eastAsiaTheme="majorEastAsia" w:ascii="Garamond" w:hAnsi="Garamond"/>
                <w:b/>
                <w:bCs/>
                <w:i/>
                <w:iCs/>
                <w:color w:val="404040" w:themeColor="text1" w:themeTint="bf"/>
                <w:sz w:val="20"/>
                <w:szCs w:val="20"/>
              </w:rPr>
            </w:r>
          </w:p>
        </w:tc>
      </w:tr>
      <w:tr>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pPr>
              <w:pStyle w:val="Normal"/>
              <w:rPr>
                <w:rFonts w:ascii="Garamond" w:hAnsi="Garamond"/>
                <w:sz w:val="20"/>
                <w:szCs w:val="20"/>
              </w:rPr>
            </w:pPr>
            <w:r>
              <w:rPr>
                <w:rFonts w:ascii="Garamond" w:hAnsi="Garamond"/>
                <w:sz w:val="20"/>
                <w:szCs w:val="20"/>
              </w:rPr>
            </w:r>
          </w:p>
        </w:tc>
        <w:tc>
          <w:tcPr>
            <w:tcW w:w="792" w:type="dxa"/>
            <w:tcBorders>
              <w:top w:val="single" w:sz="4" w:space="0" w:color="000000"/>
              <w:left w:val="single" w:sz="4" w:space="0" w:color="000000"/>
              <w:bottom w:val="single" w:sz="4" w:space="0" w:color="000000"/>
              <w:right w:val="single" w:sz="4" w:space="0" w:color="000000"/>
            </w:tcBorders>
            <w:shd w:color="auto" w:fill="929292" w:val="clear"/>
            <w:tcMar>
              <w:left w:w="0" w:type="dxa"/>
              <w:right w:w="0" w:type="dxa"/>
            </w:tcM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81"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12"/>
                <w:szCs w:val="12"/>
              </w:rPr>
            </w:pPr>
            <w:r>
              <w:rPr>
                <w:rFonts w:ascii="Garamond" w:hAnsi="Garamond"/>
                <w:sz w:val="12"/>
                <w:szCs w:val="12"/>
              </w:rPr>
            </w:r>
          </w:p>
        </w:tc>
        <w:tc>
          <w:tcPr>
            <w:tcW w:w="851" w:type="dxa"/>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81" w:type="dxa"/>
            <w:gridSpan w:val="2"/>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12"/>
                <w:szCs w:val="12"/>
              </w:rPr>
            </w:pPr>
            <w:r>
              <w:rPr>
                <w:rFonts w:ascii="Garamond" w:hAnsi="Garamond"/>
                <w:sz w:val="12"/>
                <w:szCs w:val="12"/>
              </w:rPr>
            </w:r>
          </w:p>
        </w:tc>
        <w:tc>
          <w:tcPr>
            <w:tcW w:w="824" w:type="dxa"/>
            <w:gridSpan w:val="2"/>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80"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12"/>
                <w:szCs w:val="12"/>
              </w:rPr>
            </w:pPr>
            <w:r>
              <w:rPr>
                <w:rFonts w:ascii="Garamond" w:hAnsi="Garamond"/>
                <w:sz w:val="12"/>
                <w:szCs w:val="12"/>
              </w:rPr>
            </w:r>
          </w:p>
        </w:tc>
        <w:tc>
          <w:tcPr>
            <w:tcW w:w="828" w:type="dxa"/>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7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12"/>
                <w:szCs w:val="12"/>
              </w:rPr>
            </w:pPr>
            <w:r>
              <w:rPr>
                <w:rFonts w:ascii="Garamond" w:hAnsi="Garamond"/>
                <w:sz w:val="12"/>
                <w:szCs w:val="12"/>
              </w:rPr>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737" w:hRule="exact"/>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2" w:type="dxa"/>
            <w:vMerge w:val="restart"/>
            <w:tcBorders>
              <w:top w:val="single" w:sz="4" w:space="0" w:color="000000"/>
              <w:left w:val="single" w:sz="4" w:space="0" w:color="000000"/>
              <w:bottom w:val="single" w:sz="4" w:space="0" w:color="000000"/>
              <w:right w:val="single" w:sz="4" w:space="0" w:color="000000"/>
            </w:tcBorders>
            <w:shd w:color="auto" w:fill="929292"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A</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BFBFBF" w:themeColor="background1" w:themeShade="bf"/>
                <w:sz w:val="48"/>
                <w:szCs w:val="48"/>
              </w:rPr>
            </w:pPr>
            <w:r>
              <w:rPr>
                <w:rFonts w:ascii="Garamond" w:hAnsi="Garamond"/>
                <w:b/>
                <w:color w:val="BFBFBF" w:themeColor="background1" w:themeShade="bf"/>
                <w:sz w:val="48"/>
                <w:szCs w:val="48"/>
              </w:rPr>
            </w:r>
          </w:p>
        </w:tc>
        <w:tc>
          <w:tcPr>
            <w:tcW w:w="824" w:type="dxa"/>
            <w:gridSpan w:val="2"/>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2</w:t>
            </w:r>
          </w:p>
        </w:tc>
        <w:tc>
          <w:tcPr>
            <w:tcW w:w="828" w:type="dxa"/>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3</w:t>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2268" w:hRule="exact"/>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2"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Je hebt een nieuwe aanval uitgevonden tegen gegevensvalidatie en -codering</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color w:val="404040" w:themeColor="text1" w:themeTint="bf"/>
                <w:sz w:val="16"/>
                <w:szCs w:val="16"/>
              </w:rPr>
            </w:pPr>
            <w:r>
              <w:rPr>
                <w:rFonts w:ascii="Garamond" w:hAnsi="Garamond"/>
                <w:color w:val="404040" w:themeColor="text1" w:themeTint="bf"/>
                <w:sz w:val="16"/>
                <w:szCs w:val="16"/>
              </w:rPr>
              <w:t>(${Common_NoCard})</w:t>
            </w:r>
          </w:p>
        </w:tc>
        <w:tc>
          <w:tcPr>
            <w:tcW w:w="824" w:type="dxa"/>
            <w:gridSpan w:val="2"/>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Brian kan informatie verzamelen over de onderliggende configuraties, schema's, logica, code, software, services en infrastructuur vanwege de inhoud van foutmeldingen, of een slechte configuratie, of de aanwezigheid van standaard installatiebestanden of oude, test, back-up of kopieën van bronnen, of blootstelling van broncode</w:t>
            </w:r>
          </w:p>
        </w:tc>
        <w:tc>
          <w:tcPr>
            <w:tcW w:w="828"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Robert kan kwaadaardige gegevens invoeren omdat het toegestane protocolformaat niet wordt gecontroleerd, of duplicaten worden geaccepteerd, of de structuur niet wordt geverifieerd, of de individuele gegevenselementen niet worden gevalideerd voor formaat, type, bereik, lengte en een witte lijst met toegestane tekens of formaten</w:t>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2041" w:hRule="exact"/>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2"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tcBorders>
              <w:top w:val="single" w:sz="4" w:space="0" w:color="000000"/>
              <w:left w:val="single" w:sz="4" w:space="0" w:color="000000"/>
              <w:bottom w:val="single" w:sz="4" w:space="0" w:color="000000"/>
              <w:right w:val="single" w:sz="4" w:space="0" w:color="000000"/>
            </w:tcBorders>
            <w:tcMar>
              <w:left w:w="170" w:type="dxa"/>
              <w:right w:w="397" w:type="dxa"/>
            </w:tcMar>
          </w:tcPr>
          <w:p>
            <w:pPr>
              <w:pStyle w:val="Normal"/>
              <w:rPr>
                <w:rFonts w:ascii="Garamond" w:hAnsi="Garamond"/>
                <w:i/>
                <w:i/>
                <w:color w:val="7F7F7F" w:themeColor="text1" w:themeTint="80"/>
                <w:sz w:val="20"/>
                <w:szCs w:val="20"/>
              </w:rPr>
            </w:pPr>
            <w:r>
              <w:rPr>
                <w:rFonts w:ascii="Garamond" w:hAnsi="Garamond"/>
                <w:i/>
                <w:color w:val="7F7F7F" w:themeColor="text1" w:themeTint="80"/>
                <w:sz w:val="20"/>
                <w:szCs w:val="20"/>
              </w:rPr>
              <w:t>Lees meer over dit onderwerp in OWASP's gratis spiekbriefjes over invoervalidatie, XSS-preventie, op DOM gebaseerde XSS-preventie, SQL-injectiepreventie en queryparameterisatie</w:t>
            </w:r>
          </w:p>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p>
            <w:pPr>
              <w:pStyle w:val="Normal"/>
              <w:rPr>
                <w:rFonts w:ascii="Garamond" w:hAnsi="Garamond"/>
                <w:sz w:val="20"/>
                <w:szCs w:val="20"/>
              </w:rPr>
            </w:pPr>
            <w:r>
              <w:rPr>
                <w:rFonts w:ascii="Garamond" w:hAnsi="Garamond"/>
                <w:sz w:val="20"/>
                <w:szCs w:val="20"/>
              </w:rPr>
            </w:r>
          </w:p>
        </w:tc>
        <w:tc>
          <w:tcPr>
            <w:tcW w:w="824" w:type="dxa"/>
            <w:gridSpan w:val="2"/>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1.10, 4.5, 8.1, 11.5, 19.1, 19.5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HT1-3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54, 541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4, 23</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28"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5.1, 5.16, 5.17, 5.18, 5.19, 5.20, 11.1, 11.2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737" w:hRule="exact"/>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2" w:type="dxa"/>
            <w:vMerge w:val="restart"/>
            <w:tcBorders>
              <w:top w:val="single" w:sz="4" w:space="0" w:color="000000"/>
              <w:left w:val="single" w:sz="4" w:space="0" w:color="000000"/>
              <w:bottom w:val="single" w:sz="4" w:space="0" w:color="000000"/>
              <w:right w:val="single" w:sz="4" w:space="0" w:color="000000"/>
            </w:tcBorders>
            <w:shd w:color="auto" w:fill="929292"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5</w:t>
            </w:r>
          </w:p>
        </w:tc>
        <w:tc>
          <w:tcPr>
            <w:tcW w:w="824" w:type="dxa"/>
            <w:gridSpan w:val="2"/>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6</w:t>
            </w:r>
          </w:p>
        </w:tc>
        <w:tc>
          <w:tcPr>
            <w:tcW w:w="828" w:type="dxa"/>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7</w:t>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2268" w:hRule="exact"/>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2"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Dave kan kwaadaardige veldnamen of gegevens invoeren omdat het niet wordt gecontroleerd binnen de context van de huidige gebruiker en het huidige proces</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Jee kan de gecentraliseerde coderingsroutines omzeilen omdat ze niet overal worden gebruikt, of de verkeerde coderingen worden gebruikt</w:t>
            </w:r>
          </w:p>
        </w:tc>
        <w:tc>
          <w:tcPr>
            <w:tcW w:w="824" w:type="dxa"/>
            <w:gridSpan w:val="2"/>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Jason kan de gecentraliseerde validatieroutines omzeilen omdat ze niet op alle invoer worden gebruikt</w:t>
            </w:r>
          </w:p>
        </w:tc>
        <w:tc>
          <w:tcPr>
            <w:tcW w:w="828"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Jan kan speciale payloads maken om invoervalidatie te dwarsbomen omdat de tekenset niet is gespecificeerd/afgedwongen, of de gegevens meerdere keren worden gecodeerd, of de gegevens niet volledig worden geconverteerd naar hetzelfde formaat dat de toepassing gebruikt (bijv. gevalideerd, of variabelen zijn niet sterk getypt</w:t>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2155" w:hRule="exact"/>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2"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4.16, 5.16, 5.17, 15.1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24, 35</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1.7, 5.15, 5.21, 5.22, 5.23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2, 17</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24" w:type="dxa"/>
            <w:gridSpan w:val="2"/>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3, 168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1.7, 5.6, 5.19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IE2-3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28"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5.6, 11.8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shd w:color="auto" w:fill="BFBFBF" w:val="clear"/>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929292"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8</w:t>
            </w:r>
          </w:p>
        </w:tc>
        <w:tc>
          <w:tcPr>
            <w:tcW w:w="851" w:type="dxa"/>
            <w:vMerge w:val="restart"/>
            <w:tcBorders>
              <w:top w:val="nil"/>
              <w:left w:val="nil"/>
              <w:bottom w:val="nil"/>
              <w:right w:val="nil"/>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9</w:t>
            </w:r>
          </w:p>
        </w:tc>
        <w:tc>
          <w:tcPr>
            <w:tcW w:w="850" w:type="dxa"/>
            <w:vMerge w:val="restart"/>
            <w:tcBorders>
              <w:top w:val="nil"/>
              <w:left w:val="nil"/>
              <w:bottom w:val="nil"/>
              <w:right w:val="nil"/>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54" w:type="dxa"/>
            <w:tcBorders>
              <w:top w:val="nil"/>
              <w:left w:val="nil"/>
              <w:bottom w:val="nil"/>
              <w:right w:val="nil"/>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10</w:t>
            </w:r>
          </w:p>
        </w:tc>
        <w:tc>
          <w:tcPr>
            <w:tcW w:w="849" w:type="dxa"/>
            <w:vMerge w:val="restart"/>
            <w:tcBorders>
              <w:top w:val="nil"/>
              <w:left w:val="nil"/>
              <w:bottom w:val="nil"/>
              <w:right w:val="nil"/>
            </w:tcBorders>
            <w:shd w:color="auto" w:fill="929292" w:val="clear"/>
            <w:tcMar>
              <w:right w:w="113" w:type="dxa"/>
            </w:tcMar>
            <w:textDirection w:val="tbRl"/>
          </w:tcPr>
          <w:p>
            <w:pPr>
              <w:pStyle w:val="Normal"/>
              <w:ind w:left="113" w:right="113" w:hanging="0"/>
              <w:jc w:val="both"/>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51" w:type="dxa"/>
            <w:tcBorders>
              <w:top w:val="nil"/>
              <w:left w:val="nil"/>
              <w:bottom w:val="nil"/>
              <w:right w:val="nil"/>
            </w:tcBorders>
            <w:shd w:color="auto" w:fill="BFBFBF"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J</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Sarah kan de gecentraliseerde reinigingsroutines omzeilen omdat ze niet volledig worden gebruikt</w:t>
            </w:r>
          </w:p>
        </w:tc>
        <w:tc>
          <w:tcPr>
            <w:tcW w:w="851" w:type="dxa"/>
            <w:vMerge w:val="continue"/>
            <w:tcBorders>
              <w:top w:val="nil"/>
              <w:left w:val="nil"/>
              <w:bottom w:val="nil"/>
              <w:right w:val="nil"/>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Shamun kan invoervalidatie of uitvoervalidatiecontroles omzeilen omdat validatiefouten niet worden afgewezen en/of opgeschoond</w:t>
            </w:r>
          </w:p>
        </w:tc>
        <w:tc>
          <w:tcPr>
            <w:tcW w:w="850" w:type="dxa"/>
            <w:vMerge w:val="continue"/>
            <w:tcBorders>
              <w:top w:val="nil"/>
              <w:left w:val="nil"/>
              <w:bottom w:val="nil"/>
              <w:right w:val="nil"/>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Darío kan misbruik maken van het vertrouwen dat de toepassing stelt in een gegevensbron (bijv. door de gebruiker te definiëren gegevens, manipulatie van lokaal opgeslagen gegevens, wijziging van statusgegevens op een clientapparaat, gebrek aan verificatie van identiteit tijdens gegevensvalidatie zoals Darío kan doe alsof je Colin bent)</w:t>
            </w:r>
          </w:p>
        </w:tc>
        <w:tc>
          <w:tcPr>
            <w:tcW w:w="849" w:type="dxa"/>
            <w:vMerge w:val="continue"/>
            <w:tcBorders>
              <w:top w:val="nil"/>
              <w:left w:val="nil"/>
              <w:bottom w:val="nil"/>
              <w:right w:val="nil"/>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shd w:color="auto" w:fill="BFBFBF" w:val="clear"/>
            <w:tcMar>
              <w:left w:w="170" w:type="dxa"/>
              <w:right w:w="284" w:type="dxa"/>
            </w:tcMar>
          </w:tcPr>
          <w:p>
            <w:pPr>
              <w:pStyle w:val="Normal"/>
              <w:rPr>
                <w:rFonts w:ascii="Garamond" w:hAnsi="Garamond"/>
                <w:sz w:val="20"/>
                <w:szCs w:val="20"/>
              </w:rPr>
            </w:pPr>
            <w:r>
              <w:rPr>
                <w:rFonts w:ascii="Garamond" w:hAnsi="Garamond"/>
                <w:sz w:val="16"/>
                <w:szCs w:val="16"/>
              </w:rPr>
              <w:t>Dennis heeft controle over invoervalidatie, uitvoervalidatie of uitvoercoderingscode of routines zodat ze kunnen worden omzeild</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15, 169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1.7, 5.21, 5.23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2, 17</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IE2-3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5.19, 10.6, 16.2, 16.3, 16.4, 16.5, 16.8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BFBFBF"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1, 17</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5.5, 5.18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RE3, RE4</w:t>
                  </w:r>
                </w:p>
              </w:tc>
            </w:tr>
            <w:tr>
              <w:trPr/>
              <w:tc>
                <w:tcPr>
                  <w:tcW w:w="2410" w:type="dxa"/>
                  <w:tcBorders>
                    <w:top w:val="nil"/>
                    <w:left w:val="nil"/>
                    <w:bottom w:val="single" w:sz="4" w:space="0" w:color="7F7F7F"/>
                    <w:right w:val="nil"/>
                  </w:tcBorders>
                  <w:shd w:color="auto" w:fill="BFBFBF" w:val="clear"/>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87, 207, 554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2, 17</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929292"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color="auto" w:fill="BFBFBF"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color="auto" w:fill="BFBFBF"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c>
          <w:tcPr>
            <w:tcW w:w="849"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FBFBF" w:val="clear"/>
            <w:tcMar>
              <w:left w:w="170" w:type="dxa"/>
              <w:right w:w="284" w:type="dxa"/>
            </w:tcMar>
          </w:tcPr>
          <w:p>
            <w:pPr>
              <w:pStyle w:val="Normal"/>
              <w:rPr>
                <w:rFonts w:ascii="Garamond" w:hAnsi="Garamond"/>
                <w:sz w:val="20"/>
                <w:szCs w:val="20"/>
              </w:rPr>
            </w:pPr>
            <w:r>
              <w:rPr>
                <w:rFonts w:ascii="Garamond" w:hAnsi="Garamond"/>
                <w:sz w:val="16"/>
                <w:szCs w:val="16"/>
              </w:rPr>
              <w:t>Geoff kan gegevens in een client- of device-side-interpreter injecteren omdat een geparametriseerde interface niet wordt gebruikt, of niet correct is geïmplementeerd, of de gegevens niet correct zijn gecodeerd voor de context, of er is geen beperkend beleid ten aanzien van code of gegevens omvat</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FBFBF" w:val="clear"/>
            <w:tcMar>
              <w:left w:w="170" w:type="dxa"/>
              <w:right w:w="284" w:type="dxa"/>
            </w:tcMar>
          </w:tcPr>
          <w:p>
            <w:pPr>
              <w:pStyle w:val="Normal"/>
              <w:rPr>
                <w:rFonts w:ascii="Garamond" w:hAnsi="Garamond"/>
                <w:sz w:val="20"/>
                <w:szCs w:val="20"/>
              </w:rPr>
            </w:pPr>
            <w:r>
              <w:rPr>
                <w:rFonts w:ascii="Garamond" w:hAnsi="Garamond"/>
                <w:sz w:val="16"/>
                <w:szCs w:val="16"/>
              </w:rPr>
              <w:t>Gabe kan gegevens injecteren in een server-side interpreter (bijv. SQL, OS-commando's, Xpath, Server JavaScript, SMTP) omdat een sterk getypeerde geparametriseerde interface niet wordt gebruikt of niet correct is geïmplementeerd</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(${Common_NoCard})</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FBFBF"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 15-16, 19-20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5.15, 5.22, 5.23, 5.24, 5.25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IE1, RP3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2, 17</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FBFBF"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5.10, 5.11, 5.12, 5.13, 5.14, 5.16, 5.21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CIE1, CIE2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23, 28, 76, 152, 160, 261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19-20</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73ABCC"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A</w:t>
            </w:r>
          </w:p>
        </w:tc>
        <w:tc>
          <w:tcPr>
            <w:tcW w:w="851" w:type="dxa"/>
            <w:vMerge w:val="restart"/>
            <w:tcBorders>
              <w:top w:val="nil"/>
              <w:left w:val="nil"/>
              <w:bottom w:val="nil"/>
              <w:right w:val="nil"/>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c>
          <w:tcPr>
            <w:tcW w:w="850" w:type="dxa"/>
            <w:vMerge w:val="restart"/>
            <w:tcBorders>
              <w:top w:val="nil"/>
              <w:left w:val="nil"/>
              <w:bottom w:val="nil"/>
              <w:right w:val="nil"/>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2</w:t>
            </w:r>
          </w:p>
        </w:tc>
        <w:tc>
          <w:tcPr>
            <w:tcW w:w="849" w:type="dxa"/>
            <w:vMerge w:val="restart"/>
            <w:tcBorders>
              <w:top w:val="nil"/>
              <w:left w:val="nil"/>
              <w:bottom w:val="nil"/>
              <w:right w:val="nil"/>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tcMar>
              <w:right w:w="284" w:type="dxa"/>
            </w:tcMar>
          </w:tcPr>
          <w:p>
            <w:pPr>
              <w:pStyle w:val="Normal"/>
              <w:jc w:val="right"/>
              <w:rPr>
                <w:rFonts w:ascii="Garamond" w:hAnsi="Garamond"/>
                <w:b/>
                <w:b/>
                <w:color w:val="73ABCC"/>
                <w:sz w:val="48"/>
                <w:szCs w:val="48"/>
              </w:rPr>
            </w:pPr>
            <w:r>
              <w:rPr>
                <w:rFonts w:ascii="Garamond" w:hAnsi="Garamond"/>
                <w:b/>
                <w:color w:val="95B3D7" w:themeColor="accent1" w:themeTint="99"/>
                <w:sz w:val="48"/>
                <w:szCs w:val="48"/>
              </w:rPr>
              <w:t>3</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73ABCC"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Je hebt een nieuwe aanval tegen authenticatie uitgevonden</w:t>
            </w:r>
          </w:p>
        </w:tc>
        <w:tc>
          <w:tcPr>
            <w:tcW w:w="851"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50"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 xml:space="preserve">James kan authenticatiefuncties uitvoeren zonder dat de echte gebruiker er ooit van op de hoogte is dat dit is gebeurd (bijv. poging om in te loggen, inloggen met gestolen inloggegevens, het wachtwoord opnieuw instellen)  </w:t>
            </w:r>
          </w:p>
        </w:tc>
        <w:tc>
          <w:tcPr>
            <w:tcW w:w="849"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Mohammed kan het wachtwoord van een gebruiker of andere geheimen, zoals beveiligingsvragen, verkrijgen door observatie tijdens invoer, of uit een lokale cache, of uit het geheugen, of tijdens het transport, of door het te lezen vanaf een onbeveiligde locatie, of omdat het op grote schaal wordt gebruikt. bekend is, of omdat het nooit verloopt, of omdat de gebruiker haar eigen wachtwoord niet kan wijzigen</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73ABCC"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397" w:type="dxa"/>
            </w:tcMar>
          </w:tcPr>
          <w:p>
            <w:pPr>
              <w:pStyle w:val="Normal"/>
              <w:rPr>
                <w:rFonts w:ascii="Garamond" w:hAnsi="Garamond"/>
                <w:i/>
                <w:i/>
                <w:color w:val="7F7F7F" w:themeColor="text1" w:themeTint="80"/>
                <w:sz w:val="20"/>
                <w:szCs w:val="20"/>
              </w:rPr>
            </w:pPr>
            <w:r>
              <w:rPr>
                <w:rFonts w:ascii="Garamond" w:hAnsi="Garamond"/>
                <w:i/>
                <w:color w:val="7F7F7F" w:themeColor="text1" w:themeTint="80"/>
                <w:sz w:val="20"/>
                <w:szCs w:val="20"/>
              </w:rPr>
              <w:t>Lees meer over dit onderwerp in de gratis verificatie-cheatsheet van OWASP</w:t>
            </w:r>
          </w:p>
        </w:tc>
        <w:tc>
          <w:tcPr>
            <w:tcW w:w="851"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p>
            <w:pPr>
              <w:pStyle w:val="Normal"/>
              <w:rPr>
                <w:rFonts w:ascii="Garamond" w:hAnsi="Garamond"/>
                <w:sz w:val="20"/>
                <w:szCs w:val="20"/>
              </w:rPr>
            </w:pPr>
            <w:r>
              <w:rPr>
                <w:rFonts w:ascii="Garamond" w:hAnsi="Garamond"/>
                <w:sz w:val="20"/>
                <w:szCs w:val="20"/>
              </w:rPr>
            </w:r>
          </w:p>
        </w:tc>
        <w:tc>
          <w:tcPr>
            <w:tcW w:w="850"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47, 52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2.12, 8.4, 8.10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UT1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2.2, 2.17, 2.24, 8.7, 9.1, 9.4, 9.5, 9.9, 9.11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37, 546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73ABCC"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7</w:t>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Sebastien kan gebruikersnamen gemakkelijk identificeren of opsommen</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Javier kan standaard-, test- of gemakkelijk te raden inloggegevens gebruiken om te verifiëren, of kan een oud account gebruiken of een account dat niet nodig is voor de toepassing</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Sven kan een tijdelijk wachtwoord opnieuw gebruiken omdat de gebruiker het bij het eerste gebruik niet hoeft te wijzigen, of omdat het te lang of niet verloopt, of omdat het geen out-of-band bezorgingsmethode gebruikt (bijv. post, mobiele app , SMS)</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Cecilia kan brute kracht en woordenboekaanvallen gebruiken tegen een of meerdere accounts zonder limiet, of deze aanvallen worden vereenvoudigd vanwege onvoldoende complexiteit, lengte, vervaldatum en hergebruikvereisten voor wachtwoorden</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33, 53</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2.18, 2.28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AE1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383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595959" w:themeColor="text1" w:themeTint="a6"/>
                      <w:sz w:val="12"/>
                      <w:szCs w:val="12"/>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2.22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2.7, 2.20, 2.23, 2.25, 2.27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27</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shd w:color="auto" w:fill="B8CCE4" w:val="clear"/>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73ABCC"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8</w:t>
            </w:r>
          </w:p>
        </w:tc>
        <w:tc>
          <w:tcPr>
            <w:tcW w:w="851" w:type="dxa"/>
            <w:vMerge w:val="restart"/>
            <w:tcBorders>
              <w:top w:val="nil"/>
              <w:left w:val="nil"/>
              <w:bottom w:val="nil"/>
              <w:right w:val="nil"/>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9</w:t>
            </w:r>
          </w:p>
        </w:tc>
        <w:tc>
          <w:tcPr>
            <w:tcW w:w="850" w:type="dxa"/>
            <w:vMerge w:val="restart"/>
            <w:tcBorders>
              <w:top w:val="nil"/>
              <w:left w:val="nil"/>
              <w:bottom w:val="nil"/>
              <w:right w:val="nil"/>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10</w:t>
            </w:r>
          </w:p>
        </w:tc>
        <w:tc>
          <w:tcPr>
            <w:tcW w:w="849" w:type="dxa"/>
            <w:vMerge w:val="restart"/>
            <w:tcBorders>
              <w:top w:val="nil"/>
              <w:left w:val="nil"/>
              <w:bottom w:val="nil"/>
              <w:right w:val="nil"/>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shd w:color="auto" w:fill="B8CCE4"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J</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73ABCC"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Kate kan authenticatie omzeilen omdat het niet beveiligd is (d.w.z. het staat standaard niet-geverifieerde toegang toe)</w:t>
            </w:r>
          </w:p>
        </w:tc>
        <w:tc>
          <w:tcPr>
            <w:tcW w:w="851"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Claudia kan meer kritieke functies uitvoeren omdat de authenticatievereisten te zwak zijn (gebruik bijvoorbeeld geen sterke authenticatie zoals two-factor), of er is geen vereiste om opnieuw te authenticeren voor deze</w:t>
            </w:r>
          </w:p>
        </w:tc>
        <w:tc>
          <w:tcPr>
            <w:tcW w:w="850"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Pravin kan authenticatiecontroles omzeilen omdat een gecentraliseerde standaard, geteste, bewezen en goedgekeurde authenticatiemodule/framework/service, los van de resource die wordt aangevraagd, niet wordt gebruikt</w:t>
            </w:r>
          </w:p>
        </w:tc>
        <w:tc>
          <w:tcPr>
            <w:tcW w:w="849"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shd w:color="auto" w:fill="B8CCE4" w:val="clear"/>
            <w:tcMar>
              <w:left w:w="170" w:type="dxa"/>
              <w:right w:w="284" w:type="dxa"/>
            </w:tcMar>
          </w:tcPr>
          <w:p>
            <w:pPr>
              <w:pStyle w:val="Normal"/>
              <w:rPr>
                <w:rFonts w:ascii="Garamond" w:hAnsi="Garamond"/>
                <w:sz w:val="20"/>
                <w:szCs w:val="20"/>
              </w:rPr>
            </w:pPr>
            <w:r>
              <w:rPr>
                <w:rFonts w:ascii="Garamond" w:hAnsi="Garamond"/>
                <w:sz w:val="16"/>
                <w:szCs w:val="16"/>
              </w:rPr>
              <w:t>Mark heeft toegang tot bronnen of services omdat er geen authenticatievereiste is, of er werd ten onrechte aangenomen dat authenticatie zou worden uitgevoerd door een ander systeem of uitgevoerd in een eerdere actie</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73ABCC"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55-56</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2.1, 2.9, 2.26, 2.31, 4.15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25-27</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1.7, 2.30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90, 115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B8CCE4"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23, 32, 34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73ABCC"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color="auto" w:fill="B8CCE4"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color="auto" w:fill="B8CCE4"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c>
          <w:tcPr>
            <w:tcW w:w="849"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8CCE4" w:val="clear"/>
            <w:tcMar>
              <w:left w:w="170" w:type="dxa"/>
              <w:right w:w="284" w:type="dxa"/>
            </w:tcMar>
          </w:tcPr>
          <w:p>
            <w:pPr>
              <w:pStyle w:val="Normal"/>
              <w:rPr>
                <w:rFonts w:ascii="Garamond" w:hAnsi="Garamond"/>
                <w:sz w:val="20"/>
                <w:szCs w:val="20"/>
              </w:rPr>
            </w:pPr>
            <w:r>
              <w:rPr>
                <w:rFonts w:ascii="Garamond" w:hAnsi="Garamond"/>
                <w:sz w:val="16"/>
                <w:szCs w:val="16"/>
              </w:rPr>
              <w:t>Jaime kan authenticatie omzeilen omdat het niet even strikt wordt afgedwongen voor alle soorten authenticatiefunctionaliteit (bijv. registreren, wachtwoordwijziging, wachtwoordherstel, uitloggen, beheer) of voor alle versies/kanalen (bijv. mobiele website, mobiele app, volledige website, API, callcenter)</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8CCE4" w:val="clear"/>
            <w:tcMar>
              <w:left w:w="170" w:type="dxa"/>
              <w:right w:w="284" w:type="dxa"/>
            </w:tcMar>
          </w:tcPr>
          <w:p>
            <w:pPr>
              <w:pStyle w:val="Normal"/>
              <w:rPr>
                <w:rFonts w:ascii="Garamond" w:hAnsi="Garamond"/>
                <w:sz w:val="20"/>
                <w:szCs w:val="20"/>
              </w:rPr>
            </w:pPr>
            <w:r>
              <w:rPr>
                <w:rFonts w:ascii="Garamond" w:hAnsi="Garamond"/>
                <w:sz w:val="16"/>
                <w:szCs w:val="16"/>
              </w:rPr>
              <w:t>Olga kan authenticatiecode/routines beïnvloeden of wijzigen zodat ze kunnen worden omzeild</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sz w:val="20"/>
                <w:szCs w:val="20"/>
              </w:rPr>
            </w:pPr>
            <w:r>
              <w:rPr>
                <w:rFonts w:ascii="Garamond" w:hAnsi="Garamond"/>
                <w:b/>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sz w:val="20"/>
                <w:szCs w:val="20"/>
              </w:rPr>
            </w:pPr>
            <w:r>
              <w:rPr>
                <w:rFonts w:ascii="Garamond" w:hAnsi="Garamond"/>
                <w:b/>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(${Common_NoCard})</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8CCE4"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23, 29, 42, 49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2.1, 2.8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36, 50, 115, 121, 179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8CCE4"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2.4, 13.2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115, 207, 554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b/>
                <w:b/>
                <w:sz w:val="20"/>
                <w:szCs w:val="20"/>
              </w:rPr>
            </w:pPr>
            <w:r>
              <w:rPr>
                <w:rFonts w:ascii="Garamond" w:hAnsi="Garamond"/>
                <w:b/>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sz w:val="20"/>
                <w:szCs w:val="20"/>
              </w:rPr>
            </w:pPr>
            <w:r>
              <w:rPr>
                <w:rFonts w:ascii="Garamond" w:hAnsi="Garamond"/>
                <w:b/>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sz w:val="20"/>
                <w:szCs w:val="20"/>
              </w:rPr>
            </w:pPr>
            <w:r>
              <w:rPr>
                <w:rFonts w:ascii="Garamond" w:hAnsi="Garamond"/>
                <w:b/>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98C477"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A</w:t>
            </w:r>
          </w:p>
        </w:tc>
        <w:tc>
          <w:tcPr>
            <w:tcW w:w="851" w:type="dxa"/>
            <w:vMerge w:val="restart"/>
            <w:tcBorders>
              <w:top w:val="nil"/>
              <w:left w:val="nil"/>
              <w:bottom w:val="nil"/>
              <w:right w:val="nil"/>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pPr>
              <w:pStyle w:val="Normal"/>
              <w:jc w:val="right"/>
              <w:rPr>
                <w:rFonts w:ascii="Garamond" w:hAnsi="Garamond"/>
                <w:b/>
                <w:b/>
                <w:color w:val="C2D69B" w:themeColor="accent3" w:themeTint="99"/>
                <w:sz w:val="48"/>
                <w:szCs w:val="48"/>
              </w:rPr>
            </w:pPr>
            <w:r>
              <w:rPr>
                <w:rFonts w:ascii="Garamond" w:hAnsi="Garamond"/>
                <w:b/>
                <w:color w:val="C2D69B" w:themeColor="accent3" w:themeTint="99"/>
                <w:sz w:val="48"/>
                <w:szCs w:val="48"/>
              </w:rPr>
            </w:r>
          </w:p>
        </w:tc>
        <w:tc>
          <w:tcPr>
            <w:tcW w:w="850" w:type="dxa"/>
            <w:vMerge w:val="restart"/>
            <w:tcBorders>
              <w:top w:val="nil"/>
              <w:left w:val="nil"/>
              <w:bottom w:val="nil"/>
              <w:right w:val="nil"/>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2</w:t>
            </w:r>
          </w:p>
        </w:tc>
        <w:tc>
          <w:tcPr>
            <w:tcW w:w="849" w:type="dxa"/>
            <w:vMerge w:val="restart"/>
            <w:tcBorders>
              <w:top w:val="nil"/>
              <w:left w:val="nil"/>
              <w:bottom w:val="nil"/>
              <w:right w:val="nil"/>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3</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Je hebt een nieuwe aanval tegen Session Management uitgevonden</w:t>
            </w:r>
          </w:p>
        </w:tc>
        <w:tc>
          <w:tcPr>
            <w:tcW w:w="851"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50"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William heeft controle over het genereren van sessie-ID's</w:t>
            </w:r>
          </w:p>
        </w:tc>
        <w:tc>
          <w:tcPr>
            <w:tcW w:w="849"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Ryan kan één account parallel gebruiken, aangezien gelijktijdige sessies zijn toegestaan</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397" w:type="dxa"/>
            </w:tcMar>
          </w:tcPr>
          <w:p>
            <w:pPr>
              <w:pStyle w:val="Normal"/>
              <w:rPr>
                <w:rFonts w:ascii="Garamond" w:hAnsi="Garamond"/>
                <w:sz w:val="16"/>
                <w:szCs w:val="16"/>
              </w:rPr>
            </w:pPr>
            <w:r>
              <w:rPr>
                <w:rFonts w:ascii="Garamond" w:hAnsi="Garamond"/>
                <w:i/>
                <w:color w:val="7F7F7F" w:themeColor="text1" w:themeTint="80"/>
                <w:sz w:val="20"/>
                <w:szCs w:val="20"/>
              </w:rPr>
              <w:t>Lees meer over dit onderwerp in OWASP's gratis spiekbriefjes over sessiebeheer en preventie van Cross Site Request Forgery (CSRF)</w:t>
            </w:r>
          </w:p>
        </w:tc>
        <w:tc>
          <w:tcPr>
            <w:tcW w:w="851"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p>
            <w:pPr>
              <w:pStyle w:val="Normal"/>
              <w:rPr>
                <w:rFonts w:ascii="Garamond" w:hAnsi="Garamond"/>
                <w:sz w:val="20"/>
                <w:szCs w:val="20"/>
              </w:rPr>
            </w:pPr>
            <w:r>
              <w:rPr>
                <w:rFonts w:ascii="Garamond" w:hAnsi="Garamond"/>
                <w:sz w:val="20"/>
                <w:szCs w:val="20"/>
              </w:rPr>
            </w:r>
          </w:p>
        </w:tc>
        <w:tc>
          <w:tcPr>
            <w:tcW w:w="850"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58-59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SE2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3.16, 3.17, 3.18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98C477"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7</w:t>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Alison kan sessie-identificatiecookies instellen op een andere webtoepassing omdat het domein en pad niet voldoende zijn beperkt</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John kan sessie-ID's voorspellen of raden omdat ze niet worden gewijzigd wanneer de rol van de gebruiker verandert (bijv. pre- en postauthenticatie) en bij het schakelen tussen niet-versleutelde en versleutelde communicatie, of niet lang genoeg en willekeurig zijn, of niet worden gewijzigd periodiek</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Gary kan de sessie van een gebruiker overnemen omdat er een lange of geen time-out voor inactiviteit is, of een lange of geen algemene sessietijdslimiet, of dezelfde sessie kan worden gebruikt vanaf meer dan één apparaat/locatie</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Casey kan de sessie van Adam gebruiken nadat hij klaar is, omdat er geen uitlogfunctie is, of hij kan niet gemakkelijk uitloggen, of uitloggen beëindigt de sessie niet correct</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59, 61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SE2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31, 61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3.2, 3.7, 3.11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SE4-6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64-65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3.3, 3.4, 3.16, 3.17, 3.18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62-63</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3.2, 3.5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shd w:color="auto" w:fill="D6E3BC" w:val="clear"/>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98C477"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8</w:t>
            </w:r>
          </w:p>
        </w:tc>
        <w:tc>
          <w:tcPr>
            <w:tcW w:w="851" w:type="dxa"/>
            <w:vMerge w:val="restart"/>
            <w:tcBorders>
              <w:top w:val="nil"/>
              <w:left w:val="nil"/>
              <w:bottom w:val="nil"/>
              <w:right w:val="nil"/>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9</w:t>
            </w:r>
          </w:p>
        </w:tc>
        <w:tc>
          <w:tcPr>
            <w:tcW w:w="850" w:type="dxa"/>
            <w:vMerge w:val="restart"/>
            <w:tcBorders>
              <w:top w:val="nil"/>
              <w:left w:val="nil"/>
              <w:bottom w:val="nil"/>
              <w:right w:val="nil"/>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10</w:t>
            </w:r>
          </w:p>
        </w:tc>
        <w:tc>
          <w:tcPr>
            <w:tcW w:w="849" w:type="dxa"/>
            <w:vMerge w:val="restart"/>
            <w:tcBorders>
              <w:top w:val="nil"/>
              <w:left w:val="nil"/>
              <w:bottom w:val="nil"/>
              <w:right w:val="nil"/>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shd w:color="auto" w:fill="D6E3BC"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J</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Matt kan misbruik maken van lange sessies omdat de applicatie geen periodieke herauthenticatie vereist om te controleren of de rechten zijn gewijzigd</w:t>
            </w:r>
          </w:p>
        </w:tc>
        <w:tc>
          <w:tcPr>
            <w:tcW w:w="851"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Ivan kan sessie-ID's stelen omdat ze via onveilige kanalen worden verzonden, of worden vastgelegd, of worden onthuld in foutmeldingen, of zijn opgenomen in URL's, of onnodig toegankelijk zijn via code die de aanvaller kan beïnvloeden of wijzigen</w:t>
            </w:r>
          </w:p>
        </w:tc>
        <w:tc>
          <w:tcPr>
            <w:tcW w:w="850"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Marce kan verzoeken vervalsen omdat per sessie, of per verzoek voor meer kritieke acties, sterke willekeurige tokens (d.w.z. anti-CSRF-tokens) of iets dergelijks niet worden gebruikt voor acties die van status veranderen</w:t>
            </w:r>
          </w:p>
        </w:tc>
        <w:tc>
          <w:tcPr>
            <w:tcW w:w="849"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shd w:color="auto" w:fill="D6E3BC" w:val="clear"/>
            <w:tcMar>
              <w:left w:w="170" w:type="dxa"/>
              <w:right w:w="284" w:type="dxa"/>
            </w:tcMar>
          </w:tcPr>
          <w:p>
            <w:pPr>
              <w:pStyle w:val="Normal"/>
              <w:rPr>
                <w:rFonts w:ascii="Garamond" w:hAnsi="Garamond"/>
                <w:sz w:val="20"/>
                <w:szCs w:val="20"/>
              </w:rPr>
            </w:pPr>
            <w:r>
              <w:rPr>
                <w:rFonts w:ascii="Garamond" w:hAnsi="Garamond"/>
                <w:sz w:val="16"/>
                <w:szCs w:val="16"/>
              </w:rPr>
              <w:t>Jeff kan een identieke herhaalde interactie opnieuw verzenden (bijv. HTTP-verzoek, signaal, druk op de knop) en het wordt geaccepteerd, niet afgewezen</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96</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3.6, 8.7, 10.3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31, 60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left" w:pos="527" w:leader="none"/>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73-74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62, 111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D6E3BC"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15.1, 15.2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12, 14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98C477"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color="auto" w:fill="D6E3BC"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color="auto" w:fill="D6E3BC"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c>
          <w:tcPr>
            <w:tcW w:w="849"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6E3BC" w:val="clear"/>
            <w:tcMar>
              <w:left w:w="170" w:type="dxa"/>
              <w:right w:w="284" w:type="dxa"/>
            </w:tcMar>
          </w:tcPr>
          <w:p>
            <w:pPr>
              <w:pStyle w:val="Normal"/>
              <w:rPr>
                <w:rFonts w:ascii="Garamond" w:hAnsi="Garamond"/>
                <w:sz w:val="20"/>
                <w:szCs w:val="20"/>
              </w:rPr>
            </w:pPr>
            <w:r>
              <w:rPr>
                <w:rFonts w:ascii="Garamond" w:hAnsi="Garamond"/>
                <w:sz w:val="16"/>
                <w:szCs w:val="16"/>
              </w:rPr>
              <w:t>Salim kan sessiebeheer omzeilen omdat het niet volledig en consistent wordt toegepast in de hele applicatie</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6E3BC" w:val="clear"/>
            <w:tcMar>
              <w:left w:w="170" w:type="dxa"/>
              <w:right w:w="284" w:type="dxa"/>
            </w:tcMar>
          </w:tcPr>
          <w:p>
            <w:pPr>
              <w:pStyle w:val="Normal"/>
              <w:rPr>
                <w:rFonts w:ascii="Garamond" w:hAnsi="Garamond"/>
                <w:sz w:val="20"/>
                <w:szCs w:val="20"/>
              </w:rPr>
            </w:pPr>
            <w:r>
              <w:rPr>
                <w:rFonts w:ascii="Garamond" w:hAnsi="Garamond"/>
                <w:sz w:val="16"/>
                <w:szCs w:val="16"/>
              </w:rPr>
              <w:t>Peter kan de sessiebeheer controles omzeilen omdat ze zelf gebouwd zijn en/of zwak zijn, in plaats van een standaard framework of goedgekeurde geteste module te gebruiken</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(${Common_NoCard})</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6E3BC"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6E3BC"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58, 60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D9C049"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A</w:t>
            </w:r>
          </w:p>
        </w:tc>
        <w:tc>
          <w:tcPr>
            <w:tcW w:w="851" w:type="dxa"/>
            <w:vMerge w:val="restart"/>
            <w:tcBorders>
              <w:top w:val="nil"/>
              <w:left w:val="nil"/>
              <w:bottom w:val="nil"/>
              <w:right w:val="nil"/>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pPr>
              <w:pStyle w:val="Normal"/>
              <w:jc w:val="right"/>
              <w:rPr>
                <w:rFonts w:ascii="Garamond" w:hAnsi="Garamond"/>
                <w:b/>
                <w:b/>
                <w:color w:val="E0DE92"/>
                <w:sz w:val="48"/>
                <w:szCs w:val="48"/>
              </w:rPr>
            </w:pPr>
            <w:r>
              <w:rPr>
                <w:rFonts w:ascii="Garamond" w:hAnsi="Garamond"/>
                <w:b/>
                <w:color w:val="E0DE92"/>
                <w:sz w:val="48"/>
                <w:szCs w:val="48"/>
              </w:rPr>
            </w:r>
          </w:p>
        </w:tc>
        <w:tc>
          <w:tcPr>
            <w:tcW w:w="850" w:type="dxa"/>
            <w:vMerge w:val="restart"/>
            <w:tcBorders>
              <w:top w:val="nil"/>
              <w:left w:val="nil"/>
              <w:bottom w:val="nil"/>
              <w:right w:val="nil"/>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2</w:t>
            </w:r>
          </w:p>
        </w:tc>
        <w:tc>
          <w:tcPr>
            <w:tcW w:w="849" w:type="dxa"/>
            <w:vMerge w:val="restart"/>
            <w:tcBorders>
              <w:top w:val="nil"/>
              <w:left w:val="nil"/>
              <w:bottom w:val="nil"/>
              <w:right w:val="nil"/>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3</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Je hebt een nieuwe aanval tegen Autorisatie uitgevonden</w:t>
            </w:r>
          </w:p>
        </w:tc>
        <w:tc>
          <w:tcPr>
            <w:tcW w:w="851"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50"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Tim kan beïnvloeden waar gegevens naartoe worden gestuurd of doorgestuurd</w:t>
            </w:r>
          </w:p>
        </w:tc>
        <w:tc>
          <w:tcPr>
            <w:tcW w:w="849"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 xml:space="preserve">Christenen hebben toegang tot informatie waarvoor ze geen toestemming zouden moeten hebben, via een ander mechanisme dat wel toestemming heeft (bijv. zoekindexer, logger, rapportage), of omdat het in de cache is opgeslagen, of langer dan nodig wordt bewaard, of andere informatielekkage </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397" w:type="dxa"/>
            </w:tcMar>
          </w:tcPr>
          <w:p>
            <w:pPr>
              <w:pStyle w:val="Normal"/>
              <w:rPr>
                <w:rFonts w:ascii="Garamond" w:hAnsi="Garamond"/>
                <w:sz w:val="16"/>
                <w:szCs w:val="16"/>
              </w:rPr>
            </w:pPr>
            <w:r>
              <w:rPr>
                <w:rFonts w:ascii="Garamond" w:hAnsi="Garamond"/>
                <w:i/>
                <w:color w:val="7F7F7F" w:themeColor="text1" w:themeTint="80"/>
                <w:sz w:val="20"/>
                <w:szCs w:val="20"/>
              </w:rPr>
              <w:t>Lees meer over dit onderwerp in de ontwikkelings- en testhandleidingen van OWASP</w:t>
            </w:r>
          </w:p>
        </w:tc>
        <w:tc>
          <w:tcPr>
            <w:tcW w:w="851"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p>
            <w:pPr>
              <w:pStyle w:val="Normal"/>
              <w:rPr>
                <w:rFonts w:ascii="Garamond" w:hAnsi="Garamond"/>
                <w:sz w:val="20"/>
                <w:szCs w:val="20"/>
              </w:rPr>
            </w:pPr>
            <w:r>
              <w:rPr>
                <w:rFonts w:ascii="Garamond" w:hAnsi="Garamond"/>
                <w:sz w:val="20"/>
                <w:szCs w:val="20"/>
              </w:rPr>
            </w:r>
          </w:p>
        </w:tc>
        <w:tc>
          <w:tcPr>
            <w:tcW w:w="850"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4.1, 4.16, 16.1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153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 8.2, 9.1-9.6, 9.11, 16.6-16.7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69, 213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D9C049"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7</w:t>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Kelly kan autorisatiecontroles omzeilen omdat ze niet veilig falen (d.w.z. ze geven standaard toegang)</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Chad heeft toegang tot bronnen (inclusief services, processen, AJAX, Flash, video, afbeeldingen, documenten, tijdelijke bestanden, sessiegegevens, systeemeigenschappen, configuratiegegevens, registerinstellingen, logboeken) die hij niet zou moeten kunnen vanwege ontbrekende autorisatie , of als gevolg van overmatigeprivileges (bijvoorbeeld het niet gebruiken van het principe van de minste privileges)</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Eduardo heeft toegang tot gegevens waar hij geen toestemming voor heeft, ook al heeft hij toestemming voor het formulier/pagina/URL/toegangspunt</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Yuanjing heeft toegang tot applicatiefuncties, objecten of eigenschappen waartoe hij geen toegang heeft</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79-80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122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4.1, 4.4, 4.9, 19.3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4.1, 4.4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ACE1-4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122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ACE1-4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122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shd w:color="auto" w:fill="E8E697" w:val="clear"/>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D9C049"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8</w:t>
            </w:r>
          </w:p>
        </w:tc>
        <w:tc>
          <w:tcPr>
            <w:tcW w:w="851" w:type="dxa"/>
            <w:vMerge w:val="restart"/>
            <w:tcBorders>
              <w:top w:val="nil"/>
              <w:left w:val="nil"/>
              <w:bottom w:val="nil"/>
              <w:right w:val="nil"/>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9</w:t>
            </w:r>
          </w:p>
        </w:tc>
        <w:tc>
          <w:tcPr>
            <w:tcW w:w="850" w:type="dxa"/>
            <w:vMerge w:val="restart"/>
            <w:tcBorders>
              <w:top w:val="nil"/>
              <w:left w:val="nil"/>
              <w:bottom w:val="nil"/>
              <w:right w:val="nil"/>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10</w:t>
            </w:r>
          </w:p>
        </w:tc>
        <w:tc>
          <w:tcPr>
            <w:tcW w:w="849" w:type="dxa"/>
            <w:vMerge w:val="restart"/>
            <w:tcBorders>
              <w:top w:val="nil"/>
              <w:left w:val="nil"/>
              <w:bottom w:val="nil"/>
              <w:right w:val="nil"/>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shd w:color="auto" w:fill="E8E697"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J</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Tom kan bedrijfsregels omzeilen door de gebruikelijke procesvolgorde of -stroom te wijzigen, of door het proces in de verkeerde volgorde uit te voeren, of door datum- en tijdwaarden te manipuleren die door de applicatie worden gebruikt, of door geldige functies te gebruiken voor onbedoelde doeleinden, of door anderszins manipuleren van besturingsgegevens</w:t>
            </w:r>
          </w:p>
        </w:tc>
        <w:tc>
          <w:tcPr>
            <w:tcW w:w="851"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Mike kan een applicatie misbruiken door een geldige functie te snel of te vaak te gebruiken, of op een andere manier die niet de bedoeling is, of verbruikt de bronnen van de applicatie, veroorzaakt race-omstandigheden of maakt teveel gebruik van een functie</w:t>
            </w:r>
          </w:p>
        </w:tc>
        <w:tc>
          <w:tcPr>
            <w:tcW w:w="850"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Richard kan de gecentraliseerde autorisatiecontroles omzeilen omdat ze niet volledig worden gebruikt voor alle interacties</w:t>
            </w:r>
          </w:p>
        </w:tc>
        <w:tc>
          <w:tcPr>
            <w:tcW w:w="849"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shd w:color="auto" w:fill="E8E697" w:val="clear"/>
            <w:tcMar>
              <w:left w:w="170" w:type="dxa"/>
              <w:right w:w="284" w:type="dxa"/>
            </w:tcMar>
          </w:tcPr>
          <w:p>
            <w:pPr>
              <w:pStyle w:val="Normal"/>
              <w:rPr>
                <w:rFonts w:ascii="Garamond" w:hAnsi="Garamond"/>
                <w:sz w:val="20"/>
                <w:szCs w:val="20"/>
              </w:rPr>
            </w:pPr>
            <w:r>
              <w:rPr>
                <w:rFonts w:ascii="Garamond" w:hAnsi="Garamond"/>
                <w:sz w:val="16"/>
                <w:szCs w:val="16"/>
              </w:rPr>
              <w:t>Dinis heeft toegang tot informatie over de beveiligingsconfiguratie of heeft toegang tot controlelijsten</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4.10, 4.15, 4.16, 8.13, 15.1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ACE3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10-12</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1, 35</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78, 91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1.7, 4.11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ACE1-4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E8E697"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89-90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4.10, 13.2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75, 133, 203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D9C049"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color="auto" w:fill="E8E697"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color="auto" w:fill="E8E697"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c>
          <w:tcPr>
            <w:tcW w:w="849"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E8E697" w:val="clear"/>
            <w:tcMar>
              <w:left w:w="170" w:type="dxa"/>
              <w:right w:w="284" w:type="dxa"/>
            </w:tcMar>
          </w:tcPr>
          <w:p>
            <w:pPr>
              <w:pStyle w:val="Normal"/>
              <w:rPr>
                <w:rFonts w:ascii="Garamond" w:hAnsi="Garamond"/>
                <w:sz w:val="20"/>
                <w:szCs w:val="20"/>
              </w:rPr>
            </w:pPr>
            <w:r>
              <w:rPr>
                <w:rFonts w:ascii="Garamond" w:hAnsi="Garamond"/>
                <w:sz w:val="16"/>
                <w:szCs w:val="16"/>
              </w:rPr>
              <w:t>Christopher kan een commando injecteren dat de applicatie op een hoger privilegeniveau zal draaien</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E8E697" w:val="clear"/>
            <w:tcMar>
              <w:left w:w="170" w:type="dxa"/>
              <w:right w:w="284" w:type="dxa"/>
            </w:tcMar>
          </w:tcPr>
          <w:p>
            <w:pPr>
              <w:pStyle w:val="Normal"/>
              <w:rPr>
                <w:rFonts w:ascii="Garamond" w:hAnsi="Garamond"/>
                <w:sz w:val="20"/>
                <w:szCs w:val="20"/>
              </w:rPr>
            </w:pPr>
            <w:r>
              <w:rPr>
                <w:rFonts w:ascii="Garamond" w:hAnsi="Garamond"/>
                <w:sz w:val="16"/>
                <w:szCs w:val="16"/>
              </w:rPr>
              <w:t>Ryan kan autorisatiecontroles en machtigingen beïnvloeden of wijzigen, en kan ze daarom omzeilen</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(${Common_NoCard})</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E8E697"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209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17, 30, 69, 234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E8E697"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77, 89, 91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4.9, 4.10, 13.2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tabs>
                      <w:tab w:val="clear" w:pos="720"/>
                      <w:tab w:val="left" w:pos="476" w:leader="none"/>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E8E69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E8E69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A395CA"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A</w:t>
            </w:r>
          </w:p>
        </w:tc>
        <w:tc>
          <w:tcPr>
            <w:tcW w:w="851" w:type="dxa"/>
            <w:vMerge w:val="restart"/>
            <w:tcBorders>
              <w:top w:val="nil"/>
              <w:left w:val="nil"/>
              <w:bottom w:val="nil"/>
              <w:right w:val="nil"/>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pPr>
              <w:pStyle w:val="Normal"/>
              <w:jc w:val="right"/>
              <w:rPr>
                <w:rFonts w:ascii="Garamond" w:hAnsi="Garamond"/>
                <w:b/>
                <w:b/>
                <w:color w:val="B2A1C7" w:themeColor="accent4" w:themeTint="99"/>
                <w:sz w:val="48"/>
                <w:szCs w:val="48"/>
              </w:rPr>
            </w:pPr>
            <w:r>
              <w:rPr>
                <w:rFonts w:ascii="Garamond" w:hAnsi="Garamond"/>
                <w:b/>
                <w:color w:val="B2A1C7" w:themeColor="accent4" w:themeTint="99"/>
                <w:sz w:val="48"/>
                <w:szCs w:val="48"/>
              </w:rPr>
            </w:r>
          </w:p>
        </w:tc>
        <w:tc>
          <w:tcPr>
            <w:tcW w:w="850" w:type="dxa"/>
            <w:vMerge w:val="restart"/>
            <w:tcBorders>
              <w:top w:val="nil"/>
              <w:left w:val="nil"/>
              <w:bottom w:val="nil"/>
              <w:right w:val="nil"/>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2</w:t>
            </w:r>
          </w:p>
        </w:tc>
        <w:tc>
          <w:tcPr>
            <w:tcW w:w="849" w:type="dxa"/>
            <w:vMerge w:val="restart"/>
            <w:tcBorders>
              <w:top w:val="nil"/>
              <w:left w:val="nil"/>
              <w:bottom w:val="nil"/>
              <w:right w:val="nil"/>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tcMar>
              <w:right w:w="284" w:type="dxa"/>
            </w:tcMar>
          </w:tcPr>
          <w:p>
            <w:pPr>
              <w:pStyle w:val="Normal"/>
              <w:jc w:val="right"/>
              <w:rPr>
                <w:rFonts w:ascii="Garamond" w:hAnsi="Garamond"/>
                <w:b/>
                <w:b/>
                <w:color w:val="B2A1C7" w:themeColor="accent4" w:themeTint="99"/>
                <w:sz w:val="48"/>
                <w:szCs w:val="48"/>
              </w:rPr>
            </w:pPr>
            <w:r>
              <w:rPr>
                <w:rFonts w:ascii="Garamond" w:hAnsi="Garamond"/>
                <w:b/>
                <w:color w:val="B2A1C7" w:themeColor="accent4" w:themeTint="99"/>
                <w:sz w:val="48"/>
                <w:szCs w:val="48"/>
              </w:rPr>
              <w:t>3</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Je hebt een nieuwe aanval tegen cryptografie uitgevonden</w:t>
            </w:r>
          </w:p>
        </w:tc>
        <w:tc>
          <w:tcPr>
            <w:tcW w:w="851"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50"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Kyun heeft toegang tot gegevens omdat deze zijn verdoezeld in plaats van een goedgekeurde cryptografische functie te gebruiken</w:t>
            </w:r>
          </w:p>
        </w:tc>
        <w:tc>
          <w:tcPr>
            <w:tcW w:w="849"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Axel kan tijdelijke of permanente gegevens (opgeslagen of in transit), of broncode, of updates/patches, of configuratiegegevens wijzigen, omdat deze niet onderworpen zijn aan integriteitscontrole</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397" w:type="dxa"/>
            </w:tcMar>
          </w:tcPr>
          <w:p>
            <w:pPr>
              <w:pStyle w:val="Normal"/>
              <w:rPr>
                <w:rFonts w:ascii="Garamond" w:hAnsi="Garamond"/>
                <w:sz w:val="16"/>
                <w:szCs w:val="16"/>
              </w:rPr>
            </w:pPr>
            <w:r>
              <w:rPr>
                <w:rFonts w:ascii="Garamond" w:hAnsi="Garamond"/>
                <w:i/>
                <w:color w:val="7F7F7F" w:themeColor="text1" w:themeTint="80"/>
                <w:sz w:val="20"/>
                <w:szCs w:val="20"/>
              </w:rPr>
              <w:t>Lees meer over dit onderwerp in de gratis spiekbriefjes van OWASP over cryptografische opslag en bescherming van transportlagen</w:t>
            </w:r>
          </w:p>
        </w:tc>
        <w:tc>
          <w:tcPr>
            <w:tcW w:w="851"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p>
            <w:pPr>
              <w:pStyle w:val="Normal"/>
              <w:rPr>
                <w:rFonts w:ascii="Garamond" w:hAnsi="Garamond"/>
                <w:sz w:val="20"/>
                <w:szCs w:val="20"/>
              </w:rPr>
            </w:pPr>
            <w:r>
              <w:rPr>
                <w:rFonts w:ascii="Garamond" w:hAnsi="Garamond"/>
                <w:sz w:val="20"/>
                <w:szCs w:val="20"/>
              </w:rPr>
            </w:r>
          </w:p>
        </w:tc>
        <w:tc>
          <w:tcPr>
            <w:tcW w:w="850"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21, 29</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8.11, 11.7, 13.2, 19.5, 19.6, 19.7, 19.8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left" w:pos="501" w:leader="none"/>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A395CA"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7</w:t>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Paulo heeft toegang tot gegevens in transit die niet versleuteld zijn, ook al is het kanaal versleuteld</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Kyle kan cryptografische controles omzeilen omdat ze niet veilig falen (d.w.z. ze zijn standaard onbeschermd)</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Romain kan niet-versleutelde gegevens in het geheugen of onderweg lezen en wijzigen (bijv. cryptografische geheimen, inloggegevens, sessie-ID's, persoonlijke en commercieel gevoelige gegevens), in gebruik of in communicatie binnen de applicatie, of tussen de applicatie en gebruikers, of tussen de applicatie en externe systemen</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Gunter kan versleutelde gegevens tijdens het transport onderscheppen of wijzigen omdat het protocol slecht is geïmplementeerd of zwak is geconfigureerd, of certificaten ongeldig zijn, of certificaten niet worden vertrouwd, of de verbinding kan worden verslechterd tot een zwakkere of niet-versleutelde communicatie</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7.12, 9.2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185-187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7.2, 10.3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tabs>
                      <w:tab w:val="clear" w:pos="720"/>
                      <w:tab w:val="left" w:pos="463" w:leader="none"/>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2.16, 9.2, 9.11, 10.3, 19.2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29</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10.1, 10.5, 10.10, 10.11, 10.12, 10.13, 10.14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31, 216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shd w:color="auto" w:fill="D3CBDE" w:val="clear"/>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A395CA"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8</w:t>
            </w:r>
          </w:p>
        </w:tc>
        <w:tc>
          <w:tcPr>
            <w:tcW w:w="851" w:type="dxa"/>
            <w:vMerge w:val="restart"/>
            <w:tcBorders>
              <w:top w:val="nil"/>
              <w:left w:val="nil"/>
              <w:bottom w:val="nil"/>
              <w:right w:val="nil"/>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9</w:t>
            </w:r>
          </w:p>
        </w:tc>
        <w:tc>
          <w:tcPr>
            <w:tcW w:w="850" w:type="dxa"/>
            <w:vMerge w:val="restart"/>
            <w:tcBorders>
              <w:top w:val="nil"/>
              <w:left w:val="nil"/>
              <w:bottom w:val="nil"/>
              <w:right w:val="nil"/>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10</w:t>
            </w:r>
          </w:p>
        </w:tc>
        <w:tc>
          <w:tcPr>
            <w:tcW w:w="849" w:type="dxa"/>
            <w:vMerge w:val="restart"/>
            <w:tcBorders>
              <w:top w:val="nil"/>
              <w:left w:val="nil"/>
              <w:bottom w:val="nil"/>
              <w:right w:val="nil"/>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shd w:color="auto" w:fill="D3CBDE"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J</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Eoin heeft toegang tot opgeslagen bedrijfsgegevens (bijv. wachtwoorden, sessie-ID's, PII, kaarthoudergegevens) omdat deze niet veilig versleuteld of gehasht zijn</w:t>
            </w:r>
          </w:p>
        </w:tc>
        <w:tc>
          <w:tcPr>
            <w:tcW w:w="851"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Andy kan het genereren van willekeurige getallen, het genereren van willekeurige GUID's, hashing en versleuteling omzeilen omdat ze zelf zijn gemaakt en/of zwak zijn</w:t>
            </w:r>
          </w:p>
        </w:tc>
        <w:tc>
          <w:tcPr>
            <w:tcW w:w="850"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Susanna kan de gebruikte cryptografie breken omdat deze niet sterk genoeg is voor de vereiste mate van bescherming, of niet sterk genoeg is voor de hoeveelheid inspanning die de aanvaller bereid is te leveren</w:t>
            </w:r>
          </w:p>
        </w:tc>
        <w:tc>
          <w:tcPr>
            <w:tcW w:w="849"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shd w:color="auto" w:fill="D3CBDE" w:val="clear"/>
            <w:tcMar>
              <w:left w:w="170" w:type="dxa"/>
              <w:right w:w="284" w:type="dxa"/>
            </w:tcMar>
          </w:tcPr>
          <w:p>
            <w:pPr>
              <w:pStyle w:val="Normal"/>
              <w:rPr>
                <w:rFonts w:ascii="Garamond" w:hAnsi="Garamond"/>
                <w:sz w:val="20"/>
                <w:szCs w:val="20"/>
              </w:rPr>
            </w:pPr>
            <w:r>
              <w:rPr>
                <w:rFonts w:ascii="Garamond" w:hAnsi="Garamond"/>
                <w:sz w:val="16"/>
                <w:szCs w:val="16"/>
              </w:rPr>
              <w:t>Justin kan inloggegevens lezen voor toegang tot interne of externe bronnen, services en andere systemen omdat ze zijn opgeslagen in een niet-versleuteld formaat of opgeslagen in de broncode</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2.13, 7.7, 7.8, 9.2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7.6, 7.7, 7.8, 7.15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104-105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97, 463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D3CBDE"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35, 90, 171-172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2.29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A395CA"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color="auto" w:fill="D3CBDE"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color="auto" w:fill="D3CBDE"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c>
          <w:tcPr>
            <w:tcW w:w="849"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3CBDE" w:val="clear"/>
            <w:tcMar>
              <w:left w:w="170" w:type="dxa"/>
              <w:right w:w="284" w:type="dxa"/>
            </w:tcMar>
          </w:tcPr>
          <w:p>
            <w:pPr>
              <w:pStyle w:val="Normal"/>
              <w:rPr>
                <w:rFonts w:ascii="Garamond" w:hAnsi="Garamond"/>
                <w:sz w:val="20"/>
                <w:szCs w:val="20"/>
              </w:rPr>
            </w:pPr>
            <w:r>
              <w:rPr>
                <w:rFonts w:ascii="Garamond" w:hAnsi="Garamond"/>
                <w:sz w:val="16"/>
                <w:szCs w:val="16"/>
              </w:rPr>
              <w:t>Randolph kan de hoofdcryptografische geheimen openen of voorspellen</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3CBDE" w:val="clear"/>
            <w:tcMar>
              <w:left w:w="170" w:type="dxa"/>
              <w:right w:w="284" w:type="dxa"/>
            </w:tcMar>
          </w:tcPr>
          <w:p>
            <w:pPr>
              <w:pStyle w:val="Normal"/>
              <w:rPr>
                <w:rFonts w:ascii="Garamond" w:hAnsi="Garamond"/>
                <w:sz w:val="20"/>
                <w:szCs w:val="20"/>
              </w:rPr>
            </w:pPr>
            <w:r>
              <w:rPr>
                <w:rFonts w:ascii="Garamond" w:hAnsi="Garamond"/>
                <w:sz w:val="16"/>
                <w:szCs w:val="16"/>
              </w:rPr>
              <w:t>Dan kan cryptografiecode/routines beïnvloeden of wijzigen (encryptie, hashing, digitale handtekeningen, willekeurige getallen en GUID-generatie) en kan ze daarom omzeilen</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(${Common_NoCard})</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3CBDE"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35, 102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7.8, 7.9, 7.11, 7.13, 7.14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tabs>
                      <w:tab w:val="clear" w:pos="720"/>
                      <w:tab w:val="left" w:pos="463" w:leader="none"/>
                    </w:tabs>
                    <w:rPr>
                      <w:rFonts w:ascii="Garamond" w:hAnsi="Garamond"/>
                      <w:color w:val="595959" w:themeColor="text1" w:themeTint="a6"/>
                      <w:sz w:val="12"/>
                      <w:szCs w:val="12"/>
                    </w:rPr>
                  </w:pPr>
                  <w:r>
                    <w:rPr>
                      <w:rFonts w:ascii="Garamond" w:hAnsi="Garamond"/>
                      <w:color w:val="595959" w:themeColor="text1" w:themeTint="a6"/>
                      <w:sz w:val="12"/>
                      <w:szCs w:val="12"/>
                    </w:rPr>
                    <w:t>116-117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21, 29</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3CBDE"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31, 101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7.11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14, 21, 29</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17365D" w:themeFill="text2" w:themeFillShade="bf"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A</w:t>
            </w:r>
          </w:p>
        </w:tc>
        <w:tc>
          <w:tcPr>
            <w:tcW w:w="851" w:type="dxa"/>
            <w:vMerge w:val="restart"/>
            <w:tcBorders>
              <w:top w:val="nil"/>
              <w:left w:val="nil"/>
              <w:bottom w:val="nil"/>
              <w:right w:val="nil"/>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r>
          </w:p>
        </w:tc>
        <w:tc>
          <w:tcPr>
            <w:tcW w:w="850" w:type="dxa"/>
            <w:vMerge w:val="restart"/>
            <w:tcBorders>
              <w:top w:val="nil"/>
              <w:left w:val="nil"/>
              <w:bottom w:val="nil"/>
              <w:right w:val="nil"/>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2</w:t>
            </w:r>
          </w:p>
        </w:tc>
        <w:tc>
          <w:tcPr>
            <w:tcW w:w="849" w:type="dxa"/>
            <w:vMerge w:val="restart"/>
            <w:tcBorders>
              <w:top w:val="nil"/>
              <w:left w:val="nil"/>
              <w:bottom w:val="nil"/>
              <w:right w:val="nil"/>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3</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Je hebt een nieuwe aanval van elk type uitgevonden</w:t>
            </w:r>
          </w:p>
        </w:tc>
        <w:tc>
          <w:tcPr>
            <w:tcW w:w="851"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50"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Lee kan applicatiecontroles omzeilen omdat er gevaarlijke/risicovolle programmeertaalfuncties zijn gebruikt in plaats van veiligere alternatieven, of omdat er typeconversiefouten zijn, of omdat de applicatie onbetrouwbaar is wanneer een externe bron niet beschikbaar is, of er race-omstandigheden zijn, of er zijn resource-initialisatie- of toewijzingsproblemen, of er kunnen overflows optreden</w:t>
            </w:r>
          </w:p>
        </w:tc>
        <w:tc>
          <w:tcPr>
            <w:tcW w:w="849"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tcMar>
              <w:left w:w="170" w:type="dxa"/>
              <w:right w:w="284" w:type="dxa"/>
            </w:tcMar>
          </w:tcPr>
          <w:p>
            <w:pPr>
              <w:pStyle w:val="Normal"/>
              <w:rPr>
                <w:rFonts w:ascii="Garamond" w:hAnsi="Garamond"/>
                <w:sz w:val="16"/>
                <w:szCs w:val="16"/>
              </w:rPr>
            </w:pPr>
            <w:r>
              <w:rPr>
                <w:rFonts w:ascii="Garamond" w:hAnsi="Garamond"/>
                <w:sz w:val="16"/>
                <w:szCs w:val="16"/>
              </w:rPr>
              <w:t>Andrew heeft toegang tot de broncode of kan decompileren, of anderszins toegang krijgen tot bedrijfslogica om te begrijpen hoe de applicatie werkt en eventuele geheimen die erin zitten</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397" w:type="dxa"/>
            </w:tcMar>
          </w:tcPr>
          <w:p>
            <w:pPr>
              <w:pStyle w:val="Normal"/>
              <w:rPr>
                <w:rFonts w:ascii="Garamond" w:hAnsi="Garamond"/>
                <w:sz w:val="16"/>
                <w:szCs w:val="16"/>
              </w:rPr>
            </w:pPr>
            <w:r>
              <w:rPr>
                <w:rFonts w:ascii="Garamond" w:hAnsi="Garamond"/>
                <w:i/>
                <w:color w:val="7F7F7F" w:themeColor="text1" w:themeTint="80"/>
                <w:sz w:val="20"/>
                <w:szCs w:val="20"/>
              </w:rPr>
              <w:t>Lees meer over applicatiebeveiliging in OWASP's gratis Guides on Requirements, Development, Code Review and Testing, de Cheat Sheet-serie en het Open Software Assurance Maturity Model</w:t>
            </w:r>
          </w:p>
        </w:tc>
        <w:tc>
          <w:tcPr>
            <w:tcW w:w="851"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p>
            <w:pPr>
              <w:pStyle w:val="Normal"/>
              <w:rPr>
                <w:rFonts w:ascii="Garamond" w:hAnsi="Garamond"/>
                <w:sz w:val="20"/>
                <w:szCs w:val="20"/>
              </w:rPr>
            </w:pPr>
            <w:r>
              <w:rPr>
                <w:rFonts w:ascii="Garamond" w:hAnsi="Garamond"/>
                <w:sz w:val="20"/>
                <w:szCs w:val="20"/>
              </w:rPr>
            </w:r>
          </w:p>
        </w:tc>
        <w:tc>
          <w:tcPr>
            <w:tcW w:w="850"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134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19.5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17365D" w:themeFill="text2" w:themeFillShade="bf"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7</w:t>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Keith kan een actie uitvoeren en het is niet mogelijk om deze aan hem toe te schrijven</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Larry kan het vertrouwen van andere partijen, inclusief gebruikers, in de applicatie beïnvloeden, of dat vertrouwen ergens anders misbruiken (bijvoorbeeld in een andere applicatie)</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Aaron kan controles omzeilen omdat de afhandeling van fouten/uitzonderingen ontbreekt, of inconsistent of gedeeltelijk is geïmplementeerd, of de toegang niet standaard weigert (d.w.z. fouten zouden de toegang/uitvoering moeten beëindigen), of vertrouwt op afhandeling door een andere service of systeem</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Mwengu's acties kunnen niet worden onderzocht omdat er geen adequaat nauwkeurig tijdstempel is van beveiligingsgebeurtenissen, of er is geen volledige audittrail, of deze kunnen worden gewijzigd of verwijderd door Mwengu, of er is geen gecentraliseerde logservice</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8.10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8.2, 8.4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2.12, 8.3, 8.4, 8.5, 8.6, 8.7, 8.8, 8.9, 8.10, 8.11, 8.12, 9.10, 10.4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16"/>
                <w:szCs w:val="16"/>
              </w:rPr>
            </w:pPr>
            <w:r>
              <w:rPr>
                <w:rFonts w:ascii="Garamond" w:hAnsi="Garamond"/>
                <w:sz w:val="16"/>
                <w:szCs w:val="16"/>
              </w:rPr>
            </w:r>
          </w:p>
        </w:tc>
        <w:tc>
          <w:tcPr>
            <w:tcW w:w="793"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shd w:color="auto" w:fill="C6D9F1" w:themeFill="text2" w:themeFillTint="33" w:val="clear"/>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17365D" w:themeFill="text2" w:themeFillShade="bf"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8</w:t>
            </w:r>
          </w:p>
        </w:tc>
        <w:tc>
          <w:tcPr>
            <w:tcW w:w="851" w:type="dxa"/>
            <w:vMerge w:val="restart"/>
            <w:tcBorders>
              <w:top w:val="nil"/>
              <w:left w:val="nil"/>
              <w:bottom w:val="nil"/>
              <w:right w:val="nil"/>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9</w:t>
            </w:r>
          </w:p>
        </w:tc>
        <w:tc>
          <w:tcPr>
            <w:tcW w:w="850" w:type="dxa"/>
            <w:vMerge w:val="restart"/>
            <w:tcBorders>
              <w:top w:val="nil"/>
              <w:left w:val="nil"/>
              <w:bottom w:val="nil"/>
              <w:right w:val="nil"/>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10</w:t>
            </w:r>
          </w:p>
        </w:tc>
        <w:tc>
          <w:tcPr>
            <w:tcW w:w="849" w:type="dxa"/>
            <w:vMerge w:val="restart"/>
            <w:tcBorders>
              <w:top w:val="nil"/>
              <w:left w:val="nil"/>
              <w:bottom w:val="nil"/>
              <w:right w:val="nil"/>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shd w:color="auto" w:fill="C6D9F1" w:themeFill="text2" w:themeFillTint="33"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J</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David kan de applicatie omzeilen om toegang te krijgen tot gegevens omdat de netwerk- en hostinfrastructuur en ondersteunende services/applicaties niet veilig zijn geconfigureerd, de configuratie periodiek opnieuw is gecontroleerd en beveiligingspatches zijn toegepast, of de gegevens lokaal zijn opgeslagen, of de gegevens zijn niet fysiek beschermd</w:t>
            </w:r>
          </w:p>
        </w:tc>
        <w:tc>
          <w:tcPr>
            <w:tcW w:w="851"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Michael kan de applicatie omzeilen om toegang te krijgen tot gegevens omdat administratieve tools of administratieve interfaces niet adequaat zijn beveiligd</w:t>
            </w:r>
          </w:p>
        </w:tc>
        <w:tc>
          <w:tcPr>
            <w:tcW w:w="850"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Xavier kan de controles van de applicatie omzeilen omdat codeframeworks, bibliotheken en componenten kwaadaardige code of kwetsbaarheden bevatten (bijv. intern, commercieel kant-en-klaar, uitbesteed, open source, extern gelokaliseerd)</w:t>
            </w:r>
          </w:p>
        </w:tc>
        <w:tc>
          <w:tcPr>
            <w:tcW w:w="849"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shd w:color="auto" w:fill="C6D9F1" w:themeFill="text2" w:themeFillTint="33" w:val="clear"/>
            <w:tcMar>
              <w:left w:w="170" w:type="dxa"/>
              <w:right w:w="284" w:type="dxa"/>
            </w:tcMar>
          </w:tcPr>
          <w:p>
            <w:pPr>
              <w:pStyle w:val="Normal"/>
              <w:rPr>
                <w:rFonts w:ascii="Garamond" w:hAnsi="Garamond"/>
                <w:sz w:val="20"/>
                <w:szCs w:val="20"/>
              </w:rPr>
            </w:pPr>
            <w:r>
              <w:rPr>
                <w:rFonts w:ascii="Garamond" w:hAnsi="Garamond"/>
                <w:sz w:val="16"/>
                <w:szCs w:val="16"/>
              </w:rPr>
              <w:t>Roman kan de applicatie misbruiken omdat deze is gecompileerd met verouderde tools, of de configuratie ervan is niet standaard beveiligd, of de beveiligingsinformatie is niet gedocumenteerd en doorgegeven aan operationele teams</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2.1, 2.32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15</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19.5, 19.9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17365D" w:themeFill="text2" w:themeFillShade="bf"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FBBB7B"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Wild Card</w:t>
            </w:r>
          </w:p>
        </w:tc>
        <w:tc>
          <w:tcPr>
            <w:tcW w:w="2554" w:type="dxa"/>
            <w:tcBorders>
              <w:top w:val="single" w:sz="4" w:space="0" w:color="000000"/>
              <w:left w:val="single" w:sz="4" w:space="0" w:color="000000"/>
              <w:bottom w:val="single" w:sz="4" w:space="0" w:color="000000"/>
              <w:right w:val="single" w:sz="4" w:space="0" w:color="000000"/>
            </w:tcBorders>
            <w:shd w:color="auto" w:fill="FDE9D9" w:themeFill="accent6" w:themeFillTint="33" w:val="clear"/>
            <w:tcMar>
              <w:right w:w="284" w:type="dxa"/>
            </w:tcMar>
          </w:tcPr>
          <w:p>
            <w:pPr>
              <w:pStyle w:val="Normal"/>
              <w:jc w:val="right"/>
              <w:rPr>
                <w:rFonts w:ascii="Garamond" w:hAnsi="Garamond"/>
                <w:b/>
                <w:b/>
                <w:color w:val="FBBB7B"/>
                <w:sz w:val="48"/>
                <w:szCs w:val="48"/>
              </w:rPr>
            </w:pPr>
            <w:r>
              <w:rPr>
                <w:rFonts w:ascii="Garamond" w:hAnsi="Garamond"/>
                <w:b/>
                <w:color w:val="FBBB7B"/>
                <w:sz w:val="48"/>
                <w:szCs w:val="48"/>
              </w:rPr>
              <w:t>Joker</w:t>
            </w:r>
          </w:p>
        </w:tc>
        <w:tc>
          <w:tcPr>
            <w:tcW w:w="849" w:type="dxa"/>
            <w:vMerge w:val="restart"/>
            <w:tcBorders>
              <w:top w:val="single" w:sz="4" w:space="0" w:color="000000"/>
              <w:left w:val="single" w:sz="4" w:space="0" w:color="000000"/>
              <w:bottom w:val="single" w:sz="4" w:space="0" w:color="000000"/>
              <w:right w:val="single" w:sz="4" w:space="0" w:color="000000"/>
            </w:tcBorders>
            <w:shd w:color="auto" w:fill="FBBB7B"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Wild Card</w:t>
            </w:r>
          </w:p>
        </w:tc>
        <w:tc>
          <w:tcPr>
            <w:tcW w:w="2551" w:type="dxa"/>
            <w:tcBorders>
              <w:top w:val="single" w:sz="4" w:space="0" w:color="000000"/>
              <w:left w:val="single" w:sz="4" w:space="0" w:color="000000"/>
              <w:bottom w:val="single" w:sz="4" w:space="0" w:color="000000"/>
              <w:right w:val="single" w:sz="4" w:space="0" w:color="000000"/>
            </w:tcBorders>
            <w:shd w:color="auto" w:fill="FDE9D9" w:themeFill="accent6" w:themeFillTint="33" w:val="clear"/>
            <w:tcMar>
              <w:right w:w="284" w:type="dxa"/>
            </w:tcMar>
          </w:tcPr>
          <w:p>
            <w:pPr>
              <w:pStyle w:val="Normal"/>
              <w:jc w:val="right"/>
              <w:rPr>
                <w:rFonts w:ascii="Garamond" w:hAnsi="Garamond"/>
                <w:b/>
                <w:b/>
                <w:color w:val="FBBB7B"/>
                <w:sz w:val="48"/>
                <w:szCs w:val="48"/>
              </w:rPr>
            </w:pPr>
            <w:r>
              <w:rPr>
                <w:rFonts w:ascii="Garamond" w:hAnsi="Garamond"/>
                <w:b/>
                <w:color w:val="FBBB7B"/>
                <w:sz w:val="48"/>
                <w:szCs w:val="48"/>
              </w:rPr>
              <w:t>Joker</w:t>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left w:w="170" w:type="dxa"/>
              <w:right w:w="284" w:type="dxa"/>
            </w:tcMar>
          </w:tcPr>
          <w:p>
            <w:pPr>
              <w:pStyle w:val="Normal"/>
              <w:rPr>
                <w:rFonts w:ascii="Garamond" w:hAnsi="Garamond"/>
                <w:sz w:val="20"/>
                <w:szCs w:val="20"/>
              </w:rPr>
            </w:pPr>
            <w:r>
              <w:rPr>
                <w:rFonts w:ascii="Garamond" w:hAnsi="Garamond"/>
                <w:sz w:val="16"/>
                <w:szCs w:val="16"/>
              </w:rPr>
              <w:t>Jim kan kwaadaardige, niet-normale acties ondernemen zonder realtime detectie en reactie door de applicatie</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left w:w="170" w:type="dxa"/>
              <w:right w:w="284" w:type="dxa"/>
            </w:tcMar>
          </w:tcPr>
          <w:p>
            <w:pPr>
              <w:pStyle w:val="Normal"/>
              <w:rPr>
                <w:rFonts w:ascii="Garamond" w:hAnsi="Garamond"/>
                <w:sz w:val="20"/>
                <w:szCs w:val="20"/>
              </w:rPr>
            </w:pPr>
            <w:r>
              <w:rPr>
                <w:rFonts w:ascii="Garamond" w:hAnsi="Garamond"/>
                <w:sz w:val="16"/>
                <w:szCs w:val="16"/>
              </w:rPr>
              <w:t>Gareth kan de applicatie gebruiken om service aan sommige of alle gebruikers te weigeren</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FBBB7B"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FDE9D9" w:themeFill="accent6" w:themeFillTint="33" w:val="clear"/>
            <w:tcMar>
              <w:left w:w="170" w:type="dxa"/>
              <w:right w:w="284" w:type="dxa"/>
            </w:tcMar>
          </w:tcPr>
          <w:p>
            <w:pPr>
              <w:pStyle w:val="Normal"/>
              <w:rPr>
                <w:rFonts w:ascii="Garamond" w:hAnsi="Garamond"/>
                <w:sz w:val="16"/>
                <w:szCs w:val="16"/>
              </w:rPr>
            </w:pPr>
            <w:r>
              <w:rPr>
                <w:rFonts w:ascii="Garamond" w:hAnsi="Garamond"/>
                <w:sz w:val="16"/>
                <w:szCs w:val="16"/>
              </w:rPr>
              <w:t>Alice kan de applicatie gebruiken om systemen en gegevens van gebruikers aan te vallen</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FBBB7B"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FDE9D9" w:themeFill="accent6" w:themeFillTint="33" w:val="clear"/>
            <w:tcMar>
              <w:left w:w="170" w:type="dxa"/>
              <w:right w:w="284" w:type="dxa"/>
            </w:tcMar>
          </w:tcPr>
          <w:p>
            <w:pPr>
              <w:pStyle w:val="Normal"/>
              <w:rPr>
                <w:rFonts w:ascii="Garamond" w:hAnsi="Garamond"/>
                <w:sz w:val="16"/>
                <w:szCs w:val="16"/>
              </w:rPr>
            </w:pPr>
            <w:r>
              <w:rPr>
                <w:rFonts w:ascii="Garamond" w:hAnsi="Garamond"/>
                <w:sz w:val="16"/>
                <w:szCs w:val="16"/>
              </w:rPr>
              <w:t>Bob kan de applicatie beïnvloeden, wijzigen of beïnvloeden zodat deze niet langer voldoet aan wettelijke, reglementaire, contractuele of andere organisatorische mandaten</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4.14, 9.8, 15.1, 15.2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(All)</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1, 27</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41, 55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2, 25, 119, 125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FBBB7B"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FDE9D9" w:themeFill="accent6" w:themeFillTint="33" w:val="clear"/>
            <w:tcMar>
              <w:left w:w="170" w:type="dxa"/>
              <w:right w:w="397" w:type="dxa"/>
            </w:tcMar>
          </w:tcPr>
          <w:p>
            <w:pPr>
              <w:pStyle w:val="Normal"/>
              <w:rPr>
                <w:rFonts w:ascii="Garamond" w:hAnsi="Garamond"/>
                <w:sz w:val="20"/>
                <w:szCs w:val="20"/>
              </w:rPr>
            </w:pPr>
            <w:r>
              <w:rPr>
                <w:rFonts w:ascii="Garamond" w:hAnsi="Garamond"/>
                <w:i/>
                <w:color w:val="7F7F7F" w:themeColor="text1" w:themeTint="80"/>
                <w:sz w:val="20"/>
                <w:szCs w:val="20"/>
              </w:rPr>
              <w:t>Heb je erover nagedacht om individueel OWASP-lid te worden? Alle tools, begeleiding en lokale bijeenkomsten zijn gratis voor iedereen, maar individueel lidmaatschap helpt het werk van OWASP te ondersteunen</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FBBB7B"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FDE9D9" w:themeFill="accent6" w:themeFillTint="33" w:val="clear"/>
            <w:tcMar>
              <w:left w:w="170" w:type="dxa"/>
              <w:right w:w="397" w:type="dxa"/>
            </w:tcMar>
          </w:tcPr>
          <w:p>
            <w:pPr>
              <w:pStyle w:val="Normal"/>
              <w:rPr>
                <w:rFonts w:ascii="Garamond" w:hAnsi="Garamond"/>
                <w:sz w:val="20"/>
                <w:szCs w:val="20"/>
              </w:rPr>
            </w:pPr>
            <w:r>
              <w:rPr>
                <w:rFonts w:ascii="Garamond" w:hAnsi="Garamond"/>
                <w:i/>
                <w:color w:val="7F7F7F" w:themeColor="text1" w:themeTint="80"/>
                <w:sz w:val="20"/>
                <w:szCs w:val="20"/>
              </w:rPr>
              <w:t>Bestudeer kwetsbaarheden en ontdek hoe ze kunnen worden opgelost met behulp van trainingsapplicaties in de gratis OWASP Broken Web Applications VM, of met behulp van de online uitdagingen in het gratis Hacking Lab</w:t>
            </w:r>
          </w:p>
        </w:tc>
      </w:tr>
    </w:tbl>
    <w:p>
      <w:pPr>
        <w:pStyle w:val="Normal"/>
        <w:rPr>
          <w:rFonts w:ascii="Garamond" w:hAnsi="Garamond"/>
          <w:sz w:val="20"/>
          <w:szCs w:val="20"/>
        </w:rPr>
      </w:pPr>
      <w:r>
        <w:rPr>
          <w:rFonts w:ascii="Garamond" w:hAnsi="Garamond"/>
          <w:sz w:val="20"/>
          <w:szCs w:val="20"/>
        </w:rPr>
      </w:r>
      <w:r>
        <w:br w:type="page"/>
      </w:r>
    </w:p>
    <w:tbl>
      <w:tblPr>
        <w:tblStyle w:val="TableGrid"/>
        <w:tblW w:w="14889" w:type="dxa"/>
        <w:jc w:val="left"/>
        <w:tblInd w:w="0" w:type="dxa"/>
        <w:tblCellMar>
          <w:top w:w="0" w:type="dxa"/>
          <w:left w:w="0" w:type="dxa"/>
          <w:bottom w:w="57" w:type="dxa"/>
          <w:right w:w="57" w:type="dxa"/>
        </w:tblCellMar>
        <w:tblLook w:val="04a0" w:noHBand="0" w:noVBand="1" w:firstColumn="1" w:lastRow="0" w:lastColumn="0" w:firstRow="1"/>
      </w:tblPr>
      <w:tblGrid>
        <w:gridCol w:w="856"/>
        <w:gridCol w:w="3061"/>
        <w:gridCol w:w="341"/>
        <w:gridCol w:w="3061"/>
        <w:gridCol w:w="341"/>
        <w:gridCol w:w="3063"/>
        <w:gridCol w:w="339"/>
        <w:gridCol w:w="3063"/>
        <w:gridCol w:w="762"/>
      </w:tblGrid>
      <w:tr>
        <w:trPr>
          <w:trHeight w:val="340" w:hRule="atLeast"/>
        </w:trPr>
        <w:tc>
          <w:tcPr>
            <w:tcW w:w="856" w:type="dxa"/>
            <w:tcBorders>
              <w:top w:val="nil"/>
              <w:left w:val="nil"/>
              <w:bottom w:val="dashed" w:sz="4" w:space="0" w:color="000000"/>
              <w:right w:val="dashed" w:sz="4" w:space="0" w:color="000000"/>
            </w:tcBorders>
            <w:shd w:color="auto" w:fill="auto" w:val="clear"/>
            <w:vAlign w:val="bottom"/>
          </w:tcPr>
          <w:p>
            <w:pPr>
              <w:pStyle w:val="Normal"/>
              <w:pageBreakBefore/>
              <w:jc w:val="right"/>
              <w:rPr>
                <w:rFonts w:ascii="Garamond" w:hAnsi="Garamond"/>
                <w:sz w:val="16"/>
                <w:szCs w:val="16"/>
              </w:rPr>
            </w:pPr>
            <w:r>
              <w:rPr>
                <w:rFonts w:ascii="Garamond" w:hAnsi="Garamond"/>
                <w:sz w:val="16"/>
                <w:szCs w:val="16"/>
              </w:rPr>
              <w:t>Cut here</w:t>
            </w:r>
          </w:p>
        </w:tc>
        <w:tc>
          <w:tcPr>
            <w:tcW w:w="3061" w:type="dxa"/>
            <w:tcBorders>
              <w:top w:val="nil"/>
              <w:left w:val="dashed" w:sz="4" w:space="0" w:color="000000"/>
              <w:bottom w:val="dashed" w:sz="4" w:space="0" w:color="000000"/>
              <w:right w:val="dashed" w:sz="4" w:space="0" w:color="000000"/>
            </w:tcBorders>
            <w:shd w:color="auto" w:fill="auto" w:val="clear"/>
            <w:tcMar>
              <w:bottom w:w="0" w:type="dxa"/>
              <w:right w:w="0" w:type="dxa"/>
            </w:tcMar>
          </w:tcPr>
          <w:p>
            <w:pPr>
              <w:pStyle w:val="Normal"/>
              <w:rPr>
                <w:rFonts w:ascii="Garamond" w:hAnsi="Garamond"/>
                <w:sz w:val="20"/>
                <w:szCs w:val="20"/>
              </w:rPr>
            </w:pPr>
            <w:r>
              <w:rPr>
                <w:rFonts w:ascii="Garamond" w:hAnsi="Garamond"/>
                <w:sz w:val="20"/>
                <w:szCs w:val="20"/>
              </w:rPr>
            </w:r>
          </w:p>
        </w:tc>
        <w:tc>
          <w:tcPr>
            <w:tcW w:w="341" w:type="dxa"/>
            <w:tcBorders>
              <w:top w:val="nil"/>
              <w:left w:val="dashed" w:sz="4" w:space="0" w:color="000000"/>
              <w:bottom w:val="dashed" w:sz="4" w:space="0" w:color="000000"/>
              <w:right w:val="dashed" w:sz="4" w:space="0" w:color="000000"/>
            </w:tcBorders>
            <w:shd w:color="auto" w:fill="auto" w:val="clear"/>
            <w:tcMar>
              <w:bottom w:w="0" w:type="dxa"/>
              <w:right w:w="5"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3061" w:type="dxa"/>
            <w:tcBorders>
              <w:top w:val="nil"/>
              <w:left w:val="dashed" w:sz="4" w:space="0" w:color="000000"/>
              <w:bottom w:val="dashed" w:sz="4" w:space="0" w:color="000000"/>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341" w:type="dxa"/>
            <w:tcBorders>
              <w:top w:val="nil"/>
              <w:left w:val="dashed" w:sz="4" w:space="0" w:color="000000"/>
              <w:bottom w:val="dashed" w:sz="4" w:space="0" w:color="000000"/>
              <w:right w:val="dashed" w:sz="4" w:space="0" w:color="000000"/>
            </w:tcBorders>
            <w:shd w:color="auto" w:fill="auto" w:val="clear"/>
            <w:tcMar>
              <w:bottom w:w="0" w:type="dxa"/>
              <w:right w:w="5"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3063" w:type="dxa"/>
            <w:tcBorders>
              <w:top w:val="nil"/>
              <w:left w:val="dashed" w:sz="4" w:space="0" w:color="000000"/>
              <w:bottom w:val="dashed" w:sz="4" w:space="0" w:color="000000"/>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339" w:type="dxa"/>
            <w:tcBorders>
              <w:top w:val="nil"/>
              <w:left w:val="dashed" w:sz="4" w:space="0" w:color="000000"/>
              <w:bottom w:val="dashed" w:sz="4" w:space="0" w:color="000000"/>
              <w:right w:val="dashed" w:sz="4" w:space="0" w:color="000000"/>
            </w:tcBorders>
            <w:shd w:color="auto" w:fill="auto" w:val="clear"/>
            <w:tcMar>
              <w:bottom w:w="0" w:type="dxa"/>
              <w:right w:w="5"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3063" w:type="dxa"/>
            <w:tcBorders>
              <w:top w:val="nil"/>
              <w:left w:val="dashed" w:sz="4" w:space="0" w:color="000000"/>
              <w:bottom w:val="dashed" w:sz="4" w:space="0" w:color="000000"/>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762" w:type="dxa"/>
            <w:tcBorders>
              <w:top w:val="nil"/>
              <w:left w:val="dashed" w:sz="4" w:space="0" w:color="000000"/>
              <w:bottom w:val="dashed" w:sz="4" w:space="0" w:color="000000"/>
              <w:right w:val="nil"/>
            </w:tcBorders>
            <w:tcMar>
              <w:bottom w:w="0" w:type="dxa"/>
              <w:right w:w="5" w:type="dxa"/>
            </w:tcMar>
          </w:tcPr>
          <w:p>
            <w:pPr>
              <w:pStyle w:val="Normal"/>
              <w:rPr>
                <w:rFonts w:ascii="Garamond" w:hAnsi="Garamond"/>
                <w:sz w:val="20"/>
                <w:szCs w:val="20"/>
              </w:rPr>
            </w:pPr>
            <w:r>
              <w:rPr>
                <w:rFonts w:ascii="Garamond" w:hAnsi="Garamond"/>
                <w:sz w:val="20"/>
                <w:szCs w:val="20"/>
              </w:rPr>
            </w:r>
          </w:p>
        </w:tc>
      </w:tr>
      <w:tr>
        <w:trPr>
          <w:trHeight w:val="4820" w:hRule="exact"/>
        </w:trPr>
        <w:tc>
          <w:tcPr>
            <w:tcW w:w="856" w:type="dxa"/>
            <w:tcBorders>
              <w:top w:val="dashed" w:sz="4" w:space="0" w:color="000000"/>
              <w:left w:val="nil"/>
              <w:bottom w:val="dashed" w:sz="4" w:space="0" w:color="000000"/>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3061" w:type="dxa"/>
            <w:tcBorders>
              <w:top w:val="dashed" w:sz="4" w:space="0" w:color="000000"/>
              <w:left w:val="dashed" w:sz="4" w:space="0" w:color="000000"/>
              <w:bottom w:val="dashed" w:sz="4" w:space="0" w:color="000000"/>
              <w:right w:val="dashed" w:sz="4" w:space="0" w:color="000000"/>
            </w:tcBorders>
            <w:shd w:color="auto" w:fill="auto" w:val="clear"/>
            <w:tcMar>
              <w:top w:w="170" w:type="dxa"/>
              <w:bottom w:w="0" w:type="dxa"/>
              <w:right w:w="113" w:type="dxa"/>
            </w:tcMar>
            <w:textDirection w:val="tbRl"/>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4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306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4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3063"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39"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3063"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t>J</w:t>
            </w:r>
          </w:p>
        </w:tc>
        <w:tc>
          <w:tcPr>
            <w:tcW w:w="762" w:type="dxa"/>
            <w:tcBorders>
              <w:top w:val="dashed" w:sz="4" w:space="0" w:color="000000"/>
              <w:left w:val="dashed" w:sz="4" w:space="0" w:color="000000"/>
              <w:bottom w:val="dashed" w:sz="4" w:space="0" w:color="000000"/>
              <w:right w:val="nil"/>
            </w:tcBorders>
            <w:tcMar>
              <w:bottom w:w="0" w:type="dxa"/>
              <w:right w:w="5"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r>
      <w:tr>
        <w:trPr>
          <w:trHeight w:val="340" w:hRule="exact"/>
        </w:trPr>
        <w:tc>
          <w:tcPr>
            <w:tcW w:w="856" w:type="dxa"/>
            <w:tcBorders>
              <w:top w:val="dashed" w:sz="4" w:space="0" w:color="000000"/>
              <w:left w:val="nil"/>
              <w:bottom w:val="dashed" w:sz="4" w:space="0" w:color="000000"/>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3061" w:type="dxa"/>
            <w:tcBorders>
              <w:top w:val="dashed" w:sz="4" w:space="0" w:color="000000"/>
              <w:left w:val="dashed" w:sz="4" w:space="0" w:color="000000"/>
              <w:bottom w:val="dashed" w:sz="4" w:space="0" w:color="000000"/>
              <w:right w:val="dashed" w:sz="4" w:space="0" w:color="000000"/>
            </w:tcBorders>
            <w:shd w:color="auto" w:fill="auto" w:val="clear"/>
            <w:tcMar>
              <w:top w:w="170" w:type="dxa"/>
              <w:bottom w:w="0" w:type="dxa"/>
              <w:right w:w="113" w:type="dxa"/>
            </w:tcMar>
            <w:textDirection w:val="tbRl"/>
          </w:tcPr>
          <w:p>
            <w:pPr>
              <w:pStyle w:val="Normal"/>
              <w:jc w:val="right"/>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4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4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3"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39"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3"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c>
          <w:tcPr>
            <w:tcW w:w="762" w:type="dxa"/>
            <w:tcBorders>
              <w:top w:val="dashed" w:sz="4" w:space="0" w:color="000000"/>
              <w:left w:val="dashed" w:sz="4" w:space="0" w:color="000000"/>
              <w:bottom w:val="dashed" w:sz="4" w:space="0" w:color="000000"/>
              <w:right w:val="nil"/>
            </w:tcBorders>
            <w:tcMar>
              <w:bottom w:w="0" w:type="dxa"/>
              <w:right w:w="5"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r>
      <w:tr>
        <w:trPr>
          <w:trHeight w:val="4820" w:hRule="exact"/>
        </w:trPr>
        <w:tc>
          <w:tcPr>
            <w:tcW w:w="856" w:type="dxa"/>
            <w:tcBorders>
              <w:top w:val="dashed" w:sz="4" w:space="0" w:color="000000"/>
              <w:left w:val="nil"/>
              <w:bottom w:val="dashed" w:sz="4" w:space="0" w:color="000000"/>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3061" w:type="dxa"/>
            <w:tcBorders>
              <w:top w:val="dashed" w:sz="4" w:space="0" w:color="000000"/>
              <w:left w:val="dashed" w:sz="4" w:space="0" w:color="000000"/>
              <w:bottom w:val="dashed" w:sz="4" w:space="0" w:color="000000"/>
              <w:right w:val="dashed" w:sz="4" w:space="0" w:color="000000"/>
            </w:tcBorders>
            <w:shd w:color="auto" w:fill="auto" w:val="clear"/>
            <w:tcMar>
              <w:top w:w="170" w:type="dxa"/>
              <w:bottom w:w="0" w:type="dxa"/>
              <w:right w:w="113" w:type="dxa"/>
            </w:tcMar>
            <w:textDirection w:val="tbRl"/>
          </w:tcPr>
          <w:p>
            <w:pPr>
              <w:pStyle w:val="Normal"/>
              <w:jc w:val="right"/>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4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4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3"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39"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3"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c>
          <w:tcPr>
            <w:tcW w:w="762" w:type="dxa"/>
            <w:tcBorders>
              <w:top w:val="dashed" w:sz="4" w:space="0" w:color="000000"/>
              <w:left w:val="dashed" w:sz="4" w:space="0" w:color="000000"/>
              <w:bottom w:val="dashed" w:sz="4" w:space="0" w:color="000000"/>
              <w:right w:val="nil"/>
            </w:tcBorders>
            <w:tcMar>
              <w:bottom w:w="0" w:type="dxa"/>
              <w:right w:w="5"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r>
      <w:tr>
        <w:trPr>
          <w:trHeight w:val="340" w:hRule="exact"/>
        </w:trPr>
        <w:tc>
          <w:tcPr>
            <w:tcW w:w="856" w:type="dxa"/>
            <w:tcBorders>
              <w:top w:val="dashed" w:sz="4" w:space="0" w:color="000000"/>
              <w:left w:val="nil"/>
              <w:bottom w:val="nil"/>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3061" w:type="dxa"/>
            <w:tcBorders>
              <w:top w:val="dashed" w:sz="4" w:space="0" w:color="000000"/>
              <w:left w:val="dashed" w:sz="4" w:space="0" w:color="000000"/>
              <w:bottom w:val="nil"/>
              <w:right w:val="dashed" w:sz="4" w:space="0" w:color="000000"/>
            </w:tcBorders>
            <w:shd w:color="auto" w:fill="auto" w:val="clear"/>
            <w:tcMar>
              <w:top w:w="170" w:type="dxa"/>
              <w:bottom w:w="0" w:type="dxa"/>
              <w:right w:w="113" w:type="dxa"/>
            </w:tcMar>
            <w:textDirection w:val="tbRl"/>
          </w:tcPr>
          <w:p>
            <w:pPr>
              <w:pStyle w:val="Normal"/>
              <w:jc w:val="right"/>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41" w:type="dxa"/>
            <w:tcBorders>
              <w:top w:val="dashed" w:sz="4" w:space="0" w:color="000000"/>
              <w:left w:val="dashed" w:sz="4" w:space="0" w:color="000000"/>
              <w:bottom w:val="nil"/>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1" w:type="dxa"/>
            <w:tcBorders>
              <w:top w:val="dashed" w:sz="4" w:space="0" w:color="000000"/>
              <w:left w:val="dashed" w:sz="4" w:space="0" w:color="000000"/>
              <w:bottom w:val="nil"/>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41" w:type="dxa"/>
            <w:tcBorders>
              <w:top w:val="dashed" w:sz="4" w:space="0" w:color="000000"/>
              <w:left w:val="dashed" w:sz="4" w:space="0" w:color="000000"/>
              <w:bottom w:val="nil"/>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3" w:type="dxa"/>
            <w:tcBorders>
              <w:top w:val="dashed" w:sz="4" w:space="0" w:color="000000"/>
              <w:left w:val="dashed" w:sz="4" w:space="0" w:color="000000"/>
              <w:bottom w:val="nil"/>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39" w:type="dxa"/>
            <w:tcBorders>
              <w:top w:val="dashed" w:sz="4" w:space="0" w:color="000000"/>
              <w:left w:val="dashed" w:sz="4" w:space="0" w:color="000000"/>
              <w:bottom w:val="nil"/>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3" w:type="dxa"/>
            <w:tcBorders>
              <w:top w:val="dashed" w:sz="4" w:space="0" w:color="000000"/>
              <w:left w:val="dashed" w:sz="4" w:space="0" w:color="000000"/>
              <w:bottom w:val="nil"/>
              <w:right w:val="dashed" w:sz="4" w:space="0" w:color="000000"/>
            </w:tcBorders>
            <w:shd w:color="auto" w:fill="auto" w:val="clear"/>
            <w:tcMar>
              <w:bottom w:w="0" w:type="dxa"/>
              <w:right w:w="284"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c>
          <w:tcPr>
            <w:tcW w:w="762" w:type="dxa"/>
            <w:tcBorders>
              <w:top w:val="dashed" w:sz="4" w:space="0" w:color="000000"/>
              <w:left w:val="dashed" w:sz="4" w:space="0" w:color="000000"/>
              <w:bottom w:val="nil"/>
              <w:right w:val="nil"/>
            </w:tcBorders>
            <w:tcMar>
              <w:bottom w:w="0" w:type="dxa"/>
              <w:right w:w="5"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drawing>
          <wp:inline distT="0" distB="0" distL="0" distR="0">
            <wp:extent cx="9612630" cy="6838950"/>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15"/>
                    <a:stretch>
                      <a:fillRect/>
                    </a:stretch>
                  </pic:blipFill>
                  <pic:spPr bwMode="auto">
                    <a:xfrm>
                      <a:off x="0" y="0"/>
                      <a:ext cx="9612630" cy="6838950"/>
                    </a:xfrm>
                    <a:prstGeom prst="rect">
                      <a:avLst/>
                    </a:prstGeom>
                  </pic:spPr>
                </pic:pic>
              </a:graphicData>
            </a:graphic>
          </wp:inline>
        </w:drawing>
      </w:r>
    </w:p>
    <w:p>
      <w:pPr>
        <w:pStyle w:val="Normal"/>
        <w:rPr>
          <w:rFonts w:ascii="Garamond" w:hAnsi="Garamond"/>
          <w:sz w:val="20"/>
          <w:szCs w:val="20"/>
        </w:rPr>
      </w:pPr>
      <w:r>
        <w:rPr>
          <w:rFonts w:ascii="Garamond" w:hAnsi="Garamond"/>
          <w:sz w:val="20"/>
          <w:szCs w:val="20"/>
        </w:rPr>
      </w:r>
    </w:p>
    <w:p>
      <w:pPr>
        <w:pStyle w:val="CHeadTop"/>
        <w:rPr/>
      </w:pPr>
      <w:r>
        <w:rPr/>
        <w:t>${Common_T03100}</w:t>
      </w:r>
    </w:p>
    <w:tbl>
      <w:tblPr>
        <w:tblStyle w:val="TableGrid"/>
        <w:tblW w:w="14940" w:type="dxa"/>
        <w:jc w:val="left"/>
        <w:tblInd w:w="-51" w:type="dxa"/>
        <w:tblCellMar>
          <w:top w:w="0" w:type="dxa"/>
          <w:left w:w="57" w:type="dxa"/>
          <w:bottom w:w="0" w:type="dxa"/>
          <w:right w:w="57" w:type="dxa"/>
        </w:tblCellMar>
        <w:tblLook w:val="04a0" w:noHBand="0" w:noVBand="1" w:firstColumn="1" w:lastRow="0" w:lastColumn="0" w:firstRow="1"/>
      </w:tblPr>
      <w:tblGrid>
        <w:gridCol w:w="1900"/>
        <w:gridCol w:w="2552"/>
        <w:gridCol w:w="10488"/>
      </w:tblGrid>
      <w:tr>
        <w:trPr>
          <w:tblHeader w:val="true"/>
        </w:trPr>
        <w:tc>
          <w:tcPr>
            <w:tcW w:w="4452" w:type="dxa"/>
            <w:gridSpan w:val="2"/>
            <w:tcBorders/>
            <w:shd w:color="auto" w:fill="17365D" w:themeFill="text2" w:themeFillShade="bf" w:val="clear"/>
          </w:tcPr>
          <w:p>
            <w:pPr>
              <w:pStyle w:val="Normal"/>
              <w:rPr>
                <w:rFonts w:ascii="Garamond" w:hAnsi="Garamond"/>
                <w:sz w:val="20"/>
                <w:szCs w:val="20"/>
              </w:rPr>
            </w:pPr>
            <w:r>
              <w:rPr>
                <w:rFonts w:ascii="Garamond" w:hAnsi="Garamond"/>
                <w:sz w:val="20"/>
                <w:szCs w:val="20"/>
              </w:rPr>
              <w:t>${Common_T03110}</w:t>
            </w:r>
          </w:p>
        </w:tc>
        <w:tc>
          <w:tcPr>
            <w:tcW w:w="10488" w:type="dxa"/>
            <w:tcBorders/>
            <w:shd w:color="auto" w:fill="17365D" w:themeFill="text2" w:themeFillShade="bf" w:val="clear"/>
          </w:tcPr>
          <w:p>
            <w:pPr>
              <w:pStyle w:val="Normal"/>
              <w:rPr>
                <w:rFonts w:ascii="Garamond" w:hAnsi="Garamond"/>
                <w:sz w:val="20"/>
                <w:szCs w:val="20"/>
              </w:rPr>
            </w:pPr>
            <w:r>
              <w:rPr>
                <w:rFonts w:ascii="Garamond" w:hAnsi="Garamond"/>
                <w:sz w:val="20"/>
                <w:szCs w:val="20"/>
              </w:rPr>
              <w:t>${Common_T03120}</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${Common_T03130}</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30 Jul 2012</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${Common_T03140}</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${Common_T03150}</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10 Aug 2012</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${Common_T03160}</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${Common_T03170}</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15 Aug 2012</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${Common_T03180}</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${Common_T03190}</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25 Feb 2013</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${Common_T03200} ${Common_T03210} ${Common_T03220} ${Common_T03230}</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${Common_T03240}</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25 Feb 2013</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${Common_T03250}</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${Common_T03260}</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03 Jun 2013</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${Common_T03270} ${Common_T03280} ${Common_T03290} ${Common_T03300} ${Common_T03310} ${Common_T03320} ${Common_T03330} ${Common_T03340}</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${Common_T03350}</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14 Aug 2013</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 xml:space="preserve">${Common_T03360} ${Common_T03370} ${Common_T03380} ${Common_T03390} ${Common_T03400} ${Common_T03410} </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${Common_T03420}</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18 Sep 2013</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 xml:space="preserve">${Common_T03430} ${Common_T03440} ${Common_T03450} ${Common_T03460} </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${Common_T03470}</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01 Feb 2014</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${Common_T03480}</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${Common_T03490}</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21 Mar 2014</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${Common_T03500} ${Common_T03510} ${Common_T03520} ${Common_T03530}</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${Common_T03540}</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04 Mar 2015</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${Common_T03550} ${Common_T03560} ${Common_T03570}</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${Common_T03580}</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29 Jun 2016</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${Common_T03590} ${Common_T03600} ${Common_T03610} ${Common_T03620} ${Common_T03630} ${Common_T03640} ${Common_T03650} ${Common_T03660} ${Common_T03670} ${Common_T03680} ${Common_T03690} ${Common_T03700}</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r>
    </w:tbl>
    <w:p>
      <w:pPr>
        <w:pStyle w:val="Normal"/>
        <w:rPr/>
      </w:pPr>
      <w:r>
        <w:rPr/>
      </w:r>
    </w:p>
    <w:p>
      <w:pPr>
        <w:pStyle w:val="Normal"/>
        <w:rPr/>
      </w:pPr>
      <w:r>
        <w:rPr/>
      </w:r>
    </w:p>
    <w:p>
      <w:pPr>
        <w:pStyle w:val="Normal"/>
        <w:rPr/>
      </w:pPr>
      <w:r>
        <w:rPr/>
      </w:r>
      <w:r>
        <w:br w:type="page"/>
      </w:r>
    </w:p>
    <w:tbl>
      <w:tblPr>
        <w:tblStyle w:val="TableGrid"/>
        <w:tblW w:w="15354" w:type="dxa"/>
        <w:jc w:val="left"/>
        <w:tblInd w:w="0" w:type="dxa"/>
        <w:tblCellMar>
          <w:top w:w="0" w:type="dxa"/>
          <w:left w:w="108" w:type="dxa"/>
          <w:bottom w:w="0" w:type="dxa"/>
          <w:right w:w="108" w:type="dxa"/>
        </w:tblCellMar>
        <w:tblLook w:val="04a0" w:noHBand="0" w:noVBand="1" w:firstColumn="1" w:lastRow="0" w:lastColumn="0" w:firstRow="1"/>
      </w:tblPr>
      <w:tblGrid>
        <w:gridCol w:w="7977"/>
        <w:gridCol w:w="7376"/>
      </w:tblGrid>
      <w:tr>
        <w:trPr/>
        <w:tc>
          <w:tcPr>
            <w:tcW w:w="7977" w:type="dxa"/>
            <w:tcBorders>
              <w:top w:val="nil"/>
              <w:left w:val="nil"/>
              <w:bottom w:val="nil"/>
              <w:right w:val="nil"/>
            </w:tcBorders>
          </w:tcPr>
          <w:p>
            <w:pPr>
              <w:pStyle w:val="CHeadTop"/>
              <w:pageBreakBefore/>
              <w:rPr/>
            </w:pPr>
            <w:r>
              <w:rPr/>
              <w:t>${Common_T03800}</w:t>
            </w:r>
          </w:p>
          <w:p>
            <w:pPr>
              <w:pStyle w:val="CHeadTop"/>
              <w:rPr>
                <w:b w:val="false"/>
                <w:b w:val="false"/>
                <w:sz w:val="20"/>
                <w:szCs w:val="20"/>
              </w:rPr>
            </w:pPr>
            <w:r>
              <w:rPr>
                <w:b w:val="false"/>
                <w:sz w:val="20"/>
                <w:szCs w:val="20"/>
              </w:rPr>
              <w:t>${Common_T03810}</w:t>
            </w:r>
          </w:p>
          <w:p>
            <w:pPr>
              <w:pStyle w:val="CHeadTop"/>
              <w:rPr>
                <w:b w:val="false"/>
                <w:b w:val="false"/>
                <w:sz w:val="20"/>
                <w:szCs w:val="20"/>
              </w:rPr>
            </w:pPr>
            <w:r>
              <w:rPr>
                <w:b w:val="false"/>
                <w:sz w:val="20"/>
                <w:szCs w:val="20"/>
              </w:rPr>
              <w:t>${Common_T03820}</w:t>
            </w:r>
          </w:p>
          <w:p>
            <w:pPr>
              <w:pStyle w:val="CHeadTop"/>
              <w:rPr>
                <w:b w:val="false"/>
                <w:b w:val="false"/>
                <w:sz w:val="20"/>
                <w:szCs w:val="20"/>
              </w:rPr>
            </w:pPr>
            <w:r>
              <w:rPr>
                <w:b w:val="false"/>
                <w:sz w:val="20"/>
                <w:szCs w:val="20"/>
              </w:rPr>
              <w:t>${Common_T03830}</w:t>
            </w:r>
          </w:p>
          <w:p>
            <w:pPr>
              <w:pStyle w:val="CHeadTop"/>
              <w:rPr>
                <w:b w:val="false"/>
                <w:b w:val="false"/>
                <w:sz w:val="20"/>
                <w:szCs w:val="20"/>
              </w:rPr>
            </w:pPr>
            <w:r>
              <w:rPr>
                <w:b w:val="false"/>
                <w:sz w:val="20"/>
                <w:szCs w:val="20"/>
              </w:rPr>
              <w:t>${Common_T03840}</w:t>
            </w:r>
          </w:p>
          <w:p>
            <w:pPr>
              <w:pStyle w:val="CHeadTop"/>
              <w:rPr>
                <w:sz w:val="20"/>
                <w:szCs w:val="20"/>
              </w:rPr>
            </w:pPr>
            <w:r>
              <w:rPr>
                <w:sz w:val="20"/>
                <w:szCs w:val="20"/>
              </w:rPr>
            </w:r>
          </w:p>
          <w:tbl>
            <w:tblPr>
              <w:tblStyle w:val="TableGrid"/>
              <w:tblW w:w="5000" w:type="pct"/>
              <w:jc w:val="left"/>
              <w:tblInd w:w="0" w:type="dxa"/>
              <w:tblCellMar>
                <w:top w:w="0" w:type="dxa"/>
                <w:left w:w="108" w:type="dxa"/>
                <w:bottom w:w="0" w:type="dxa"/>
                <w:right w:w="108" w:type="dxa"/>
              </w:tblCellMar>
              <w:tblLook w:val="04a0" w:noHBand="0" w:noVBand="1" w:firstColumn="1" w:lastRow="0" w:lastColumn="0" w:firstRow="1"/>
            </w:tblPr>
            <w:tblGrid>
              <w:gridCol w:w="2587"/>
              <w:gridCol w:w="2587"/>
              <w:gridCol w:w="2587"/>
            </w:tblGrid>
            <w:tr>
              <w:trPr/>
              <w:tc>
                <w:tcPr>
                  <w:tcW w:w="2587" w:type="dxa"/>
                  <w:tcBorders>
                    <w:top w:val="nil"/>
                    <w:left w:val="nil"/>
                    <w:bottom w:val="nil"/>
                    <w:right w:val="nil"/>
                  </w:tcBorders>
                </w:tcPr>
                <w:p>
                  <w:pPr>
                    <w:pStyle w:val="CHeadTop"/>
                    <w:numPr>
                      <w:ilvl w:val="0"/>
                      <w:numId w:val="4"/>
                    </w:numPr>
                    <w:spacing w:before="0" w:after="40"/>
                    <w:ind w:left="714" w:hanging="357"/>
                    <w:rPr>
                      <w:rFonts w:eastAsia="ＭＳ ゴシック" w:cs="" w:cstheme="majorBidi" w:eastAsiaTheme="majorEastAsia"/>
                      <w:b w:val="false"/>
                      <w:b w:val="false"/>
                      <w:bCs/>
                      <w:color w:val="243F60" w:themeColor="accent1" w:themeShade="7f"/>
                      <w:sz w:val="20"/>
                      <w:szCs w:val="20"/>
                    </w:rPr>
                  </w:pPr>
                  <w:r>
                    <w:rPr>
                      <w:b w:val="false"/>
                      <w:sz w:val="20"/>
                      <w:szCs w:val="20"/>
                    </w:rPr>
                    <w:t>Simon Bennetts</w:t>
                  </w:r>
                </w:p>
                <w:p>
                  <w:pPr>
                    <w:pStyle w:val="CHeadTop"/>
                    <w:numPr>
                      <w:ilvl w:val="0"/>
                      <w:numId w:val="4"/>
                    </w:numPr>
                    <w:spacing w:before="0" w:after="40"/>
                    <w:ind w:left="714" w:hanging="357"/>
                    <w:rPr>
                      <w:sz w:val="20"/>
                      <w:szCs w:val="20"/>
                    </w:rPr>
                  </w:pPr>
                  <w:r>
                    <w:rPr>
                      <w:b w:val="false"/>
                      <w:sz w:val="20"/>
                      <w:szCs w:val="20"/>
                    </w:rPr>
                    <w:t>Tom Brennan</w:t>
                  </w:r>
                </w:p>
                <w:p>
                  <w:pPr>
                    <w:pStyle w:val="CHeadTop"/>
                    <w:numPr>
                      <w:ilvl w:val="0"/>
                      <w:numId w:val="4"/>
                    </w:numPr>
                    <w:spacing w:before="0" w:after="40"/>
                    <w:ind w:left="714" w:hanging="357"/>
                    <w:rPr>
                      <w:b w:val="false"/>
                      <w:b w:val="false"/>
                      <w:sz w:val="20"/>
                      <w:szCs w:val="20"/>
                    </w:rPr>
                  </w:pPr>
                  <w:r>
                    <w:rPr>
                      <w:b w:val="false"/>
                      <w:sz w:val="20"/>
                      <w:szCs w:val="20"/>
                    </w:rPr>
                    <w:t>Fabio Cerullo</w:t>
                  </w:r>
                </w:p>
                <w:p>
                  <w:pPr>
                    <w:pStyle w:val="CHeadTop"/>
                    <w:numPr>
                      <w:ilvl w:val="0"/>
                      <w:numId w:val="4"/>
                    </w:numPr>
                    <w:spacing w:before="0" w:after="40"/>
                    <w:ind w:left="714" w:hanging="357"/>
                    <w:rPr>
                      <w:b w:val="false"/>
                      <w:b w:val="false"/>
                      <w:sz w:val="20"/>
                      <w:szCs w:val="20"/>
                    </w:rPr>
                  </w:pPr>
                  <w:r>
                    <w:rPr>
                      <w:b w:val="false"/>
                      <w:sz w:val="20"/>
                      <w:szCs w:val="20"/>
                    </w:rPr>
                    <w:t>Oana Cornea</w:t>
                  </w:r>
                </w:p>
                <w:p>
                  <w:pPr>
                    <w:pStyle w:val="CHeadTop"/>
                    <w:numPr>
                      <w:ilvl w:val="0"/>
                      <w:numId w:val="4"/>
                    </w:numPr>
                    <w:spacing w:before="0" w:after="40"/>
                    <w:ind w:left="714" w:hanging="357"/>
                    <w:rPr>
                      <w:b w:val="false"/>
                      <w:b w:val="false"/>
                      <w:sz w:val="20"/>
                      <w:szCs w:val="20"/>
                    </w:rPr>
                  </w:pPr>
                  <w:r>
                    <w:rPr>
                      <w:b w:val="false"/>
                      <w:sz w:val="20"/>
                      <w:szCs w:val="20"/>
                    </w:rPr>
                    <w:t>Johanna Curiel</w:t>
                  </w:r>
                </w:p>
                <w:p>
                  <w:pPr>
                    <w:pStyle w:val="CHeadTop"/>
                    <w:numPr>
                      <w:ilvl w:val="0"/>
                      <w:numId w:val="4"/>
                    </w:numPr>
                    <w:spacing w:before="0" w:after="40"/>
                    <w:ind w:left="714" w:hanging="357"/>
                    <w:rPr>
                      <w:b w:val="false"/>
                      <w:b w:val="false"/>
                      <w:sz w:val="20"/>
                      <w:szCs w:val="20"/>
                    </w:rPr>
                  </w:pPr>
                  <w:r>
                    <w:rPr>
                      <w:b w:val="false"/>
                      <w:sz w:val="20"/>
                      <w:szCs w:val="20"/>
                    </w:rPr>
                    <w:t>Todd Dahl</w:t>
                  </w:r>
                </w:p>
                <w:p>
                  <w:pPr>
                    <w:pStyle w:val="CHeadTop"/>
                    <w:numPr>
                      <w:ilvl w:val="0"/>
                      <w:numId w:val="4"/>
                    </w:numPr>
                    <w:spacing w:before="0" w:after="40"/>
                    <w:ind w:left="714" w:hanging="357"/>
                    <w:rPr>
                      <w:b w:val="false"/>
                      <w:b w:val="false"/>
                      <w:sz w:val="20"/>
                      <w:szCs w:val="20"/>
                    </w:rPr>
                  </w:pPr>
                  <w:r>
                    <w:rPr>
                      <w:b w:val="false"/>
                      <w:sz w:val="20"/>
                      <w:szCs w:val="20"/>
                    </w:rPr>
                    <w:t>Luis Enriquez</w:t>
                  </w:r>
                </w:p>
                <w:p>
                  <w:pPr>
                    <w:pStyle w:val="CHeadTop"/>
                    <w:numPr>
                      <w:ilvl w:val="0"/>
                      <w:numId w:val="4"/>
                    </w:numPr>
                    <w:spacing w:before="0" w:after="40"/>
                    <w:ind w:left="714" w:hanging="357"/>
                    <w:rPr>
                      <w:b w:val="false"/>
                      <w:b w:val="false"/>
                      <w:sz w:val="20"/>
                      <w:szCs w:val="20"/>
                    </w:rPr>
                  </w:pPr>
                  <w:r>
                    <w:rPr>
                      <w:b w:val="false"/>
                      <w:sz w:val="20"/>
                      <w:szCs w:val="20"/>
                    </w:rPr>
                    <w:t>Ken Ferris</w:t>
                  </w:r>
                </w:p>
                <w:p>
                  <w:pPr>
                    <w:pStyle w:val="CHeadTop"/>
                    <w:numPr>
                      <w:ilvl w:val="0"/>
                      <w:numId w:val="4"/>
                    </w:numPr>
                    <w:spacing w:before="0" w:after="40"/>
                    <w:ind w:left="714" w:hanging="357"/>
                    <w:rPr>
                      <w:b w:val="false"/>
                      <w:b w:val="false"/>
                      <w:sz w:val="20"/>
                      <w:szCs w:val="20"/>
                    </w:rPr>
                  </w:pPr>
                  <w:r>
                    <w:rPr>
                      <w:b w:val="false"/>
                      <w:sz w:val="20"/>
                      <w:szCs w:val="20"/>
                      <w:lang w:val="en-US"/>
                    </w:rPr>
                    <w:t>Darío De Filippis</w:t>
                  </w:r>
                </w:p>
              </w:tc>
              <w:tc>
                <w:tcPr>
                  <w:tcW w:w="2587" w:type="dxa"/>
                  <w:tcBorders>
                    <w:top w:val="nil"/>
                    <w:left w:val="nil"/>
                    <w:bottom w:val="nil"/>
                    <w:right w:val="nil"/>
                  </w:tcBorders>
                </w:tcPr>
                <w:p>
                  <w:pPr>
                    <w:pStyle w:val="CHeadTop"/>
                    <w:numPr>
                      <w:ilvl w:val="0"/>
                      <w:numId w:val="4"/>
                    </w:numPr>
                    <w:spacing w:before="0" w:after="40"/>
                    <w:ind w:left="527" w:hanging="357"/>
                    <w:rPr>
                      <w:b w:val="false"/>
                      <w:b w:val="false"/>
                      <w:sz w:val="20"/>
                      <w:szCs w:val="20"/>
                    </w:rPr>
                  </w:pPr>
                  <w:r>
                    <w:rPr>
                      <w:b w:val="false"/>
                      <w:sz w:val="20"/>
                      <w:szCs w:val="20"/>
                    </w:rPr>
                    <w:t>Sebastien Gioria</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b w:val="false"/>
                      <w:sz w:val="20"/>
                      <w:szCs w:val="20"/>
                    </w:rPr>
                    <w:t>Tobias Gondrom</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rPr>
                    <w:t>Timo Goosen</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b w:val="false"/>
                      <w:sz w:val="20"/>
                      <w:szCs w:val="20"/>
                    </w:rPr>
                    <w:t xml:space="preserve">Anthony Harrison </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b w:val="false"/>
                      <w:sz w:val="20"/>
                      <w:szCs w:val="20"/>
                    </w:rPr>
                    <w:t>John Herrlin</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rPr>
                    <w:t>Jerry Hoff</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rPr>
                    <w:t>Marios Kourtesis</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rPr>
                    <w:t>Antonis Manaras</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b w:val="false"/>
                      <w:sz w:val="20"/>
                      <w:szCs w:val="20"/>
                    </w:rPr>
                    <w:t>Jim Manico</w:t>
                  </w:r>
                </w:p>
              </w:tc>
              <w:tc>
                <w:tcPr>
                  <w:tcW w:w="2587" w:type="dxa"/>
                  <w:tcBorders>
                    <w:top w:val="nil"/>
                    <w:left w:val="nil"/>
                    <w:bottom w:val="nil"/>
                    <w:right w:val="nil"/>
                  </w:tcBorders>
                </w:tcPr>
                <w:p>
                  <w:pPr>
                    <w:pStyle w:val="CHeadTop"/>
                    <w:numPr>
                      <w:ilvl w:val="0"/>
                      <w:numId w:val="4"/>
                    </w:numPr>
                    <w:spacing w:before="0" w:after="40"/>
                    <w:ind w:left="494" w:hanging="357"/>
                    <w:rPr>
                      <w:rFonts w:eastAsia="ＭＳ ゴシック" w:cs="" w:cstheme="majorBidi" w:eastAsiaTheme="majorEastAsia"/>
                      <w:b w:val="false"/>
                      <w:b w:val="false"/>
                      <w:bCs/>
                      <w:color w:val="243F60" w:themeColor="accent1" w:themeShade="7f"/>
                      <w:sz w:val="20"/>
                      <w:szCs w:val="20"/>
                    </w:rPr>
                  </w:pPr>
                  <w:r>
                    <w:rPr>
                      <w:b w:val="false"/>
                      <w:sz w:val="20"/>
                      <w:szCs w:val="20"/>
                    </w:rPr>
                    <w:t>Mark Miller</w:t>
                  </w:r>
                </w:p>
                <w:p>
                  <w:pPr>
                    <w:pStyle w:val="CHeadTop"/>
                    <w:numPr>
                      <w:ilvl w:val="0"/>
                      <w:numId w:val="4"/>
                    </w:numPr>
                    <w:spacing w:before="0" w:after="40"/>
                    <w:ind w:left="494" w:hanging="357"/>
                    <w:rPr>
                      <w:rFonts w:eastAsia="ＭＳ ゴシック" w:cs="" w:cstheme="majorBidi" w:eastAsiaTheme="majorEastAsia"/>
                      <w:b w:val="false"/>
                      <w:b w:val="false"/>
                      <w:bCs/>
                      <w:color w:val="243F60" w:themeColor="accent1" w:themeShade="7f"/>
                      <w:sz w:val="20"/>
                      <w:szCs w:val="20"/>
                    </w:rPr>
                  </w:pPr>
                  <w:r>
                    <w:rPr>
                      <w:b w:val="false"/>
                      <w:sz w:val="20"/>
                      <w:szCs w:val="20"/>
                    </w:rPr>
                    <w:t>Cam Morris</w:t>
                  </w:r>
                </w:p>
                <w:p>
                  <w:pPr>
                    <w:pStyle w:val="CHeadTop"/>
                    <w:numPr>
                      <w:ilvl w:val="0"/>
                      <w:numId w:val="4"/>
                    </w:numPr>
                    <w:spacing w:before="0" w:after="40"/>
                    <w:ind w:left="494"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lang w:val="en-US"/>
                    </w:rPr>
                    <w:t>Susana Romaniz</w:t>
                  </w:r>
                </w:p>
                <w:p>
                  <w:pPr>
                    <w:pStyle w:val="CHeadTop"/>
                    <w:numPr>
                      <w:ilvl w:val="0"/>
                      <w:numId w:val="4"/>
                    </w:numPr>
                    <w:spacing w:before="0" w:after="40"/>
                    <w:ind w:left="494"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rPr>
                    <w:t>Ravishankar Sahadevan</w:t>
                  </w:r>
                </w:p>
                <w:p>
                  <w:pPr>
                    <w:pStyle w:val="CHeadTop"/>
                    <w:numPr>
                      <w:ilvl w:val="0"/>
                      <w:numId w:val="4"/>
                    </w:numPr>
                    <w:spacing w:before="0" w:after="40"/>
                    <w:ind w:left="494"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rPr>
                    <w:t>Tao Sauvage</w:t>
                  </w:r>
                </w:p>
                <w:p>
                  <w:pPr>
                    <w:pStyle w:val="CHeadTop"/>
                    <w:numPr>
                      <w:ilvl w:val="0"/>
                      <w:numId w:val="4"/>
                    </w:numPr>
                    <w:spacing w:before="0" w:after="40"/>
                    <w:ind w:left="494" w:hanging="357"/>
                    <w:rPr>
                      <w:rFonts w:eastAsia="ＭＳ ゴシック" w:cs="" w:cstheme="majorBidi" w:eastAsiaTheme="majorEastAsia"/>
                      <w:b w:val="false"/>
                      <w:b w:val="false"/>
                      <w:bCs/>
                      <w:color w:val="243F60" w:themeColor="accent1" w:themeShade="7f"/>
                      <w:sz w:val="20"/>
                      <w:szCs w:val="20"/>
                    </w:rPr>
                  </w:pPr>
                  <w:r>
                    <w:rPr>
                      <w:b w:val="false"/>
                      <w:sz w:val="20"/>
                      <w:szCs w:val="20"/>
                    </w:rPr>
                    <w:t>Stephen de Vries</w:t>
                  </w:r>
                </w:p>
                <w:p>
                  <w:pPr>
                    <w:pStyle w:val="CHeadTop"/>
                    <w:numPr>
                      <w:ilvl w:val="0"/>
                      <w:numId w:val="4"/>
                    </w:numPr>
                    <w:spacing w:before="0" w:after="60"/>
                    <w:ind w:left="494" w:hanging="357"/>
                    <w:rPr>
                      <w:b w:val="false"/>
                      <w:b w:val="false"/>
                      <w:sz w:val="20"/>
                      <w:szCs w:val="20"/>
                    </w:rPr>
                  </w:pPr>
                  <w:r>
                    <w:rPr>
                      <w:b w:val="false"/>
                      <w:sz w:val="20"/>
                      <w:szCs w:val="20"/>
                    </w:rPr>
                    <w:t>Colin Watson</w:t>
                  </w:r>
                </w:p>
              </w:tc>
            </w:tr>
          </w:tbl>
          <w:p>
            <w:pPr>
              <w:pStyle w:val="CHeadTop"/>
              <w:rPr>
                <w:b w:val="false"/>
                <w:b w:val="false"/>
                <w:sz w:val="20"/>
                <w:szCs w:val="20"/>
              </w:rPr>
            </w:pPr>
            <w:r>
              <w:rPr>
                <w:b w:val="false"/>
                <w:sz w:val="20"/>
                <w:szCs w:val="20"/>
              </w:rPr>
            </w:r>
          </w:p>
          <w:p>
            <w:pPr>
              <w:pStyle w:val="CHeadTop"/>
              <w:numPr>
                <w:ilvl w:val="0"/>
                <w:numId w:val="5"/>
              </w:numPr>
              <w:rPr>
                <w:b w:val="false"/>
                <w:b w:val="false"/>
                <w:sz w:val="20"/>
                <w:szCs w:val="20"/>
              </w:rPr>
            </w:pPr>
            <w:r>
              <w:rPr>
                <w:b w:val="false"/>
                <w:sz w:val="20"/>
                <w:szCs w:val="20"/>
              </w:rPr>
              <w:t>${Common_T03850}</w:t>
            </w:r>
          </w:p>
          <w:p>
            <w:pPr>
              <w:pStyle w:val="CHeadTop"/>
              <w:numPr>
                <w:ilvl w:val="0"/>
                <w:numId w:val="5"/>
              </w:numPr>
              <w:rPr>
                <w:b w:val="false"/>
                <w:b w:val="false"/>
                <w:sz w:val="20"/>
                <w:szCs w:val="20"/>
              </w:rPr>
            </w:pPr>
            <w:r>
              <w:rPr>
                <w:b w:val="false"/>
                <w:sz w:val="20"/>
                <w:szCs w:val="20"/>
              </w:rPr>
              <w:t>${Common_T03860}</w:t>
            </w:r>
          </w:p>
          <w:p>
            <w:pPr>
              <w:pStyle w:val="CHeadTop"/>
              <w:numPr>
                <w:ilvl w:val="0"/>
                <w:numId w:val="5"/>
              </w:numPr>
              <w:rPr>
                <w:b w:val="false"/>
                <w:b w:val="false"/>
                <w:sz w:val="20"/>
                <w:szCs w:val="20"/>
              </w:rPr>
            </w:pPr>
            <w:r>
              <w:rPr>
                <w:b w:val="false"/>
                <w:sz w:val="20"/>
                <w:szCs w:val="20"/>
              </w:rPr>
              <w:t>${Common_T03870}</w:t>
            </w:r>
          </w:p>
          <w:p>
            <w:pPr>
              <w:pStyle w:val="CHeadTop"/>
              <w:numPr>
                <w:ilvl w:val="0"/>
                <w:numId w:val="5"/>
              </w:numPr>
              <w:rPr>
                <w:b w:val="false"/>
                <w:b w:val="false"/>
                <w:sz w:val="20"/>
                <w:szCs w:val="20"/>
              </w:rPr>
            </w:pPr>
            <w:r>
              <w:rPr>
                <w:b w:val="false"/>
                <w:sz w:val="20"/>
                <w:szCs w:val="20"/>
              </w:rPr>
              <w:t>${Common_T03880}</w:t>
            </w:r>
          </w:p>
          <w:p>
            <w:pPr>
              <w:pStyle w:val="CHeadMiddle"/>
              <w:rPr/>
            </w:pPr>
            <w:r>
              <w:rPr/>
              <w:t>${Common_T03900}</w:t>
            </w:r>
          </w:p>
          <w:p>
            <w:pPr>
              <w:pStyle w:val="Normal"/>
              <w:rPr>
                <w:rFonts w:ascii="Garamond" w:hAnsi="Garamond"/>
                <w:sz w:val="20"/>
                <w:szCs w:val="20"/>
              </w:rPr>
            </w:pPr>
            <w:r>
              <w:rPr>
                <w:rFonts w:ascii="Garamond" w:hAnsi="Garamond"/>
                <w:sz w:val="20"/>
                <w:szCs w:val="20"/>
              </w:rPr>
              <w:t>${Common_T03910}</w:t>
              <w:br/>
            </w:r>
          </w:p>
          <w:p>
            <w:pPr>
              <w:pStyle w:val="CHeadMiddle"/>
              <w:numPr>
                <w:ilvl w:val="0"/>
                <w:numId w:val="6"/>
              </w:numPr>
              <w:spacing w:before="0" w:after="120"/>
              <w:ind w:left="714" w:hanging="357"/>
              <w:rPr>
                <w:b w:val="false"/>
                <w:b w:val="false"/>
                <w:sz w:val="20"/>
                <w:szCs w:val="20"/>
              </w:rPr>
            </w:pPr>
            <w:r>
              <w:rPr>
                <w:b w:val="false"/>
                <w:sz w:val="20"/>
                <w:szCs w:val="20"/>
              </w:rPr>
              <w:t>${Common_T03920}</w:t>
              <w:br/>
            </w:r>
            <w:hyperlink r:id="rId16">
              <w:r>
                <w:rPr>
                  <w:rStyle w:val="InternetLink"/>
                  <w:b w:val="false"/>
                  <w:sz w:val="20"/>
                  <w:szCs w:val="20"/>
                </w:rPr>
                <w:t>https://www.youtube.com/watch?v=i5Y0akWj31k</w:t>
              </w:r>
            </w:hyperlink>
          </w:p>
          <w:p>
            <w:pPr>
              <w:pStyle w:val="CHeadMiddle"/>
              <w:numPr>
                <w:ilvl w:val="0"/>
                <w:numId w:val="6"/>
              </w:numPr>
              <w:spacing w:before="0" w:after="120"/>
              <w:ind w:left="714" w:hanging="357"/>
              <w:rPr>
                <w:b w:val="false"/>
                <w:b w:val="false"/>
                <w:sz w:val="20"/>
                <w:szCs w:val="20"/>
              </w:rPr>
            </w:pPr>
            <w:r>
              <w:rPr>
                <w:b w:val="false"/>
                <w:sz w:val="20"/>
                <w:szCs w:val="20"/>
              </w:rPr>
              <w:t>${Common_T03930}</w:t>
              <w:br/>
            </w:r>
            <w:hyperlink r:id="rId17">
              <w:r>
                <w:rPr>
                  <w:rStyle w:val="InternetLink"/>
                  <w:b w:val="false"/>
                  <w:sz w:val="20"/>
                  <w:szCs w:val="20"/>
                </w:rPr>
                <w:t>http://trustedsoftwarealliance.com/2014/03/21/the-owasp-cornucopia-project-with-colin-watson/</w:t>
              </w:r>
            </w:hyperlink>
          </w:p>
          <w:p>
            <w:pPr>
              <w:pStyle w:val="CHeadMiddle"/>
              <w:numPr>
                <w:ilvl w:val="0"/>
                <w:numId w:val="6"/>
              </w:numPr>
              <w:spacing w:before="0" w:after="120"/>
              <w:ind w:left="714" w:hanging="357"/>
              <w:rPr>
                <w:b w:val="false"/>
                <w:b w:val="false"/>
                <w:sz w:val="20"/>
                <w:szCs w:val="20"/>
              </w:rPr>
            </w:pPr>
            <w:r>
              <w:rPr>
                <w:b w:val="false"/>
                <w:sz w:val="20"/>
                <w:szCs w:val="20"/>
              </w:rPr>
              <w:t>${Common_T03940}</w:t>
              <w:br/>
            </w:r>
            <w:hyperlink r:id="rId18">
              <w:r>
                <w:rPr>
                  <w:rStyle w:val="InternetLink"/>
                  <w:b w:val="false"/>
                  <w:sz w:val="20"/>
                  <w:szCs w:val="20"/>
                </w:rPr>
                <w:t>https://www.youtube.com/watch?v=Q_LE-8xNXVk</w:t>
              </w:r>
            </w:hyperlink>
          </w:p>
          <w:p>
            <w:pPr>
              <w:pStyle w:val="CHeadMiddle"/>
              <w:spacing w:before="0" w:after="120"/>
              <w:rPr>
                <w:b w:val="false"/>
                <w:b w:val="false"/>
                <w:sz w:val="20"/>
                <w:szCs w:val="20"/>
              </w:rPr>
            </w:pPr>
            <w:r>
              <w:rPr>
                <w:b w:val="false"/>
                <w:sz w:val="20"/>
                <w:szCs w:val="20"/>
              </w:rPr>
              <w:t>${Common_T03950}</w:t>
            </w:r>
          </w:p>
        </w:tc>
        <w:tc>
          <w:tcPr>
            <w:tcW w:w="7376"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p>
            <w:pPr>
              <w:pStyle w:val="Normal"/>
              <w:rPr>
                <w:rFonts w:ascii="Garamond" w:hAnsi="Garamond"/>
                <w:sz w:val="20"/>
                <w:szCs w:val="20"/>
              </w:rPr>
            </w:pPr>
            <w:r>
              <w:rPr/>
              <w:drawing>
                <wp:inline distT="0" distB="0" distL="0" distR="0">
                  <wp:extent cx="4508500" cy="6619875"/>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19"/>
                          <a:stretch>
                            <a:fillRect/>
                          </a:stretch>
                        </pic:blipFill>
                        <pic:spPr bwMode="auto">
                          <a:xfrm>
                            <a:off x="0" y="0"/>
                            <a:ext cx="4508500" cy="6619875"/>
                          </a:xfrm>
                          <a:prstGeom prst="rect">
                            <a:avLst/>
                          </a:prstGeom>
                        </pic:spPr>
                      </pic:pic>
                    </a:graphicData>
                  </a:graphic>
                </wp:inline>
              </w:drawing>
            </w:r>
          </w:p>
        </w:tc>
      </w:tr>
    </w:tbl>
    <w:p>
      <w:pPr>
        <w:pStyle w:val="Normal"/>
        <w:rPr>
          <w:rFonts w:ascii="Garamond" w:hAnsi="Garamond"/>
          <w:sz w:val="20"/>
          <w:szCs w:val="20"/>
        </w:rPr>
      </w:pPr>
      <w:r>
        <w:rPr/>
      </w:r>
    </w:p>
    <w:sectPr>
      <w:headerReference w:type="default" r:id="rId20"/>
      <w:type w:val="nextPage"/>
      <w:pgSz w:orient="landscape" w:w="16838" w:h="11906"/>
      <w:pgMar w:left="851" w:right="851" w:header="227" w:top="567" w:footer="0" w:bottom="28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ucida Grande">
    <w:charset w:val="01"/>
    <w:family w:val="roman"/>
    <w:pitch w:val="variable"/>
  </w:font>
  <w:font w:name="Liberation Sans">
    <w:altName w:val="Arial"/>
    <w:charset w:val="01"/>
    <w:family w:val="roman"/>
    <w:pitch w:val="variable"/>
  </w:font>
  <w:font w:name="Garamond">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Grid"/>
      <w:tblW w:w="15354" w:type="dxa"/>
      <w:jc w:val="left"/>
      <w:tblInd w:w="0" w:type="dxa"/>
      <w:tblCellMar>
        <w:top w:w="0" w:type="dxa"/>
        <w:left w:w="108" w:type="dxa"/>
        <w:bottom w:w="0" w:type="dxa"/>
        <w:right w:w="108" w:type="dxa"/>
      </w:tblCellMar>
      <w:tblLook w:val="04a0" w:noHBand="0" w:noVBand="1" w:firstColumn="1" w:lastRow="0" w:lastColumn="0" w:firstRow="1"/>
    </w:tblPr>
    <w:tblGrid>
      <w:gridCol w:w="5352"/>
      <w:gridCol w:w="2693"/>
      <w:gridCol w:w="7309"/>
    </w:tblGrid>
    <w:tr>
      <w:trPr/>
      <w:tc>
        <w:tcPr>
          <w:tcW w:w="5352" w:type="dxa"/>
          <w:tcBorders>
            <w:top w:val="nil"/>
            <w:left w:val="nil"/>
            <w:bottom w:val="nil"/>
            <w:right w:val="nil"/>
          </w:tcBorders>
        </w:tcPr>
        <w:p>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sz w:val="16"/>
              <w:szCs w:val="16"/>
              <w:rFonts w:ascii="Garamond" w:hAnsi="Garamond"/>
              <w:color w:val="BFBFBF"/>
            </w:rPr>
            <w:instrText> TITLE </w:instrText>
          </w:r>
          <w:r>
            <w:rPr>
              <w:sz w:val="16"/>
              <w:szCs w:val="16"/>
              <w:rFonts w:ascii="Garamond" w:hAnsi="Garamond"/>
              <w:color w:val="BFBFBF"/>
            </w:rPr>
            <w:fldChar w:fldCharType="separate"/>
          </w:r>
          <w:r>
            <w:rPr>
              <w:sz w:val="16"/>
              <w:szCs w:val="16"/>
              <w:rFonts w:ascii="Garamond" w:hAnsi="Garamond"/>
              <w:color w:val="BFBFBF"/>
            </w:rPr>
            <w:t>OWASP Cornucopia Ecommerce Website Edition</w:t>
          </w:r>
          <w:r>
            <w:rPr>
              <w:sz w:val="16"/>
              <w:szCs w:val="16"/>
              <w:rFonts w:ascii="Garamond" w:hAnsi="Garamond"/>
              <w:color w:val="BFBFBF"/>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sz w:val="16"/>
              <w:szCs w:val="16"/>
              <w:rFonts w:ascii="Garamond" w:hAnsi="Garamond"/>
              <w:color w:val="BFBFBF"/>
            </w:rPr>
            <w:instrText> SUBJECT </w:instrText>
          </w:r>
          <w:r>
            <w:rPr>
              <w:sz w:val="16"/>
              <w:szCs w:val="16"/>
              <w:rFonts w:ascii="Garamond" w:hAnsi="Garamond"/>
              <w:color w:val="BFBFBF"/>
            </w:rPr>
            <w:fldChar w:fldCharType="separate"/>
          </w:r>
          <w:r>
            <w:rPr>
              <w:sz w:val="16"/>
              <w:szCs w:val="16"/>
              <w:rFonts w:ascii="Garamond" w:hAnsi="Garamond"/>
              <w:color w:val="BFBFBF"/>
            </w:rPr>
            <w:t>v1.20-EN</w:t>
          </w:r>
          <w:r>
            <w:rPr>
              <w:sz w:val="16"/>
              <w:szCs w:val="16"/>
              <w:rFonts w:ascii="Garamond" w:hAnsi="Garamond"/>
              <w:color w:val="BFBFBF"/>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sz w:val="16"/>
              <w:szCs w:val="16"/>
              <w:rFonts w:ascii="Garamond" w:hAnsi="Garamond"/>
              <w:color w:val="BFBFBF"/>
            </w:rPr>
            <w:instrText> PAGE </w:instrText>
          </w:r>
          <w:r>
            <w:rPr>
              <w:sz w:val="16"/>
              <w:szCs w:val="16"/>
              <w:rFonts w:ascii="Garamond" w:hAnsi="Garamond"/>
              <w:color w:val="BFBFBF"/>
            </w:rPr>
            <w:fldChar w:fldCharType="separate"/>
          </w:r>
          <w:r>
            <w:rPr>
              <w:sz w:val="16"/>
              <w:szCs w:val="16"/>
              <w:rFonts w:ascii="Garamond" w:hAnsi="Garamond"/>
              <w:color w:val="BFBFBF"/>
            </w:rPr>
            <w:t>25</w:t>
          </w:r>
          <w:r>
            <w:rPr>
              <w:sz w:val="16"/>
              <w:szCs w:val="16"/>
              <w:rFonts w:ascii="Garamond" w:hAnsi="Garamond"/>
              <w:color w:val="BFBFBF"/>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sz w:val="16"/>
              <w:szCs w:val="16"/>
              <w:rFonts w:ascii="Garamond" w:hAnsi="Garamond"/>
              <w:color w:val="BFBFBF"/>
            </w:rPr>
            <w:instrText> NUMPAGES </w:instrText>
          </w:r>
          <w:r>
            <w:rPr>
              <w:sz w:val="16"/>
              <w:szCs w:val="16"/>
              <w:rFonts w:ascii="Garamond" w:hAnsi="Garamond"/>
              <w:color w:val="BFBFBF"/>
            </w:rPr>
            <w:fldChar w:fldCharType="separate"/>
          </w:r>
          <w:r>
            <w:rPr>
              <w:sz w:val="16"/>
              <w:szCs w:val="16"/>
              <w:rFonts w:ascii="Garamond" w:hAnsi="Garamond"/>
              <w:color w:val="BFBFBF"/>
            </w:rPr>
            <w:t>25</w:t>
          </w:r>
          <w:r>
            <w:rPr>
              <w:sz w:val="16"/>
              <w:szCs w:val="16"/>
              <w:rFonts w:ascii="Garamond" w:hAnsi="Garamond"/>
              <w:color w:val="BFBFBF"/>
            </w:rPr>
            <w:fldChar w:fldCharType="end"/>
          </w:r>
        </w:p>
      </w:tc>
      <w:tc>
        <w:tcPr>
          <w:tcW w:w="2693" w:type="dxa"/>
          <w:tcBorders>
            <w:top w:val="nil"/>
            <w:left w:val="nil"/>
            <w:bottom w:val="nil"/>
            <w:right w:val="nil"/>
          </w:tcBorders>
        </w:tcPr>
        <w:p>
          <w:pPr>
            <w:pStyle w:val="Header"/>
            <w:jc w:val="center"/>
            <w:rPr>
              <w:rFonts w:ascii="Garamond" w:hAnsi="Garamond"/>
              <w:sz w:val="16"/>
              <w:szCs w:val="16"/>
            </w:rPr>
          </w:pPr>
          <w:r>
            <w:rPr>
              <w:rFonts w:ascii="Garamond" w:hAnsi="Garamond"/>
              <w:sz w:val="16"/>
              <w:szCs w:val="16"/>
            </w:rPr>
          </w:r>
        </w:p>
      </w:tc>
      <w:tc>
        <w:tcPr>
          <w:tcW w:w="7309" w:type="dxa"/>
          <w:tcBorders>
            <w:top w:val="nil"/>
            <w:left w:val="nil"/>
            <w:bottom w:val="nil"/>
            <w:right w:val="nil"/>
          </w:tcBorders>
        </w:tcPr>
        <w:p>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pPr>
      <w:pStyle w:val="Header"/>
      <w:rPr>
        <w:rFonts w:ascii="Garamond" w:hAnsi="Garamond"/>
        <w:sz w:val="16"/>
        <w:szCs w:val="16"/>
      </w:rPr>
    </w:pPr>
    <w:r>
      <w:rPr>
        <w:rFonts w:ascii="Garamond" w:hAnsi="Garamond"/>
        <w:sz w:val="16"/>
        <w:szCs w:val="16"/>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GB"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Cs w:val="24"/>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742d9"/>
    <w:pPr>
      <w:widowControl/>
      <w:suppressAutoHyphens w:val="true"/>
      <w:bidi w:val="0"/>
      <w:spacing w:before="0" w:after="0"/>
      <w:jc w:val="left"/>
    </w:pPr>
    <w:rPr>
      <w:rFonts w:ascii="Cambria" w:hAnsi="Cambria" w:eastAsia="ＭＳ 明朝" w:cs="" w:asciiTheme="minorHAnsi" w:cstheme="minorBidi" w:eastAsiaTheme="minorEastAsia" w:hAnsiTheme="minorHAnsi"/>
      <w:color w:val="auto"/>
      <w:kern w:val="0"/>
      <w:sz w:val="24"/>
      <w:szCs w:val="24"/>
      <w:lang w:val="en-GB"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f76fdb"/>
    <w:rPr/>
  </w:style>
  <w:style w:type="character" w:styleId="FooterChar" w:customStyle="1">
    <w:name w:val="Footer Char"/>
    <w:basedOn w:val="DefaultParagraphFont"/>
    <w:link w:val="Footer"/>
    <w:uiPriority w:val="99"/>
    <w:qFormat/>
    <w:rsid w:val="00f76fdb"/>
    <w:rPr/>
  </w:style>
  <w:style w:type="character" w:styleId="BalloonTextChar" w:customStyle="1">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InternetLink">
    <w:name w:val="Hyperlink"/>
    <w:basedOn w:val="DefaultParagraphFont"/>
    <w:uiPriority w:val="99"/>
    <w:unhideWhenUsed/>
    <w:rsid w:val="00346594"/>
    <w:rPr>
      <w:color w:val="0000FF" w:themeColor="hyperlink"/>
      <w:u w:val="single"/>
    </w:rPr>
  </w:style>
  <w:style w:type="character" w:styleId="VisitedInternet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f76fdb"/>
    <w:pPr>
      <w:tabs>
        <w:tab w:val="clear" w:pos="720"/>
        <w:tab w:val="center" w:pos="4320" w:leader="none"/>
        <w:tab w:val="right" w:pos="8640" w:leader="none"/>
      </w:tabs>
    </w:pPr>
    <w:rPr/>
  </w:style>
  <w:style w:type="paragraph" w:styleId="Footer">
    <w:name w:val="Footer"/>
    <w:basedOn w:val="Normal"/>
    <w:link w:val="FooterChar"/>
    <w:uiPriority w:val="99"/>
    <w:unhideWhenUsed/>
    <w:rsid w:val="00f76fdb"/>
    <w:pPr>
      <w:tabs>
        <w:tab w:val="clear" w:pos="720"/>
        <w:tab w:val="center" w:pos="4320" w:leader="none"/>
        <w:tab w:val="right" w:pos="8640" w:leader="none"/>
      </w:tabs>
    </w:pPr>
    <w:rPr/>
  </w:style>
  <w:style w:type="paragraph" w:styleId="ListParagraph">
    <w:name w:val="List Paragraph"/>
    <w:basedOn w:val="Normal"/>
    <w:uiPriority w:val="34"/>
    <w:qFormat/>
    <w:rsid w:val="009c6edd"/>
    <w:pPr>
      <w:spacing w:before="0" w:after="0"/>
      <w:ind w:left="720" w:hanging="0"/>
      <w:contextualSpacing/>
    </w:pPr>
    <w:rPr/>
  </w:style>
  <w:style w:type="paragraph" w:styleId="BalloonText">
    <w:name w:val="Balloon Text"/>
    <w:basedOn w:val="Normal"/>
    <w:link w:val="BalloonTextChar"/>
    <w:uiPriority w:val="99"/>
    <w:semiHidden/>
    <w:unhideWhenUsed/>
    <w:qFormat/>
    <w:rsid w:val="00777036"/>
    <w:pPr/>
    <w:rPr>
      <w:rFonts w:ascii="Lucida Grande" w:hAnsi="Lucida Grande" w:cs="Lucida Grande"/>
      <w:sz w:val="18"/>
      <w:szCs w:val="18"/>
    </w:rPr>
  </w:style>
  <w:style w:type="paragraph" w:styleId="CHeadTop" w:customStyle="1">
    <w:name w:val="C-Head-Top"/>
    <w:basedOn w:val="Normal"/>
    <w:qFormat/>
    <w:rsid w:val="006a59cd"/>
    <w:pPr>
      <w:spacing w:before="0" w:after="60"/>
    </w:pPr>
    <w:rPr>
      <w:rFonts w:ascii="Garamond" w:hAnsi="Garamond"/>
      <w:b/>
      <w:sz w:val="22"/>
      <w:szCs w:val="22"/>
    </w:rPr>
  </w:style>
  <w:style w:type="paragraph" w:styleId="CHeadMiddle" w:customStyle="1">
    <w:name w:val="C-Head-Middle"/>
    <w:basedOn w:val="CHeadTop"/>
    <w:qFormat/>
    <w:rsid w:val="00505c26"/>
    <w:pPr>
      <w:spacing w:before="240" w:after="60"/>
    </w:pPr>
    <w:rPr/>
  </w:style>
  <w:style w:type="paragraph" w:styleId="Revision">
    <w:name w:val="Revision"/>
    <w:uiPriority w:val="99"/>
    <w:semiHidden/>
    <w:qFormat/>
    <w:rsid w:val="00d6005f"/>
    <w:pPr>
      <w:widowControl/>
      <w:suppressAutoHyphens w:val="true"/>
      <w:bidi w:val="0"/>
      <w:spacing w:before="0" w:after="0"/>
      <w:jc w:val="left"/>
    </w:pPr>
    <w:rPr>
      <w:rFonts w:ascii="Cambria" w:hAnsi="Cambria" w:eastAsia="ＭＳ 明朝" w:cs="" w:asciiTheme="minorHAnsi" w:cstheme="minorBidi" w:eastAsiaTheme="minorEastAsia" w:hAnsiTheme="minorHAnsi"/>
      <w:color w:val="auto"/>
      <w:kern w:val="0"/>
      <w:sz w:val="24"/>
      <w:szCs w:val="24"/>
      <w:lang w:val="en-GB"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690c0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png"/><Relationship Id="rId4" Type="http://schemas.openxmlformats.org/officeDocument/2006/relationships/hyperlink" Target="https://lists.owasp.org/mailman/listinfo/owasp_cornucopia" TargetMode="External"/><Relationship Id="rId5" Type="http://schemas.openxmlformats.org/officeDocument/2006/relationships/hyperlink" Target="https://www.owasp.org/index.php/OWASP_Cornucopia" TargetMode="External"/><Relationship Id="rId6" Type="http://schemas.openxmlformats.org/officeDocument/2006/relationships/hyperlink" Target="https://wiki.owasp.org/index.php/Cornucopia_-_Ecommerce_Website_Edition_-_Wiki_Deck" TargetMode="External"/><Relationship Id="rId7" Type="http://schemas.openxmlformats.org/officeDocument/2006/relationships/hyperlink" Target="https://www.owasp.org/index.php/File:OWASP_SCP_Quick_Reference_Guide_v2.pdf" TargetMode="External"/><Relationship Id="rId8" Type="http://schemas.openxmlformats.org/officeDocument/2006/relationships/hyperlink" Target="https://www.owasp.org/images/3/33/OWASP_Application_Security_Verification_Standard_3.0.1.pdf" TargetMode="External"/><Relationship Id="rId9" Type="http://schemas.openxmlformats.org/officeDocument/2006/relationships/hyperlink" Target="https://www.owasp.org/index.php/AppSensor_DetectionPoints" TargetMode="External"/><Relationship Id="rId10" Type="http://schemas.openxmlformats.org/officeDocument/2006/relationships/hyperlink" Target="http://capec.mitre.org/data/archive/capec_v2.8.zip" TargetMode="External"/><Relationship Id="rId11" Type="http://schemas.openxmlformats.org/officeDocument/2006/relationships/hyperlink" Target="http://www.safecode.org/publications/SAFECode_Agile_Dev_Security0712.pdf" TargetMode="External"/><Relationship Id="rId12" Type="http://schemas.openxmlformats.org/officeDocument/2006/relationships/hyperlink" Target="https://youtu.be/i5Y0akWj31k" TargetMode="External"/><Relationship Id="rId13" Type="http://schemas.openxmlformats.org/officeDocument/2006/relationships/hyperlink" Target="https://www.owasp.org/index.php/File:Cornucopia-scoresheet.pdf" TargetMode="External"/><Relationship Id="rId14" Type="http://schemas.openxmlformats.org/officeDocument/2006/relationships/hyperlink" Target="https://www.owasp.org/index.php/Cornucopia_-_Ecommerce_Website_Edition_-_Wiki_Deck" TargetMode="External"/><Relationship Id="rId15" Type="http://schemas.openxmlformats.org/officeDocument/2006/relationships/image" Target="media/image3.png"/><Relationship Id="rId16" Type="http://schemas.openxmlformats.org/officeDocument/2006/relationships/hyperlink" Target="https://www.youtube.com/watch?v=i5Y0akWj31k" TargetMode="External"/><Relationship Id="rId17" Type="http://schemas.openxmlformats.org/officeDocument/2006/relationships/hyperlink" Target="http://trustedsoftwarealliance.com/2014/03/21/the-owasp-cornucopia-project-with-colin-watson/" TargetMode="External"/><Relationship Id="rId18" Type="http://schemas.openxmlformats.org/officeDocument/2006/relationships/hyperlink" Target="https://www.youtube.com/watch?v=Q_LE-8xNXVk" TargetMode="External"/><Relationship Id="rId19" Type="http://schemas.openxmlformats.org/officeDocument/2006/relationships/image" Target="media/image4.png"/><Relationship Id="rId20" Type="http://schemas.openxmlformats.org/officeDocument/2006/relationships/header" Target="head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1186</TotalTime>
  <Application>LibreOffice/6.4.7.2$Linux_X86_64 LibreOffice_project/40$Build-2</Application>
  <Pages>25</Pages>
  <Words>2110</Words>
  <Characters>22189</Characters>
  <CharactersWithSpaces>24054</CharactersWithSpaces>
  <Paragraphs>1291</Paragraphs>
  <Company>OWASP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2016-06-29T14:34:00Z</dcterms:created>
  <dc:creator>Colin Watson</dc:creator>
  <dc:description>This document is licensed under the Creative Commons Attribution-ShareAlike 3.0 license</dc:description>
  <cp:keywords>ecommerce website security requirements threats attacks</cp:keywords>
  <dc:language>en-GB</dc:language>
  <cp:lastModifiedBy/>
  <cp:lastPrinted>2015-03-31T16:57:00Z</cp:lastPrinted>
  <dcterms:modified xsi:type="dcterms:W3CDTF">2022-07-29T12:50:01Z</dcterms:modified>
  <cp:revision>110</cp:revision>
  <dc:subject>v1.20-EN</dc:subject>
  <dc:title>OWASP Cornucopia Ecommerce Website Edition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