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Coding and network volume over the identical 232-transcript corpus.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Expert (benchmark)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LLM (Claude)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Causal statements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Statements per interview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factor names (pre-aggregation)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network (self-loops excluded)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 edges, Σw = 1,165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 edges, Σw = 1,738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network (self-loops excluded)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 edges, Σw = 1,569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 edges, Σw = 2,313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Bin-level self-loops (recorded, not analyzed)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edges, Σw = 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edges, Σw = 786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Cross-coder agreement, by system (Challenge or Solution).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Spearman ρ — eigenvector centrality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Spearman ρ — influence (weighted out-degree)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Spearman ρ — dependence (weighted in-degree)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Godet quadrant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11/17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Edge-set Jaccard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Spearman ρ — weights on shared edges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Top-10 loop overlap (node sets)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Ten highest-scoring feedback loops in each network, by coder and system. Loops are scored with the salience metric of Gottschamer and Walters (2023); ↺ marks the closure of the cycle back to its first factor.</w:t>
      </w:r>
    </w:p>
    <w:p>
      <w:pPr>
        <w:pStyle w:val="BodyText"/>
      </w:pPr>
      <w:r>
        <w:rPr>
          <w:i/>
          <w:iCs/>
        </w:rPr>
        <w:t xml:space="preserve">(a) Challenge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(benchmark)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(Claude)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Capacity Building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Govt/Ext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Infrastructure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Govt/Ext Finance → Infrastructure → Service Performance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Politics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Govt/Ext Finance → Infrastructure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→ Service Performance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Govt/Ext Finance → Infrastructure → Community/Users → Service Performance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→ Community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Infrastructure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→ Capacity Building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Environmental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Govt/Ext Finance → Capacity Building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Environmental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</w:tbl>
    <w:p>
      <w:pPr>
        <w:pStyle w:val="BodyText"/>
      </w:pPr>
      <w:r>
        <w:rPr>
          <w:i/>
          <w:iCs/>
        </w:rPr>
        <w:t xml:space="preserve">(b) Solution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(benchmark)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(Claude)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Govt/Ext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Coordination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Govt/Ext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Govt/Ext Finance → Infrastructure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Coordination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 Management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Coordination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Private Sector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Sustainability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Private Sector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Govt Management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Govt Management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Infrastructure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2026-08-21T23:32:35Z</dcterms:created>
  <dcterms:modified xsi:type="dcterms:W3CDTF">2026-08-21T23:32:35Z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