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Coding and network volume over the identical 232-transcript corpus.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Expert (benchmark)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(Claude)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Causal statements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Statements per interview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factor names (pre-aggregation)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 network (self-loops excluded)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 edges, Σw = 1,165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 edges, Σw = 1,738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 network (self-loops excluded)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 edges, Σw = 1,569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 edges, Σw = 2,313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Bin-level self-loops (recorded, not analyzed)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edges, Σw = 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 edges, Σw = 786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Cross-coder agreement, by system (Challenge or Solution).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 ρ — eigenvector centrality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 ρ — influence (weighted out-degree)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 ρ — dependence (weighted in-degree)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Godet quadrant agreement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Edge-set Jaccard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 ρ — weights on shared edges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Top-10 loop overlap (node sets)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Ten highest-scoring feedback loops in each network, by coder and system. Loops are scored with the salience metric of Gottschamer and Walters (2023); ↺ marks the closure of the cycle back to its first factor.</w:t>
      </w:r>
    </w:p>
    <w:p>
      <w:pPr>
        <w:pStyle w:val="BodyText"/>
      </w:pPr>
      <w:r>
        <w:rPr>
          <w:i/>
          <w:iCs/>
        </w:rPr>
        <w:t xml:space="preserve">(a) Challenge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(benchmark)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(Claude)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Community/Users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Capacity Building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Infrastructure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Community Finance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Community/Users → Infrastructure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Govt/Ext Finance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Infrastructure → Community/Users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Community/Users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Govt/Ext Finance → Infrastructure → Service Performance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Politics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Govt/Ext Finance → Infrastructure → Service Performance → Community/Users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Community/Users → Service Performance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Govt/Ext Finance → Infrastructure → Community/Users → Service Performance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Community/Users → Community Finance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Infrastructure → Service Performance → Community/Users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Community/Users → Capacity Building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Environmental → Infrastructure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Govt/Ext Finance → Capacity Building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Community/Users → Environmental → Infrastructure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</w:tr>
    </w:tbl>
    <w:p>
      <w:pPr>
        <w:pStyle w:val="BodyText"/>
      </w:pPr>
      <w:r>
        <w:rPr>
          <w:i/>
          <w:iCs/>
        </w:rPr>
        <w:t xml:space="preserve">(b) Solution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(benchmark)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(Claude)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Govt/Ext Finance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Community/Users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Building → O&amp;M → Sustainability → Community/Users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Infrastructure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Infrastructure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Community/Users → Infrastructure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Building → O&amp;M → Sustainability → Service Performance → Community/Users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Community/Users → Coordination → Infrastructure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Building → O&amp;M → Sustainability → Govt/Ext Finance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Govt/Ext Finance → Infrastructure → Service Performance → Community/Users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Community/Users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Coordination → Infrastructure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Community Management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Community/Users → Coordination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Sustainability → Private Sector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Community/Users → Sustainability → Infrastructure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Building → O&amp;M → Sustainability → Private Sector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Performance → Community/Users → Govt Management → Infrastructure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Building → O&amp;M → Sustainability → Govt Management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→ Infrastructure → Service Performance → Community/Users 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2026-08-16T19:06:06Z</dcterms:created>
  <dcterms:modified xsi:type="dcterms:W3CDTF">2026-08-16T19:06:06Z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