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Coding and network volume over the identical 232-transcript corpus.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LLM (Claude)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statements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Statements per interview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factor names (pre-aggregation)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network (self-loops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 edges, Σw = 1,165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 edges, Σw = 1,738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network (self-loops excluded)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 edges, Σw = 1,569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 edges, Σw = 2,313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Bin-level self-loops (recorded, not analyzed)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edges, Σw = 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edges, Σw = 786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Cross-coder agreement, by system (Challenge or Solution).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eigenvector centrality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influence (weighted out-degree)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dependence (weighted in-degree)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Godet quadrant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11/17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10/17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Edge-set Jaccard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ρ — weights on shared edges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Top-10 loop overlap (node sets)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Ten highest-scoring feedback loops in each network, by coder and system. Loops are scored with the salience metric of Gottschamer and Walters (2023); ↺ marks the closure of the cycle back to its first factor.</w:t>
      </w:r>
    </w:p>
    <w:p>
      <w:pPr>
        <w:pStyle w:val="BodyText"/>
      </w:pPr>
      <w:r>
        <w:rPr>
          <w:i/>
          <w:iCs/>
        </w:rPr>
        <w:t xml:space="preserve">(a) Challenge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(Claude)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Politics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Community/Users → Service Performance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Community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Environmental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→ Capacity Building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Environmental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34.3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Solution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(benchmark)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(Claude)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Coordination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Govt/Ext Finance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Govt/Ext Finance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Coordination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Community Management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Coordination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Sustainability → Private Sector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Sustainability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Private Sector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Performance → Community/Users → Govt Management → Infrastructure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Building → O&amp;M → Sustainability → Govt Management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O&amp;M → Infrastructure → Service Performance → Community/Users 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2026-08-16T19:39:10Z</dcterms:created>
  <dcterms:modified xsi:type="dcterms:W3CDTF">2026-08-16T19:39:10Z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