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Table 4. </w:t>
      </w:r>
      <w:r>
        <w:t>Factor-level shift in structural position between the expert and LLM codings of the same 232 transcripts. Each value is the LLM score minus the expert score on that axis, in normalized units (weighted out-degree for influence, weighted in-degree for dependence, each divided by the largest factor in its own network). Positive values mean the LLM scored the factor higher; negative values mean the expert coding did. Total displacement is the sum of the two systems' Euclidean shifts — the combined length of the factor's displacement arrows in Figure 3 — and orders the rows. Cell shading follows Figure 4.</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088"/>
            <w:vMerge w:val="restart"/>
            <w:vAlign w:val="center"/>
          </w:tcPr>
          <w:p>
            <w:pPr>
              <w:jc w:val="center"/>
            </w:pPr>
            <w:r>
              <w:rPr>
                <w:b/>
                <w:sz w:val="17"/>
              </w:rPr>
              <w:t>Factor</w:t>
            </w:r>
          </w:p>
        </w:tc>
        <w:tc>
          <w:tcPr>
            <w:tcW w:type="dxa" w:w="1512"/>
            <w:gridSpan w:val="2"/>
            <w:vAlign w:val="center"/>
          </w:tcPr>
          <w:p>
            <w:pPr>
              <w:jc w:val="center"/>
            </w:pPr>
            <w:r>
              <w:rPr>
                <w:b/>
                <w:sz w:val="17"/>
              </w:rPr>
              <w:t>Challenge system</w:t>
            </w:r>
          </w:p>
        </w:tc>
        <w:tc>
          <w:tcPr>
            <w:tcW w:type="dxa" w:w="1512"/>
            <w:gridSpan w:val="2"/>
            <w:vAlign w:val="center"/>
          </w:tcPr>
          <w:p>
            <w:pPr>
              <w:jc w:val="center"/>
            </w:pPr>
            <w:r>
              <w:rPr>
                <w:b/>
                <w:sz w:val="17"/>
              </w:rPr>
              <w:t>Solution system</w:t>
            </w:r>
          </w:p>
        </w:tc>
        <w:tc>
          <w:tcPr>
            <w:tcW w:type="dxa" w:w="1368"/>
            <w:vMerge w:val="restart"/>
            <w:vAlign w:val="center"/>
          </w:tcPr>
          <w:p>
            <w:pPr>
              <w:jc w:val="center"/>
            </w:pPr>
            <w:r>
              <w:rPr>
                <w:b/>
                <w:sz w:val="17"/>
              </w:rPr>
              <w:t>Total displacement</w:t>
            </w:r>
          </w:p>
        </w:tc>
      </w:tr>
      <w:tr>
        <w:tc>
          <w:tcPr>
            <w:tcW w:type="dxa" w:w="1608"/>
            <w:vMerge/>
          </w:tcPr>
          <w:p/>
        </w:tc>
        <w:tc>
          <w:tcPr>
            <w:tcW w:type="dxa" w:w="1368"/>
            <w:vAlign w:val="center"/>
          </w:tcPr>
          <w:p>
            <w:pPr>
              <w:jc w:val="center"/>
            </w:pPr>
            <w:r>
              <w:rPr>
                <w:b/>
                <w:sz w:val="17"/>
              </w:rPr>
              <w:t>Δ Influence</w:t>
            </w:r>
          </w:p>
        </w:tc>
        <w:tc>
          <w:tcPr>
            <w:tcW w:type="dxa" w:w="1512"/>
            <w:vAlign w:val="center"/>
          </w:tcPr>
          <w:p>
            <w:pPr>
              <w:jc w:val="center"/>
            </w:pPr>
            <w:r>
              <w:rPr>
                <w:b/>
                <w:sz w:val="17"/>
              </w:rPr>
              <w:t>Δ Dependence</w:t>
            </w:r>
          </w:p>
        </w:tc>
        <w:tc>
          <w:tcPr>
            <w:tcW w:type="dxa" w:w="1368"/>
            <w:vAlign w:val="center"/>
          </w:tcPr>
          <w:p>
            <w:pPr>
              <w:jc w:val="center"/>
            </w:pPr>
            <w:r>
              <w:rPr>
                <w:b/>
                <w:sz w:val="17"/>
              </w:rPr>
              <w:t>Δ Influence</w:t>
            </w:r>
          </w:p>
        </w:tc>
        <w:tc>
          <w:tcPr>
            <w:tcW w:type="dxa" w:w="1512"/>
            <w:vAlign w:val="center"/>
          </w:tcPr>
          <w:p>
            <w:pPr>
              <w:jc w:val="center"/>
            </w:pPr>
            <w:r>
              <w:rPr>
                <w:b/>
                <w:sz w:val="17"/>
              </w:rPr>
              <w:t>Δ Dependence</w:t>
            </w:r>
          </w:p>
        </w:tc>
        <w:tc>
          <w:tcPr>
            <w:tcW w:type="dxa" w:w="1608"/>
            <w:vMerge/>
          </w:tcPr>
          <w:p/>
        </w:tc>
      </w:tr>
      <w:tr>
        <w:tc>
          <w:tcPr>
            <w:tcW w:type="dxa" w:w="2088"/>
            <w:vAlign w:val="center"/>
          </w:tcPr>
          <w:p>
            <w:r>
              <w:rPr>
                <w:sz w:val="17"/>
              </w:rPr>
              <w:t>O&amp;M</w:t>
            </w:r>
          </w:p>
        </w:tc>
        <w:tc>
          <w:tcPr>
            <w:tcW w:type="dxa" w:w="1368"/>
            <w:shd w:val="clear" w:fill="5E82BA"/>
            <w:vAlign w:val="center"/>
          </w:tcPr>
          <w:p>
            <w:pPr>
              <w:jc w:val="center"/>
            </w:pPr>
            <w:r>
              <w:rPr>
                <w:sz w:val="17"/>
              </w:rPr>
              <w:t>−0.43</w:t>
            </w:r>
          </w:p>
        </w:tc>
        <w:tc>
          <w:tcPr>
            <w:tcW w:type="dxa" w:w="1512"/>
            <w:shd w:val="clear" w:fill="829AC6"/>
            <w:vAlign w:val="center"/>
          </w:tcPr>
          <w:p>
            <w:pPr>
              <w:jc w:val="center"/>
            </w:pPr>
            <w:r>
              <w:rPr>
                <w:sz w:val="17"/>
              </w:rPr>
              <w:t>−0.33</w:t>
            </w:r>
          </w:p>
        </w:tc>
        <w:tc>
          <w:tcPr>
            <w:tcW w:type="dxa" w:w="1368"/>
            <w:shd w:val="clear" w:fill="AEBAD5"/>
            <w:vAlign w:val="center"/>
          </w:tcPr>
          <w:p>
            <w:pPr>
              <w:jc w:val="center"/>
            </w:pPr>
            <w:r>
              <w:rPr>
                <w:sz w:val="17"/>
              </w:rPr>
              <w:t>−0.20</w:t>
            </w:r>
          </w:p>
        </w:tc>
        <w:tc>
          <w:tcPr>
            <w:tcW w:type="dxa" w:w="1512"/>
            <w:shd w:val="clear" w:fill="356DB0"/>
            <w:vAlign w:val="center"/>
          </w:tcPr>
          <w:p>
            <w:pPr>
              <w:jc w:val="center"/>
            </w:pPr>
            <w:r>
              <w:rPr>
                <w:color w:val="FFFFFF"/>
                <w:sz w:val="17"/>
              </w:rPr>
              <w:t>−0.52</w:t>
            </w:r>
          </w:p>
        </w:tc>
        <w:tc>
          <w:tcPr>
            <w:tcW w:type="dxa" w:w="1368"/>
            <w:vAlign w:val="center"/>
          </w:tcPr>
          <w:p>
            <w:pPr>
              <w:jc w:val="center"/>
            </w:pPr>
            <w:r>
              <w:rPr>
                <w:sz w:val="17"/>
              </w:rPr>
              <w:t>1.09</w:t>
            </w:r>
          </w:p>
        </w:tc>
      </w:tr>
      <w:tr>
        <w:tc>
          <w:tcPr>
            <w:tcW w:type="dxa" w:w="2088"/>
            <w:vAlign w:val="center"/>
          </w:tcPr>
          <w:p>
            <w:r>
              <w:rPr>
                <w:sz w:val="17"/>
              </w:rPr>
              <w:t>Sustainability</w:t>
            </w:r>
          </w:p>
        </w:tc>
        <w:tc>
          <w:tcPr>
            <w:tcW w:type="dxa" w:w="1368"/>
            <w:shd w:val="clear" w:fill="D7DAE3"/>
            <w:vAlign w:val="center"/>
          </w:tcPr>
          <w:p>
            <w:pPr>
              <w:jc w:val="center"/>
            </w:pPr>
            <w:r>
              <w:rPr>
                <w:sz w:val="17"/>
              </w:rPr>
              <w:t>−0.08</w:t>
            </w:r>
          </w:p>
        </w:tc>
        <w:tc>
          <w:tcPr>
            <w:tcW w:type="dxa" w:w="1512"/>
            <w:shd w:val="clear" w:fill="376EB0"/>
            <w:vAlign w:val="center"/>
          </w:tcPr>
          <w:p>
            <w:pPr>
              <w:jc w:val="center"/>
            </w:pPr>
            <w:r>
              <w:rPr>
                <w:color w:val="FFFFFF"/>
                <w:sz w:val="17"/>
              </w:rPr>
              <w:t>−0.52</w:t>
            </w:r>
          </w:p>
        </w:tc>
        <w:tc>
          <w:tcPr>
            <w:tcW w:type="dxa" w:w="1368"/>
            <w:shd w:val="clear" w:fill="C9CFDE"/>
            <w:vAlign w:val="center"/>
          </w:tcPr>
          <w:p>
            <w:pPr>
              <w:jc w:val="center"/>
            </w:pPr>
            <w:r>
              <w:rPr>
                <w:sz w:val="17"/>
              </w:rPr>
              <w:t>−0.12</w:t>
            </w:r>
          </w:p>
        </w:tc>
        <w:tc>
          <w:tcPr>
            <w:tcW w:type="dxa" w:w="1512"/>
            <w:shd w:val="clear" w:fill="4C78B5"/>
            <w:vAlign w:val="center"/>
          </w:tcPr>
          <w:p>
            <w:pPr>
              <w:jc w:val="center"/>
            </w:pPr>
            <w:r>
              <w:rPr>
                <w:sz w:val="17"/>
              </w:rPr>
              <w:t>−0.47</w:t>
            </w:r>
          </w:p>
        </w:tc>
        <w:tc>
          <w:tcPr>
            <w:tcW w:type="dxa" w:w="1368"/>
            <w:vAlign w:val="center"/>
          </w:tcPr>
          <w:p>
            <w:pPr>
              <w:jc w:val="center"/>
            </w:pPr>
            <w:r>
              <w:rPr>
                <w:sz w:val="17"/>
              </w:rPr>
              <w:t>1.01</w:t>
            </w:r>
          </w:p>
        </w:tc>
      </w:tr>
      <w:tr>
        <w:tc>
          <w:tcPr>
            <w:tcW w:type="dxa" w:w="2088"/>
            <w:vAlign w:val="center"/>
          </w:tcPr>
          <w:p>
            <w:r>
              <w:rPr>
                <w:sz w:val="17"/>
              </w:rPr>
              <w:t>Govt/Ext Finance</w:t>
            </w:r>
          </w:p>
        </w:tc>
        <w:tc>
          <w:tcPr>
            <w:tcW w:type="dxa" w:w="1368"/>
            <w:shd w:val="clear" w:fill="7691C2"/>
            <w:vAlign w:val="center"/>
          </w:tcPr>
          <w:p>
            <w:pPr>
              <w:jc w:val="center"/>
            </w:pPr>
            <w:r>
              <w:rPr>
                <w:sz w:val="17"/>
              </w:rPr>
              <w:t>−0.36</w:t>
            </w:r>
          </w:p>
        </w:tc>
        <w:tc>
          <w:tcPr>
            <w:tcW w:type="dxa" w:w="1512"/>
            <w:shd w:val="clear" w:fill="D1D6E1"/>
            <w:vAlign w:val="center"/>
          </w:tcPr>
          <w:p>
            <w:pPr>
              <w:jc w:val="center"/>
            </w:pPr>
            <w:r>
              <w:rPr>
                <w:sz w:val="17"/>
              </w:rPr>
              <w:t>−0.09</w:t>
            </w:r>
          </w:p>
        </w:tc>
        <w:tc>
          <w:tcPr>
            <w:tcW w:type="dxa" w:w="1368"/>
            <w:shd w:val="clear" w:fill="6083BB"/>
            <w:vAlign w:val="center"/>
          </w:tcPr>
          <w:p>
            <w:pPr>
              <w:jc w:val="center"/>
            </w:pPr>
            <w:r>
              <w:rPr>
                <w:sz w:val="17"/>
              </w:rPr>
              <w:t>−0.42</w:t>
            </w:r>
          </w:p>
        </w:tc>
        <w:tc>
          <w:tcPr>
            <w:tcW w:type="dxa" w:w="1512"/>
            <w:shd w:val="clear" w:fill="C6CDDD"/>
            <w:vAlign w:val="center"/>
          </w:tcPr>
          <w:p>
            <w:pPr>
              <w:jc w:val="center"/>
            </w:pPr>
            <w:r>
              <w:rPr>
                <w:sz w:val="17"/>
              </w:rPr>
              <w:t>−0.13</w:t>
            </w:r>
          </w:p>
        </w:tc>
        <w:tc>
          <w:tcPr>
            <w:tcW w:type="dxa" w:w="1368"/>
            <w:vAlign w:val="center"/>
          </w:tcPr>
          <w:p>
            <w:pPr>
              <w:jc w:val="center"/>
            </w:pPr>
            <w:r>
              <w:rPr>
                <w:sz w:val="17"/>
              </w:rPr>
              <w:t>0.82</w:t>
            </w:r>
          </w:p>
        </w:tc>
      </w:tr>
      <w:tr>
        <w:tc>
          <w:tcPr>
            <w:tcW w:type="dxa" w:w="2088"/>
            <w:vAlign w:val="center"/>
          </w:tcPr>
          <w:p>
            <w:r>
              <w:rPr>
                <w:sz w:val="17"/>
              </w:rPr>
              <w:t>Service Performance</w:t>
            </w:r>
          </w:p>
        </w:tc>
        <w:tc>
          <w:tcPr>
            <w:tcW w:type="dxa" w:w="1368"/>
            <w:shd w:val="clear" w:fill="F5D9B2"/>
            <w:vAlign w:val="center"/>
          </w:tcPr>
          <w:p>
            <w:pPr>
              <w:jc w:val="center"/>
            </w:pPr>
            <w:r>
              <w:rPr>
                <w:sz w:val="17"/>
              </w:rPr>
              <w:t>+0.16</w:t>
            </w:r>
          </w:p>
        </w:tc>
        <w:tc>
          <w:tcPr>
            <w:tcW w:type="dxa" w:w="1512"/>
            <w:shd w:val="clear" w:fill="F4C783"/>
            <w:vAlign w:val="center"/>
          </w:tcPr>
          <w:p>
            <w:pPr>
              <w:jc w:val="center"/>
            </w:pPr>
            <w:r>
              <w:rPr>
                <w:sz w:val="17"/>
              </w:rPr>
              <w:t>+0.29</w:t>
            </w:r>
          </w:p>
        </w:tc>
        <w:tc>
          <w:tcPr>
            <w:tcW w:type="dxa" w:w="1368"/>
            <w:shd w:val="clear" w:fill="F5CE96"/>
            <w:vAlign w:val="center"/>
          </w:tcPr>
          <w:p>
            <w:pPr>
              <w:jc w:val="center"/>
            </w:pPr>
            <w:r>
              <w:rPr>
                <w:sz w:val="17"/>
              </w:rPr>
              <w:t>+0.24</w:t>
            </w:r>
          </w:p>
        </w:tc>
        <w:tc>
          <w:tcPr>
            <w:tcW w:type="dxa" w:w="1512"/>
            <w:shd w:val="clear" w:fill="F2BD66"/>
            <w:vAlign w:val="center"/>
          </w:tcPr>
          <w:p>
            <w:pPr>
              <w:jc w:val="center"/>
            </w:pPr>
            <w:r>
              <w:rPr>
                <w:sz w:val="17"/>
              </w:rPr>
              <w:t>+0.37</w:t>
            </w:r>
          </w:p>
        </w:tc>
        <w:tc>
          <w:tcPr>
            <w:tcW w:type="dxa" w:w="1368"/>
            <w:vAlign w:val="center"/>
          </w:tcPr>
          <w:p>
            <w:pPr>
              <w:jc w:val="center"/>
            </w:pPr>
            <w:r>
              <w:rPr>
                <w:sz w:val="17"/>
              </w:rPr>
              <w:t>0.77</w:t>
            </w:r>
          </w:p>
        </w:tc>
      </w:tr>
      <w:tr>
        <w:tc>
          <w:tcPr>
            <w:tcW w:type="dxa" w:w="2088"/>
            <w:vAlign w:val="center"/>
          </w:tcPr>
          <w:p>
            <w:r>
              <w:rPr>
                <w:sz w:val="17"/>
              </w:rPr>
              <w:t>Capacity Building</w:t>
            </w:r>
          </w:p>
        </w:tc>
        <w:tc>
          <w:tcPr>
            <w:tcW w:type="dxa" w:w="1368"/>
            <w:shd w:val="clear" w:fill="8198C5"/>
            <w:vAlign w:val="center"/>
          </w:tcPr>
          <w:p>
            <w:pPr>
              <w:jc w:val="center"/>
            </w:pPr>
            <w:r>
              <w:rPr>
                <w:sz w:val="17"/>
              </w:rPr>
              <w:t>−0.33</w:t>
            </w:r>
          </w:p>
        </w:tc>
        <w:tc>
          <w:tcPr>
            <w:tcW w:type="dxa" w:w="1512"/>
            <w:shd w:val="clear" w:fill="DBDEE5"/>
            <w:vAlign w:val="center"/>
          </w:tcPr>
          <w:p>
            <w:pPr>
              <w:jc w:val="center"/>
            </w:pPr>
            <w:r>
              <w:rPr>
                <w:sz w:val="17"/>
              </w:rPr>
              <w:t>−0.06</w:t>
            </w:r>
          </w:p>
        </w:tc>
        <w:tc>
          <w:tcPr>
            <w:tcW w:type="dxa" w:w="1368"/>
            <w:shd w:val="clear" w:fill="6A89BE"/>
            <w:vAlign w:val="center"/>
          </w:tcPr>
          <w:p>
            <w:pPr>
              <w:jc w:val="center"/>
            </w:pPr>
            <w:r>
              <w:rPr>
                <w:sz w:val="17"/>
              </w:rPr>
              <w:t>−0.40</w:t>
            </w:r>
          </w:p>
        </w:tc>
        <w:tc>
          <w:tcPr>
            <w:tcW w:type="dxa" w:w="1512"/>
            <w:shd w:val="clear" w:fill="D7DAE3"/>
            <w:vAlign w:val="center"/>
          </w:tcPr>
          <w:p>
            <w:pPr>
              <w:jc w:val="center"/>
            </w:pPr>
            <w:r>
              <w:rPr>
                <w:sz w:val="17"/>
              </w:rPr>
              <w:t>−0.08</w:t>
            </w:r>
          </w:p>
        </w:tc>
        <w:tc>
          <w:tcPr>
            <w:tcW w:type="dxa" w:w="1368"/>
            <w:vAlign w:val="center"/>
          </w:tcPr>
          <w:p>
            <w:pPr>
              <w:jc w:val="center"/>
            </w:pPr>
            <w:r>
              <w:rPr>
                <w:sz w:val="17"/>
              </w:rPr>
              <w:t>0.74</w:t>
            </w:r>
          </w:p>
        </w:tc>
      </w:tr>
      <w:tr>
        <w:tc>
          <w:tcPr>
            <w:tcW w:type="dxa" w:w="2088"/>
            <w:vAlign w:val="center"/>
          </w:tcPr>
          <w:p>
            <w:r>
              <w:rPr>
                <w:sz w:val="17"/>
              </w:rPr>
              <w:t>Community Finance</w:t>
            </w:r>
          </w:p>
        </w:tc>
        <w:tc>
          <w:tcPr>
            <w:tcW w:type="dxa" w:w="1368"/>
            <w:shd w:val="clear" w:fill="708DC0"/>
            <w:vAlign w:val="center"/>
          </w:tcPr>
          <w:p>
            <w:pPr>
              <w:jc w:val="center"/>
            </w:pPr>
            <w:r>
              <w:rPr>
                <w:sz w:val="17"/>
              </w:rPr>
              <w:t>−0.38</w:t>
            </w:r>
          </w:p>
        </w:tc>
        <w:tc>
          <w:tcPr>
            <w:tcW w:type="dxa" w:w="1512"/>
            <w:shd w:val="clear" w:fill="B4BED7"/>
            <w:vAlign w:val="center"/>
          </w:tcPr>
          <w:p>
            <w:pPr>
              <w:jc w:val="center"/>
            </w:pPr>
            <w:r>
              <w:rPr>
                <w:sz w:val="17"/>
              </w:rPr>
              <w:t>−0.18</w:t>
            </w:r>
          </w:p>
        </w:tc>
        <w:tc>
          <w:tcPr>
            <w:tcW w:type="dxa" w:w="1368"/>
            <w:shd w:val="clear" w:fill="B6C0D8"/>
            <w:vAlign w:val="center"/>
          </w:tcPr>
          <w:p>
            <w:pPr>
              <w:jc w:val="center"/>
            </w:pPr>
            <w:r>
              <w:rPr>
                <w:sz w:val="17"/>
              </w:rPr>
              <w:t>−0.18</w:t>
            </w:r>
          </w:p>
        </w:tc>
        <w:tc>
          <w:tcPr>
            <w:tcW w:type="dxa" w:w="1512"/>
            <w:shd w:val="clear" w:fill="A1B0D0"/>
            <w:vAlign w:val="center"/>
          </w:tcPr>
          <w:p>
            <w:pPr>
              <w:jc w:val="center"/>
            </w:pPr>
            <w:r>
              <w:rPr>
                <w:sz w:val="17"/>
              </w:rPr>
              <w:t>−0.24</w:t>
            </w:r>
          </w:p>
        </w:tc>
        <w:tc>
          <w:tcPr>
            <w:tcW w:type="dxa" w:w="1368"/>
            <w:vAlign w:val="center"/>
          </w:tcPr>
          <w:p>
            <w:pPr>
              <w:jc w:val="center"/>
            </w:pPr>
            <w:r>
              <w:rPr>
                <w:sz w:val="17"/>
              </w:rPr>
              <w:t>0.72</w:t>
            </w:r>
          </w:p>
        </w:tc>
      </w:tr>
      <w:tr>
        <w:tc>
          <w:tcPr>
            <w:tcW w:type="dxa" w:w="2088"/>
            <w:vAlign w:val="center"/>
          </w:tcPr>
          <w:p>
            <w:r>
              <w:rPr>
                <w:sz w:val="17"/>
              </w:rPr>
              <w:t>Infrastructure</w:t>
            </w:r>
          </w:p>
        </w:tc>
        <w:tc>
          <w:tcPr>
            <w:tcW w:type="dxa" w:w="1368"/>
            <w:shd w:val="clear" w:fill="D5D9E3"/>
            <w:vAlign w:val="center"/>
          </w:tcPr>
          <w:p>
            <w:pPr>
              <w:jc w:val="center"/>
            </w:pPr>
            <w:r>
              <w:rPr>
                <w:sz w:val="17"/>
              </w:rPr>
              <w:t>−0.08</w:t>
            </w:r>
          </w:p>
        </w:tc>
        <w:tc>
          <w:tcPr>
            <w:tcW w:type="dxa" w:w="1512"/>
            <w:shd w:val="clear" w:fill="F4CB8E"/>
            <w:vAlign w:val="center"/>
          </w:tcPr>
          <w:p>
            <w:pPr>
              <w:jc w:val="center"/>
            </w:pPr>
            <w:r>
              <w:rPr>
                <w:sz w:val="17"/>
              </w:rPr>
              <w:t>+0.26</w:t>
            </w:r>
          </w:p>
        </w:tc>
        <w:tc>
          <w:tcPr>
            <w:tcW w:type="dxa" w:w="1368"/>
            <w:shd w:val="clear" w:fill="F4E0C6"/>
            <w:vAlign w:val="center"/>
          </w:tcPr>
          <w:p>
            <w:pPr>
              <w:jc w:val="center"/>
            </w:pPr>
            <w:r>
              <w:rPr>
                <w:sz w:val="17"/>
              </w:rPr>
              <w:t>+0.10</w:t>
            </w:r>
          </w:p>
        </w:tc>
        <w:tc>
          <w:tcPr>
            <w:tcW w:type="dxa" w:w="1512"/>
            <w:shd w:val="clear" w:fill="F5D09A"/>
            <w:vAlign w:val="center"/>
          </w:tcPr>
          <w:p>
            <w:pPr>
              <w:jc w:val="center"/>
            </w:pPr>
            <w:r>
              <w:rPr>
                <w:sz w:val="17"/>
              </w:rPr>
              <w:t>+0.22</w:t>
            </w:r>
          </w:p>
        </w:tc>
        <w:tc>
          <w:tcPr>
            <w:tcW w:type="dxa" w:w="1368"/>
            <w:vAlign w:val="center"/>
          </w:tcPr>
          <w:p>
            <w:pPr>
              <w:jc w:val="center"/>
            </w:pPr>
            <w:r>
              <w:rPr>
                <w:sz w:val="17"/>
              </w:rPr>
              <w:t>0.52</w:t>
            </w:r>
          </w:p>
        </w:tc>
      </w:tr>
      <w:tr>
        <w:tc>
          <w:tcPr>
            <w:tcW w:type="dxa" w:w="2088"/>
            <w:vAlign w:val="center"/>
          </w:tcPr>
          <w:p>
            <w:r>
              <w:rPr>
                <w:sz w:val="17"/>
              </w:rPr>
              <w:t>Govt Management</w:t>
            </w:r>
          </w:p>
        </w:tc>
        <w:tc>
          <w:tcPr>
            <w:tcW w:type="dxa" w:w="1368"/>
            <w:shd w:val="clear" w:fill="F4CA8B"/>
            <w:vAlign w:val="center"/>
          </w:tcPr>
          <w:p>
            <w:pPr>
              <w:jc w:val="center"/>
            </w:pPr>
            <w:r>
              <w:rPr>
                <w:sz w:val="17"/>
              </w:rPr>
              <w:t>+0.27</w:t>
            </w:r>
          </w:p>
        </w:tc>
        <w:tc>
          <w:tcPr>
            <w:tcW w:type="dxa" w:w="1512"/>
            <w:shd w:val="clear" w:fill="EDEDEB"/>
            <w:vAlign w:val="center"/>
          </w:tcPr>
          <w:p>
            <w:pPr>
              <w:jc w:val="center"/>
            </w:pPr>
            <w:r>
              <w:rPr>
                <w:sz w:val="17"/>
              </w:rPr>
              <w:t>−0.01</w:t>
            </w:r>
          </w:p>
        </w:tc>
        <w:tc>
          <w:tcPr>
            <w:tcW w:type="dxa" w:w="1368"/>
            <w:shd w:val="clear" w:fill="F5D19D"/>
            <w:vAlign w:val="center"/>
          </w:tcPr>
          <w:p>
            <w:pPr>
              <w:jc w:val="center"/>
            </w:pPr>
            <w:r>
              <w:rPr>
                <w:sz w:val="17"/>
              </w:rPr>
              <w:t>+0.22</w:t>
            </w:r>
          </w:p>
        </w:tc>
        <w:tc>
          <w:tcPr>
            <w:tcW w:type="dxa" w:w="1512"/>
            <w:shd w:val="clear" w:fill="E6E7E9"/>
            <w:vAlign w:val="center"/>
          </w:tcPr>
          <w:p>
            <w:pPr>
              <w:jc w:val="center"/>
            </w:pPr>
            <w:r>
              <w:rPr>
                <w:sz w:val="17"/>
              </w:rPr>
              <w:t>−0.03</w:t>
            </w:r>
          </w:p>
        </w:tc>
        <w:tc>
          <w:tcPr>
            <w:tcW w:type="dxa" w:w="1368"/>
            <w:vAlign w:val="center"/>
          </w:tcPr>
          <w:p>
            <w:pPr>
              <w:jc w:val="center"/>
            </w:pPr>
            <w:r>
              <w:rPr>
                <w:sz w:val="17"/>
              </w:rPr>
              <w:t>0.49</w:t>
            </w:r>
          </w:p>
        </w:tc>
      </w:tr>
      <w:tr>
        <w:tc>
          <w:tcPr>
            <w:tcW w:type="dxa" w:w="2088"/>
            <w:vAlign w:val="center"/>
          </w:tcPr>
          <w:p>
            <w:r>
              <w:rPr>
                <w:sz w:val="17"/>
              </w:rPr>
              <w:t>Environmental</w:t>
            </w:r>
          </w:p>
        </w:tc>
        <w:tc>
          <w:tcPr>
            <w:tcW w:type="dxa" w:w="1368"/>
            <w:shd w:val="clear" w:fill="728EC0"/>
            <w:vAlign w:val="center"/>
          </w:tcPr>
          <w:p>
            <w:pPr>
              <w:jc w:val="center"/>
            </w:pPr>
            <w:r>
              <w:rPr>
                <w:sz w:val="17"/>
              </w:rPr>
              <w:t>−0.38</w:t>
            </w:r>
          </w:p>
        </w:tc>
        <w:tc>
          <w:tcPr>
            <w:tcW w:type="dxa" w:w="1512"/>
            <w:shd w:val="clear" w:fill="F3E6D4"/>
            <w:vAlign w:val="center"/>
          </w:tcPr>
          <w:p>
            <w:pPr>
              <w:jc w:val="center"/>
            </w:pPr>
            <w:r>
              <w:rPr>
                <w:sz w:val="17"/>
              </w:rPr>
              <w:t>+0.06</w:t>
            </w:r>
          </w:p>
        </w:tc>
        <w:tc>
          <w:tcPr>
            <w:tcW w:type="dxa" w:w="1368"/>
            <w:shd w:val="clear" w:fill="F2E9DC"/>
            <w:vAlign w:val="center"/>
          </w:tcPr>
          <w:p>
            <w:pPr>
              <w:jc w:val="center"/>
            </w:pPr>
            <w:r>
              <w:rPr>
                <w:sz w:val="17"/>
              </w:rPr>
              <w:t>+0.04</w:t>
            </w:r>
          </w:p>
        </w:tc>
        <w:tc>
          <w:tcPr>
            <w:tcW w:type="dxa" w:w="1512"/>
            <w:shd w:val="clear" w:fill="EFEEEC"/>
            <w:vAlign w:val="center"/>
          </w:tcPr>
          <w:p>
            <w:pPr>
              <w:jc w:val="center"/>
            </w:pPr>
            <w:r>
              <w:rPr>
                <w:sz w:val="17"/>
              </w:rPr>
              <w:t>0.00</w:t>
            </w:r>
          </w:p>
        </w:tc>
        <w:tc>
          <w:tcPr>
            <w:tcW w:type="dxa" w:w="1368"/>
            <w:vAlign w:val="center"/>
          </w:tcPr>
          <w:p>
            <w:pPr>
              <w:jc w:val="center"/>
            </w:pPr>
            <w:r>
              <w:rPr>
                <w:sz w:val="17"/>
              </w:rPr>
              <w:t>0.43</w:t>
            </w:r>
          </w:p>
        </w:tc>
      </w:tr>
      <w:tr>
        <w:tc>
          <w:tcPr>
            <w:tcW w:type="dxa" w:w="2088"/>
            <w:vAlign w:val="center"/>
          </w:tcPr>
          <w:p>
            <w:r>
              <w:rPr>
                <w:sz w:val="17"/>
              </w:rPr>
              <w:t>Community/Users</w:t>
            </w:r>
          </w:p>
        </w:tc>
        <w:tc>
          <w:tcPr>
            <w:tcW w:type="dxa" w:w="1368"/>
            <w:shd w:val="clear" w:fill="F4E1C8"/>
            <w:vAlign w:val="center"/>
          </w:tcPr>
          <w:p>
            <w:pPr>
              <w:jc w:val="center"/>
            </w:pPr>
            <w:r>
              <w:rPr>
                <w:sz w:val="17"/>
              </w:rPr>
              <w:t>+0.10</w:t>
            </w:r>
          </w:p>
        </w:tc>
        <w:tc>
          <w:tcPr>
            <w:tcW w:type="dxa" w:w="1512"/>
            <w:shd w:val="clear" w:fill="F4E0C4"/>
            <w:vAlign w:val="center"/>
          </w:tcPr>
          <w:p>
            <w:pPr>
              <w:jc w:val="center"/>
            </w:pPr>
            <w:r>
              <w:rPr>
                <w:sz w:val="17"/>
              </w:rPr>
              <w:t>+0.11</w:t>
            </w:r>
          </w:p>
        </w:tc>
        <w:tc>
          <w:tcPr>
            <w:tcW w:type="dxa" w:w="1368"/>
            <w:shd w:val="clear" w:fill="F5D3A4"/>
            <w:vAlign w:val="center"/>
          </w:tcPr>
          <w:p>
            <w:pPr>
              <w:jc w:val="center"/>
            </w:pPr>
            <w:r>
              <w:rPr>
                <w:sz w:val="17"/>
              </w:rPr>
              <w:t>+0.20</w:t>
            </w:r>
          </w:p>
        </w:tc>
        <w:tc>
          <w:tcPr>
            <w:tcW w:type="dxa" w:w="1512"/>
            <w:shd w:val="clear" w:fill="F3E6D6"/>
            <w:vAlign w:val="center"/>
          </w:tcPr>
          <w:p>
            <w:pPr>
              <w:jc w:val="center"/>
            </w:pPr>
            <w:r>
              <w:rPr>
                <w:sz w:val="17"/>
              </w:rPr>
              <w:t>+0.06</w:t>
            </w:r>
          </w:p>
        </w:tc>
        <w:tc>
          <w:tcPr>
            <w:tcW w:type="dxa" w:w="1368"/>
            <w:vAlign w:val="center"/>
          </w:tcPr>
          <w:p>
            <w:pPr>
              <w:jc w:val="center"/>
            </w:pPr>
            <w:r>
              <w:rPr>
                <w:sz w:val="17"/>
              </w:rPr>
              <w:t>0.36</w:t>
            </w:r>
          </w:p>
        </w:tc>
      </w:tr>
      <w:tr>
        <w:tc>
          <w:tcPr>
            <w:tcW w:type="dxa" w:w="2088"/>
            <w:vAlign w:val="center"/>
          </w:tcPr>
          <w:p>
            <w:r>
              <w:rPr>
                <w:sz w:val="17"/>
              </w:rPr>
              <w:t>Community Mgmt</w:t>
            </w:r>
          </w:p>
        </w:tc>
        <w:tc>
          <w:tcPr>
            <w:tcW w:type="dxa" w:w="1368"/>
            <w:shd w:val="clear" w:fill="D8DBE4"/>
            <w:vAlign w:val="center"/>
          </w:tcPr>
          <w:p>
            <w:pPr>
              <w:jc w:val="center"/>
            </w:pPr>
            <w:r>
              <w:rPr>
                <w:sz w:val="17"/>
              </w:rPr>
              <w:t>−0.07</w:t>
            </w:r>
          </w:p>
        </w:tc>
        <w:tc>
          <w:tcPr>
            <w:tcW w:type="dxa" w:w="1512"/>
            <w:shd w:val="clear" w:fill="E9E9EA"/>
            <w:vAlign w:val="center"/>
          </w:tcPr>
          <w:p>
            <w:pPr>
              <w:jc w:val="center"/>
            </w:pPr>
            <w:r>
              <w:rPr>
                <w:sz w:val="17"/>
              </w:rPr>
              <w:t>−0.02</w:t>
            </w:r>
          </w:p>
        </w:tc>
        <w:tc>
          <w:tcPr>
            <w:tcW w:type="dxa" w:w="1368"/>
            <w:shd w:val="clear" w:fill="C3CBDC"/>
            <w:vAlign w:val="center"/>
          </w:tcPr>
          <w:p>
            <w:pPr>
              <w:jc w:val="center"/>
            </w:pPr>
            <w:r>
              <w:rPr>
                <w:sz w:val="17"/>
              </w:rPr>
              <w:t>−0.13</w:t>
            </w:r>
          </w:p>
        </w:tc>
        <w:tc>
          <w:tcPr>
            <w:tcW w:type="dxa" w:w="1512"/>
            <w:shd w:val="clear" w:fill="AFBBD5"/>
            <w:vAlign w:val="center"/>
          </w:tcPr>
          <w:p>
            <w:pPr>
              <w:jc w:val="center"/>
            </w:pPr>
            <w:r>
              <w:rPr>
                <w:sz w:val="17"/>
              </w:rPr>
              <w:t>−0.19</w:t>
            </w:r>
          </w:p>
        </w:tc>
        <w:tc>
          <w:tcPr>
            <w:tcW w:type="dxa" w:w="1368"/>
            <w:vAlign w:val="center"/>
          </w:tcPr>
          <w:p>
            <w:pPr>
              <w:jc w:val="center"/>
            </w:pPr>
            <w:r>
              <w:rPr>
                <w:sz w:val="17"/>
              </w:rPr>
              <w:t>0.31</w:t>
            </w:r>
          </w:p>
        </w:tc>
      </w:tr>
      <w:tr>
        <w:tc>
          <w:tcPr>
            <w:tcW w:type="dxa" w:w="2088"/>
            <w:vAlign w:val="center"/>
          </w:tcPr>
          <w:p>
            <w:r>
              <w:rPr>
                <w:sz w:val="17"/>
              </w:rPr>
              <w:t>Politics</w:t>
            </w:r>
          </w:p>
        </w:tc>
        <w:tc>
          <w:tcPr>
            <w:tcW w:type="dxa" w:w="1368"/>
            <w:shd w:val="clear" w:fill="AFBBD5"/>
            <w:vAlign w:val="center"/>
          </w:tcPr>
          <w:p>
            <w:pPr>
              <w:jc w:val="center"/>
            </w:pPr>
            <w:r>
              <w:rPr>
                <w:sz w:val="17"/>
              </w:rPr>
              <w:t>−0.20</w:t>
            </w:r>
          </w:p>
        </w:tc>
        <w:tc>
          <w:tcPr>
            <w:tcW w:type="dxa" w:w="1512"/>
            <w:shd w:val="clear" w:fill="F0EFEC"/>
            <w:vAlign w:val="center"/>
          </w:tcPr>
          <w:p>
            <w:pPr>
              <w:jc w:val="center"/>
            </w:pPr>
            <w:r>
              <w:rPr>
                <w:sz w:val="17"/>
              </w:rPr>
              <w:t>0.00</w:t>
            </w:r>
          </w:p>
        </w:tc>
        <w:tc>
          <w:tcPr>
            <w:tcW w:type="dxa" w:w="1368"/>
            <w:shd w:val="clear" w:fill="E2E3E7"/>
            <w:vAlign w:val="center"/>
          </w:tcPr>
          <w:p>
            <w:pPr>
              <w:jc w:val="center"/>
            </w:pPr>
            <w:r>
              <w:rPr>
                <w:sz w:val="17"/>
              </w:rPr>
              <w:t>−0.04</w:t>
            </w:r>
          </w:p>
        </w:tc>
        <w:tc>
          <w:tcPr>
            <w:tcW w:type="dxa" w:w="1512"/>
            <w:shd w:val="clear" w:fill="EDEDEB"/>
            <w:vAlign w:val="center"/>
          </w:tcPr>
          <w:p>
            <w:pPr>
              <w:jc w:val="center"/>
            </w:pPr>
            <w:r>
              <w:rPr>
                <w:sz w:val="17"/>
              </w:rPr>
              <w:t>−0.01</w:t>
            </w:r>
          </w:p>
        </w:tc>
        <w:tc>
          <w:tcPr>
            <w:tcW w:type="dxa" w:w="1368"/>
            <w:vAlign w:val="center"/>
          </w:tcPr>
          <w:p>
            <w:pPr>
              <w:jc w:val="center"/>
            </w:pPr>
            <w:r>
              <w:rPr>
                <w:sz w:val="17"/>
              </w:rPr>
              <w:t>0.24</w:t>
            </w:r>
          </w:p>
        </w:tc>
      </w:tr>
      <w:tr>
        <w:tc>
          <w:tcPr>
            <w:tcW w:type="dxa" w:w="2088"/>
            <w:vAlign w:val="center"/>
          </w:tcPr>
          <w:p>
            <w:r>
              <w:rPr>
                <w:sz w:val="17"/>
              </w:rPr>
              <w:t>Laws + Regs</w:t>
            </w:r>
          </w:p>
        </w:tc>
        <w:tc>
          <w:tcPr>
            <w:tcW w:type="dxa" w:w="1368"/>
            <w:shd w:val="clear" w:fill="DBDEE5"/>
            <w:vAlign w:val="center"/>
          </w:tcPr>
          <w:p>
            <w:pPr>
              <w:jc w:val="center"/>
            </w:pPr>
            <w:r>
              <w:rPr>
                <w:sz w:val="17"/>
              </w:rPr>
              <w:t>−0.06</w:t>
            </w:r>
          </w:p>
        </w:tc>
        <w:tc>
          <w:tcPr>
            <w:tcW w:type="dxa" w:w="1512"/>
            <w:shd w:val="clear" w:fill="F0EEE9"/>
            <w:vAlign w:val="center"/>
          </w:tcPr>
          <w:p>
            <w:pPr>
              <w:jc w:val="center"/>
            </w:pPr>
            <w:r>
              <w:rPr>
                <w:sz w:val="17"/>
              </w:rPr>
              <w:t>+0.01</w:t>
            </w:r>
          </w:p>
        </w:tc>
        <w:tc>
          <w:tcPr>
            <w:tcW w:type="dxa" w:w="1368"/>
            <w:shd w:val="clear" w:fill="C5CCDD"/>
            <w:vAlign w:val="center"/>
          </w:tcPr>
          <w:p>
            <w:pPr>
              <w:jc w:val="center"/>
            </w:pPr>
            <w:r>
              <w:rPr>
                <w:sz w:val="17"/>
              </w:rPr>
              <w:t>−0.13</w:t>
            </w:r>
          </w:p>
        </w:tc>
        <w:tc>
          <w:tcPr>
            <w:tcW w:type="dxa" w:w="1512"/>
            <w:shd w:val="clear" w:fill="F1ECE4"/>
            <w:vAlign w:val="center"/>
          </w:tcPr>
          <w:p>
            <w:pPr>
              <w:jc w:val="center"/>
            </w:pPr>
            <w:r>
              <w:rPr>
                <w:sz w:val="17"/>
              </w:rPr>
              <w:t>+0.02</w:t>
            </w:r>
          </w:p>
        </w:tc>
        <w:tc>
          <w:tcPr>
            <w:tcW w:type="dxa" w:w="1368"/>
            <w:vAlign w:val="center"/>
          </w:tcPr>
          <w:p>
            <w:pPr>
              <w:jc w:val="center"/>
            </w:pPr>
            <w:r>
              <w:rPr>
                <w:sz w:val="17"/>
              </w:rPr>
              <w:t>0.20</w:t>
            </w:r>
          </w:p>
        </w:tc>
      </w:tr>
      <w:tr>
        <w:tc>
          <w:tcPr>
            <w:tcW w:type="dxa" w:w="2088"/>
            <w:vAlign w:val="center"/>
          </w:tcPr>
          <w:p>
            <w:r>
              <w:rPr>
                <w:sz w:val="17"/>
              </w:rPr>
              <w:t>Private Sector</w:t>
            </w:r>
          </w:p>
        </w:tc>
        <w:tc>
          <w:tcPr>
            <w:tcW w:type="dxa" w:w="1368"/>
            <w:shd w:val="clear" w:fill="E6E7E9"/>
            <w:vAlign w:val="center"/>
          </w:tcPr>
          <w:p>
            <w:pPr>
              <w:jc w:val="center"/>
            </w:pPr>
            <w:r>
              <w:rPr>
                <w:sz w:val="17"/>
              </w:rPr>
              <w:t>−0.03</w:t>
            </w:r>
          </w:p>
        </w:tc>
        <w:tc>
          <w:tcPr>
            <w:tcW w:type="dxa" w:w="1512"/>
            <w:shd w:val="clear" w:fill="EDEDEB"/>
            <w:vAlign w:val="center"/>
          </w:tcPr>
          <w:p>
            <w:pPr>
              <w:jc w:val="center"/>
            </w:pPr>
            <w:r>
              <w:rPr>
                <w:sz w:val="17"/>
              </w:rPr>
              <w:t>−0.01</w:t>
            </w:r>
          </w:p>
        </w:tc>
        <w:tc>
          <w:tcPr>
            <w:tcW w:type="dxa" w:w="1368"/>
            <w:shd w:val="clear" w:fill="BEC6DA"/>
            <w:vAlign w:val="center"/>
          </w:tcPr>
          <w:p>
            <w:pPr>
              <w:jc w:val="center"/>
            </w:pPr>
            <w:r>
              <w:rPr>
                <w:sz w:val="17"/>
              </w:rPr>
              <w:t>−0.15</w:t>
            </w:r>
          </w:p>
        </w:tc>
        <w:tc>
          <w:tcPr>
            <w:tcW w:type="dxa" w:w="1512"/>
            <w:shd w:val="clear" w:fill="E3E5E8"/>
            <w:vAlign w:val="center"/>
          </w:tcPr>
          <w:p>
            <w:pPr>
              <w:jc w:val="center"/>
            </w:pPr>
            <w:r>
              <w:rPr>
                <w:sz w:val="17"/>
              </w:rPr>
              <w:t>−0.04</w:t>
            </w:r>
          </w:p>
        </w:tc>
        <w:tc>
          <w:tcPr>
            <w:tcW w:type="dxa" w:w="1368"/>
            <w:vAlign w:val="center"/>
          </w:tcPr>
          <w:p>
            <w:pPr>
              <w:jc w:val="center"/>
            </w:pPr>
            <w:r>
              <w:rPr>
                <w:sz w:val="17"/>
              </w:rPr>
              <w:t>0.18</w:t>
            </w:r>
          </w:p>
        </w:tc>
      </w:tr>
      <w:tr>
        <w:tc>
          <w:tcPr>
            <w:tcW w:type="dxa" w:w="2088"/>
            <w:vAlign w:val="center"/>
          </w:tcPr>
          <w:p>
            <w:r>
              <w:rPr>
                <w:sz w:val="17"/>
              </w:rPr>
              <w:t>Planning</w:t>
            </w:r>
          </w:p>
        </w:tc>
        <w:tc>
          <w:tcPr>
            <w:tcW w:type="dxa" w:w="1368"/>
            <w:shd w:val="clear" w:fill="D4D8E2"/>
            <w:vAlign w:val="center"/>
          </w:tcPr>
          <w:p>
            <w:pPr>
              <w:jc w:val="center"/>
            </w:pPr>
            <w:r>
              <w:rPr>
                <w:sz w:val="17"/>
              </w:rPr>
              <w:t>−0.09</w:t>
            </w:r>
          </w:p>
        </w:tc>
        <w:tc>
          <w:tcPr>
            <w:tcW w:type="dxa" w:w="1512"/>
            <w:shd w:val="clear" w:fill="F2EADE"/>
            <w:vAlign w:val="center"/>
          </w:tcPr>
          <w:p>
            <w:pPr>
              <w:jc w:val="center"/>
            </w:pPr>
            <w:r>
              <w:rPr>
                <w:sz w:val="17"/>
              </w:rPr>
              <w:t>+0.04</w:t>
            </w:r>
          </w:p>
        </w:tc>
        <w:tc>
          <w:tcPr>
            <w:tcW w:type="dxa" w:w="1368"/>
            <w:shd w:val="clear" w:fill="DADDE4"/>
            <w:vAlign w:val="center"/>
          </w:tcPr>
          <w:p>
            <w:pPr>
              <w:jc w:val="center"/>
            </w:pPr>
            <w:r>
              <w:rPr>
                <w:sz w:val="17"/>
              </w:rPr>
              <w:t>−0.07</w:t>
            </w:r>
          </w:p>
        </w:tc>
        <w:tc>
          <w:tcPr>
            <w:tcW w:type="dxa" w:w="1512"/>
            <w:shd w:val="clear" w:fill="F1EBE2"/>
            <w:vAlign w:val="center"/>
          </w:tcPr>
          <w:p>
            <w:pPr>
              <w:jc w:val="center"/>
            </w:pPr>
            <w:r>
              <w:rPr>
                <w:sz w:val="17"/>
              </w:rPr>
              <w:t>+0.03</w:t>
            </w:r>
          </w:p>
        </w:tc>
        <w:tc>
          <w:tcPr>
            <w:tcW w:type="dxa" w:w="1368"/>
            <w:vAlign w:val="center"/>
          </w:tcPr>
          <w:p>
            <w:pPr>
              <w:jc w:val="center"/>
            </w:pPr>
            <w:r>
              <w:rPr>
                <w:sz w:val="17"/>
              </w:rPr>
              <w:t>0.17</w:t>
            </w:r>
          </w:p>
        </w:tc>
      </w:tr>
      <w:tr>
        <w:tc>
          <w:tcPr>
            <w:tcW w:type="dxa" w:w="2088"/>
            <w:vAlign w:val="center"/>
          </w:tcPr>
          <w:p>
            <w:r>
              <w:rPr>
                <w:sz w:val="17"/>
              </w:rPr>
              <w:t>Coordination</w:t>
            </w:r>
          </w:p>
        </w:tc>
        <w:tc>
          <w:tcPr>
            <w:tcW w:type="dxa" w:w="1368"/>
            <w:shd w:val="clear" w:fill="D3D7E2"/>
            <w:vAlign w:val="center"/>
          </w:tcPr>
          <w:p>
            <w:pPr>
              <w:jc w:val="center"/>
            </w:pPr>
            <w:r>
              <w:rPr>
                <w:sz w:val="17"/>
              </w:rPr>
              <w:t>−0.09</w:t>
            </w:r>
          </w:p>
        </w:tc>
        <w:tc>
          <w:tcPr>
            <w:tcW w:type="dxa" w:w="1512"/>
            <w:shd w:val="clear" w:fill="EFEEEC"/>
            <w:vAlign w:val="center"/>
          </w:tcPr>
          <w:p>
            <w:pPr>
              <w:jc w:val="center"/>
            </w:pPr>
            <w:r>
              <w:rPr>
                <w:sz w:val="17"/>
              </w:rPr>
              <w:t>0.00</w:t>
            </w:r>
          </w:p>
        </w:tc>
        <w:tc>
          <w:tcPr>
            <w:tcW w:type="dxa" w:w="1368"/>
            <w:shd w:val="clear" w:fill="F0EFEC"/>
            <w:vAlign w:val="center"/>
          </w:tcPr>
          <w:p>
            <w:pPr>
              <w:jc w:val="center"/>
            </w:pPr>
            <w:r>
              <w:rPr>
                <w:sz w:val="17"/>
              </w:rPr>
              <w:t>0.00</w:t>
            </w:r>
          </w:p>
        </w:tc>
        <w:tc>
          <w:tcPr>
            <w:tcW w:type="dxa" w:w="1512"/>
            <w:shd w:val="clear" w:fill="F3E7D7"/>
            <w:vAlign w:val="center"/>
          </w:tcPr>
          <w:p>
            <w:pPr>
              <w:jc w:val="center"/>
            </w:pPr>
            <w:r>
              <w:rPr>
                <w:sz w:val="17"/>
              </w:rPr>
              <w:t>+0.06</w:t>
            </w:r>
          </w:p>
        </w:tc>
        <w:tc>
          <w:tcPr>
            <w:tcW w:type="dxa" w:w="1368"/>
            <w:vAlign w:val="center"/>
          </w:tcPr>
          <w:p>
            <w:pPr>
              <w:jc w:val="center"/>
            </w:pPr>
            <w:r>
              <w:rPr>
                <w:sz w:val="17"/>
              </w:rPr>
              <w:t>0.15</w:t>
            </w:r>
          </w:p>
        </w:tc>
      </w:tr>
      <w:tr>
        <w:tc>
          <w:tcPr>
            <w:tcW w:type="dxa" w:w="2088"/>
            <w:vAlign w:val="center"/>
          </w:tcPr>
          <w:p>
            <w:r>
              <w:rPr>
                <w:sz w:val="17"/>
              </w:rPr>
              <w:t>Monitoring</w:t>
            </w:r>
          </w:p>
        </w:tc>
        <w:tc>
          <w:tcPr>
            <w:tcW w:type="dxa" w:w="1368"/>
            <w:shd w:val="clear" w:fill="F0EFEC"/>
            <w:vAlign w:val="center"/>
          </w:tcPr>
          <w:p>
            <w:pPr>
              <w:jc w:val="center"/>
            </w:pPr>
            <w:r>
              <w:rPr>
                <w:sz w:val="17"/>
              </w:rPr>
              <w:t>0.00</w:t>
            </w:r>
          </w:p>
        </w:tc>
        <w:tc>
          <w:tcPr>
            <w:tcW w:type="dxa" w:w="1512"/>
            <w:shd w:val="clear" w:fill="F0EEEA"/>
            <w:vAlign w:val="center"/>
          </w:tcPr>
          <w:p>
            <w:pPr>
              <w:jc w:val="center"/>
            </w:pPr>
            <w:r>
              <w:rPr>
                <w:sz w:val="17"/>
              </w:rPr>
              <w:t>0.00</w:t>
            </w:r>
          </w:p>
        </w:tc>
        <w:tc>
          <w:tcPr>
            <w:tcW w:type="dxa" w:w="1368"/>
            <w:shd w:val="clear" w:fill="EAEAEA"/>
            <w:vAlign w:val="center"/>
          </w:tcPr>
          <w:p>
            <w:pPr>
              <w:jc w:val="center"/>
            </w:pPr>
            <w:r>
              <w:rPr>
                <w:sz w:val="17"/>
              </w:rPr>
              <w:t>−0.01</w:t>
            </w:r>
          </w:p>
        </w:tc>
        <w:tc>
          <w:tcPr>
            <w:tcW w:type="dxa" w:w="1512"/>
            <w:shd w:val="clear" w:fill="F0EEEA"/>
            <w:vAlign w:val="center"/>
          </w:tcPr>
          <w:p>
            <w:pPr>
              <w:jc w:val="center"/>
            </w:pPr>
            <w:r>
              <w:rPr>
                <w:sz w:val="17"/>
              </w:rPr>
              <w:t>+0.01</w:t>
            </w:r>
          </w:p>
        </w:tc>
        <w:tc>
          <w:tcPr>
            <w:tcW w:type="dxa" w:w="1368"/>
            <w:vAlign w:val="center"/>
          </w:tcPr>
          <w:p>
            <w:pPr>
              <w:jc w:val="center"/>
            </w:pPr>
            <w:r>
              <w:rPr>
                <w:sz w:val="17"/>
              </w:rPr>
              <w:t>0.02</w:t>
            </w:r>
          </w:p>
        </w:tc>
      </w:tr>
    </w:tbl>
    <w:p>
      <w:r>
        <w:rPr>
          <w:b/>
          <w:sz w:val="17"/>
        </w:rPr>
        <w:t xml:space="preserve">Shading: </w:t>
      </w:r>
      <w:r>
        <w:rPr>
          <w:i/>
          <w:sz w:val="17"/>
        </w:rPr>
        <w:t>blue = expert coders scored higher · neutral = the two codings agree · yellow = the LLM scored higher. Clamped at ±0.55.</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