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2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Пн 27.04.20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wadawd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Аниматор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3000,00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3000,00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