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media/image10.png" ContentType="image/png"/>
  <Override PartName="/word/media/image14.png" ContentType="image/png"/>
  <Override PartName="/word/media/image4.png" ContentType="image/png"/>
  <Override PartName="/word/media/image8.png" ContentType="image/png"/>
  <Override PartName="/word/media/image13.png" ContentType="image/png"/>
  <Override PartName="/word/media/image3.png" ContentType="image/png"/>
  <Override PartName="/word/media/image7.png" ContentType="image/png"/>
  <Override PartName="/word/media/image12.png" ContentType="image/png"/>
  <Override PartName="/word/media/image2.png" ContentType="image/png"/>
  <Override PartName="/word/media/image6.png" ContentType="image/png"/>
  <Override PartName="/word/media/image11.png" ContentType="image/png"/>
  <Override PartName="/word/media/image15.png" ContentType="image/png"/>
  <Override PartName="/word/media/image1.png" ContentType="image/png"/>
  <Override PartName="/word/media/image5.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48"/><w:spacing w:after="60" w:before="3840"/></w:pPr><w:r><w:rPr><w:lang w:val="en-US"/></w:rPr><w:t>OXID eSales</w:t><w:br/><w:t>eVAT module</w:t></w:r></w:p><w:p><w:pPr><w:sectPr><w:headerReference r:id="rId2" w:type="first"/><w:footerReference r:id="rId3" w:type="first"/><w:type w:val="nextPage"/><w:pgSz w:h="16838" w:w="11906"/><w:pgMar w:bottom="1021" w:footer="964" w:gutter="0" w:header="2098" w:left="1418" w:right="851" w:top="2155"/><w:pgNumType w:fmt="decimal"/><w:formProt w:val="false"/><w:titlePg/><w:textDirection w:val="lrTb"/><w:docGrid w:charSpace="12288" w:linePitch="360" w:type="default"/></w:sectPr><w:pStyle w:val="style43"/></w:pPr><w:r><w:rPr></w:rPr></w:r></w:p><w:p><w:pPr><w:pStyle w:val="style49"/></w:pPr><w:bookmarkStart w:id="0" w:name="_Toc164666165"/><w:bookmarkStart w:id="1" w:name="_Toc401923747"/><w:bookmarkEnd w:id="0"/><w:bookmarkEnd w:id="1"/><w:r><w:rPr><w:lang w:val="en-US"/></w:rPr><w:t>Copyright</w:t></w:r></w:p><w:p><w:pPr><w:pStyle w:val="style0"/></w:pPr><w:r><w:rPr><w:lang w:val="en-GB"/></w:rPr><w:t>Copyright © 2014 OXID eSales AG, Germany</w:t></w:r></w:p><w:p><w:pPr><w:pStyle w:val="style0"/></w:pPr><w:r><w:rPr><w:lang w:val="en-GB"/></w:rPr><w:t>All rights reserved.</w:t></w:r></w:p><w:p><w:pPr><w:pStyle w:val="style0"/></w:pPr><w:r><w:rPr><w:lang w:val="en-GB"/></w:rPr><w:t>No part of this publication may be reproduced or transmitted in any form or for any purpose without the prior written permission of OXID eSales AG.</w:t></w:r></w:p><w:p><w:pPr><w:pStyle w:val="style0"/></w:pPr><w:r><w:rPr><w:lang w:val="en-GB"/></w:rPr><w:t>Decompilation of source code, piracy as well as transfer to a third party is not allowed.</w:t></w:r></w:p><w:p><w:pPr><w:pStyle w:val="style0"/></w:pPr><w:r><w:rPr><w:lang w:val="en-GB"/></w:rPr><w:t>Use of this content for any other purpose is expressly prohibited and may result in severe civil and criminal penalties. Violators will be prosecuted to the maximum extent possible.</w:t></w:r></w:p><w:p><w:pPr><w:pStyle w:val="style0"/></w:pPr><w:r><w:rPr><w:lang w:val="en-GB"/></w:rPr><w:t>The information contained within this document was created accordingly to the state of the art technology.</w:t></w:r></w:p><w:p><w:pPr><w:pStyle w:val="style0"/></w:pPr><w:r><w:rPr><w:lang w:val="en-GB"/></w:rPr><w:t>OXID eSales AG assumes no liability or warranty for the accuracy, the completeness or reliability of any content.</w:t></w:r></w:p><w:p><w:pPr><w:pStyle w:val="style0"/></w:pPr><w:r><w:rPr><w:lang w:val="en-US"/></w:rPr><w:t>In spite of all efforts, the occurrence of mistakes cannot be eliminated completely.</w:t></w:r></w:p><w:p><w:pPr><w:pStyle w:val="style0"/></w:pPr><w:r><w:rPr><w:lang w:val="en-GB"/></w:rPr><w:t>Thus we appreciate any tips.</w:t></w:r></w:p><w:p><w:pPr><w:pStyle w:val="style49"/></w:pPr><w:bookmarkStart w:id="2" w:name="_Toc399149054"/><w:bookmarkStart w:id="3" w:name="_Toc369165780"/><w:bookmarkStart w:id="4" w:name="_Toc401923748"/><w:bookmarkEnd w:id="2"/><w:bookmarkEnd w:id="3"/><w:bookmarkEnd w:id="4"/><w:r><w:rPr></w:rPr><w:t>License</w:t></w:r></w:p><w:p><w:pPr><w:pStyle w:val="style0"/></w:pPr><w:r><w:rPr></w:rPr><w:t>Licensing of the software product depends on the shop edition used.</w:t></w:r></w:p><w:p><w:pPr><w:pStyle w:val="style0"/></w:pPr><w:r><w:rPr></w:rPr></w:r></w:p><w:p><w:pPr><w:pStyle w:val="style0"/></w:pPr><w:r><w:rPr></w:rPr><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w:r></w:p><w:p><w:pPr><w:pStyle w:val="style0"/></w:pPr><w:r><w:rPr></w:rPr></w:r></w:p><w:p><w:pPr><w:pStyle w:val="style0"/></w:pPr><w:r><w:rPr></w:rPr><w:t>The software for OXID eShop Professional Edition and Enterprise Edition is released under commercial license. OXID eSales AG has the sole rights to the software. Decompiling the source code, unauthorized copying as well as distribution to third parties is not permitted. Infringement will be reported to the authorities and prosecuted without exception.</w:t></w:r></w:p><w:p><w:pPr><w:pStyle w:val="style49"/></w:pPr><w:bookmarkStart w:id="5" w:name="_Toc164666166"/><w:bookmarkStart w:id="6" w:name="_Toc401923749"/><w:bookmarkEnd w:id="5"/><w:bookmarkEnd w:id="6"/><w:r><w:rPr></w:rPr><w:t>Conventions</w:t></w:r></w:p><w:p><w:pPr><w:pStyle w:val="style0"/></w:pPr><w:bookmarkStart w:id="7" w:name="_Toc401923750"/><w:r><w:rPr><w:lang w:val="en-US"/></w:rPr><w:t>The following conventions are used:</w:t></w:r></w:p><w:p><w:pPr><w:pStyle w:val="style60"/></w:pPr><w:r><w:rPr><w:rStyle w:val="style28"/><w:lang w:val="en-US"/></w:rPr><w:t>proportional font with grey background</w:t></w:r></w:p><w:p><w:pPr><w:pStyle w:val="style0"/></w:pPr><w:r><w:rPr><w:lang w:val="en-US"/></w:rPr><w:tab/><w:t>For user input, code and URLs</w:t></w:r></w:p><w:p><w:pPr><w:pStyle w:val="style61"/></w:pPr><w:r><w:rPr><w:lang w:val="en-US"/></w:rPr><w:t>Grey italic</w:t></w:r></w:p><w:p><w:pPr><w:pStyle w:val="style0"/></w:pPr><w:r><w:rPr><w:lang w:val="en-US"/></w:rPr><w:tab/><w:t>For filenames, file paths and other italic highlighting</w:t></w:r></w:p><w:p><w:pPr><w:pStyle w:val="style59"/></w:pPr><w:r><w:rPr><w:lang w:val="en-US"/></w:rPr><w:t>Bold</w:t></w:r></w:p><w:p><w:pPr><w:pStyle w:val="style0"/></w:pPr><w:r><w:rPr><w:lang w:val="en-US"/></w:rPr><w:tab/><w:t>For input fields and navigation paths</w:t></w:r></w:p><w:p><w:pPr><w:pStyle w:val="style62"/></w:pPr><w:r><w:rPr><w:lang w:val="en-US"/></w:rPr><w:t>Bold red</w:t></w:r></w:p><w:p><w:pPr><w:pStyle w:val="style0"/></w:pPr><w:r><w:rPr><w:lang w:val="en-US"/></w:rPr><w:tab/><w:t>For warnings and important hints</w:t></w:r></w:p><w:p><w:pPr><w:pStyle w:val="style49"/></w:pPr><w:bookmarkStart w:id="8" w:name="_Toc401923750"/><w:bookmarkStart w:id="9" w:name="_Toc164666167"/><w:bookmarkEnd w:id="8"/><w:bookmarkEnd w:id="9"/><w:r><w:rPr><w:lang w:val="en-US"/></w:rPr><w:t>Contact</w:t></w:r></w:p><w:p><w:pPr><w:pStyle w:val="style0"/></w:pPr><w:r><w:rPr><w:lang w:val="en-US"/></w:rPr><w:t>OXID eSales AG</w:t></w:r></w:p><w:p><w:pPr><w:pStyle w:val="style0"/></w:pPr><w:r><w:rPr><w:lang w:val="en-US"/></w:rPr><w:t>Bertoldstrasse 48</w:t></w:r></w:p><w:p><w:pPr><w:pStyle w:val="style0"/></w:pPr><w:r><w:rPr><w:lang w:val="en-US"/></w:rPr><w:t>79098 Freiburg</w:t></w:r></w:p><w:p><w:pPr><w:pStyle w:val="style0"/></w:pPr><w:r><w:rPr><w:lang w:val="en-US"/></w:rPr><w:t>Germany</w:t></w:r></w:p><w:p><w:pPr><w:pStyle w:val="style0"/></w:pPr><w:r><w:rPr><w:lang w:val="en-US"/></w:rPr><w:t>Fon: +49 (761) 36889 0</w:t></w:r></w:p><w:p><w:pPr><w:pStyle w:val="style0"/></w:pPr><w:r><w:rPr><w:lang w:val="en-US"/></w:rPr><w:t>Fax: +49 (761) 36889 29</w:t></w:r></w:p><w:p><w:pPr><w:pStyle w:val="style0"/></w:pPr><w:r><w:rPr><w:lang w:val="en-US"/></w:rPr><w:t>Represented by the Management Board: Roland Fesenmayr (CEO), Andrea Seeger</w:t></w:r></w:p><w:p><w:pPr><w:pStyle w:val="style0"/></w:pPr><w:r><w:rPr><w:lang w:val="en-US"/></w:rPr><w:t>Supervisory Board: Michael Schlenk (Chairman)</w:t></w:r></w:p><w:p><w:pPr><w:pStyle w:val="style0"/></w:pPr><w:r><w:rPr><w:lang w:val="en-US"/></w:rPr><w:t xml:space="preserve">Commercial Register Freiburg </w:t></w:r></w:p><w:p><w:pPr><w:pStyle w:val="style0"/></w:pPr><w:r><w:rPr><w:lang w:val="en-US"/></w:rPr><w:t>No. HRB 701648</w:t></w:r></w:p><w:p><w:pPr><w:pStyle w:val="style49"/><w:pageBreakBefore/></w:pPr><w:bookmarkStart w:id="10" w:name="_Toc401923751"/><w:bookmarkEnd w:id="10"/><w:r><w:rPr></w:rPr><w:t>Table of contents</w:t></w:r></w:p><w:p><w:pPr><w:pStyle w:val="style0"/></w:pPr><w:r><w:rPr><w:lang w:val="en-GB"/></w:rPr></w:r></w:p><w:p><w:pPr><w:pStyle w:val="style71"/></w:pPr><w:r><w:rPr></w:rPr></w:r></w:p><w:p><w:pPr><w:sectPr><w:headerReference r:id="rId4" w:type="default"/><w:footerReference r:id="rId5" w:type="default"/><w:type w:val="nextPage"/><w:pgSz w:h="16838" w:w="11906"/><w:pgMar w:bottom="1701" w:footer="737" w:gutter="0" w:header="454" w:left="1418" w:right="851" w:top="2552"/><w:pgNumType w:fmt="decimal"/><w:formProt w:val="false"/><w:textDirection w:val="lrTb"/><w:docGrid w:charSpace="12288" w:linePitch="360" w:type="default"/></w:sectPr></w:pPr></w:p><w:p><w:pPr><w:pStyle w:val="style50"/><w:tabs><w:tab w:leader="dot" w:pos="9637" w:val="right"/></w:tabs></w:pPr><w:r><w:fldChar w:fldCharType="begin"></w:fldChar></w:r><w:r><w:instrText> TOC </w:instrText></w:r><w:r><w:fldChar w:fldCharType="separate"/></w:r><w:hyperlink w:anchor="__RefHeading__1142_253019062"><w:r><w:rPr><w:rStyle w:val="style37"/></w:rPr><w:t>Introduction</w:t><w:tab/><w:t>6</w:t></w:r></w:hyperlink></w:p><w:p><w:pPr><w:pStyle w:val="style50"/><w:tabs><w:tab w:leader="dot" w:pos="9637" w:val="right"/></w:tabs></w:pPr><w:hyperlink w:anchor="__RefHeading__1144_253019062"><w:r><w:rPr><w:rStyle w:val="style37"/></w:rPr><w:t>System requirement</w:t><w:tab/><w:t>6</w:t></w:r></w:hyperlink></w:p><w:p><w:pPr><w:pStyle w:val="style50"/><w:tabs><w:tab w:leader="dot" w:pos="9637" w:val="right"/></w:tabs></w:pPr><w:hyperlink w:anchor="__RefHeading__1146_253019062"><w:r><w:rPr><w:rStyle w:val="style37"/></w:rPr><w:t>Installation</w:t><w:tab/><w:t>6</w:t></w:r></w:hyperlink></w:p><w:p><w:pPr><w:pStyle w:val="style51"/><w:tabs><w:tab w:leader="dot" w:pos="9837" w:val="right"/></w:tabs></w:pPr><w:hyperlink w:anchor="__RefHeading__1148_253019062"><w:r><w:rPr><w:rStyle w:val="style37"/></w:rPr><w:t>Copying module files</w:t><w:tab/><w:t>7</w:t></w:r></w:hyperlink></w:p><w:p><w:pPr><w:pStyle w:val="style51"/><w:tabs><w:tab w:leader="dot" w:pos="9837" w:val="right"/></w:tabs></w:pPr><w:hyperlink w:anchor="__RefHeading__1150_253019062"><w:r><w:rPr><w:rStyle w:val="style37"/></w:rPr><w:t>Preparing templates</w:t><w:tab/><w:t>7</w:t></w:r></w:hyperlink></w:p><w:p><w:pPr><w:pStyle w:val="style50"/><w:tabs><w:tab w:leader="dot" w:pos="9637" w:val="right"/></w:tabs></w:pPr><w:hyperlink w:anchor="__RefHeading__1152_253019062"><w:r><w:rPr><w:rStyle w:val="style37"/></w:rPr><w:t>Activation</w:t><w:tab/><w:t>7</w:t></w:r></w:hyperlink></w:p><w:p><w:pPr><w:pStyle w:val="style50"/><w:tabs><w:tab w:leader="dot" w:pos="9637" w:val="right"/></w:tabs></w:pPr><w:hyperlink w:anchor="__RefHeading__1154_253019062"><w:r><w:rPr><w:rStyle w:val="style37"/></w:rPr><w:t>Configuration</w:t><w:tab/><w:t>7</w:t></w:r></w:hyperlink></w:p><w:p><w:pPr><w:pStyle w:val="style51"/><w:tabs><w:tab w:leader="dot" w:pos="9837" w:val="right"/></w:tabs></w:pPr><w:hyperlink w:anchor="__RefHeading__1156_253019062"><w:r><w:rPr><w:rStyle w:val="style37"/></w:rPr><w:t>Country VAT Groups</w:t><w:tab/><w:t>7</w:t></w:r></w:hyperlink></w:p><w:p><w:pPr><w:pStyle w:val="style51"/><w:tabs><w:tab w:leader="dot" w:pos="9837" w:val="right"/></w:tabs></w:pPr><w:hyperlink w:anchor="__RefHeading__1158_253019062"><w:r><w:rPr><w:rStyle w:val="style37"/></w:rPr><w:t>Articles as TBE services</w:t><w:tab/><w:t>7</w:t></w:r></w:hyperlink></w:p><w:p><w:pPr><w:pStyle w:val="style51"/><w:tabs><w:tab w:leader="dot" w:pos="9837" w:val="right"/></w:tabs></w:pPr><w:hyperlink w:anchor="__RefHeading__1160_253019062"><w:r><w:rPr><w:rStyle w:val="style37"/></w:rPr><w:t>User Location Evidences</w:t><w:tab/><w:t>7</w:t></w:r></w:hyperlink></w:p><w:p><w:pPr><w:pStyle w:val="style52"/><w:tabs><w:tab w:leader="dot" w:pos="10037" w:val="right"/></w:tabs></w:pPr><w:hyperlink w:anchor="__RefHeading__1162_253019062"><w:r><w:rPr><w:rStyle w:val="style37"/></w:rPr><w:t>Logic behind</w:t><w:tab/><w:t>7</w:t></w:r></w:hyperlink></w:p><w:p><w:pPr><w:pStyle w:val="style52"/><w:tabs><w:tab w:leader="dot" w:pos="10037" w:val="right"/></w:tabs></w:pPr><w:hyperlink w:anchor="__RefHeading__443_74198979"><w:r><w:rPr><w:rStyle w:val="style37"/></w:rPr><w:t>Default evidences</w:t><w:tab/><w:t>8</w:t></w:r></w:hyperlink></w:p><w:p><w:pPr><w:pStyle w:val="style52"/><w:tabs><w:tab w:leader="dot" w:pos="10037" w:val="right"/></w:tabs></w:pPr><w:hyperlink w:anchor="__RefHeading__1164_253019062"><w:r><w:rPr><w:rStyle w:val="style37"/></w:rPr><w:t>Integration with OXID eSales PayPal module</w:t><w:tab/><w:t>8</w:t></w:r></w:hyperlink></w:p><w:p><w:pPr><w:pStyle w:val="style50"/><w:tabs><w:tab w:leader="dot" w:pos="9637" w:val="right"/></w:tabs></w:pPr><w:hyperlink w:anchor="__RefHeading__1166_253019062"><w:r><w:rPr><w:rStyle w:val="style37"/></w:rPr><w:t>Functional description</w:t><w:tab/><w:t>8</w:t></w:r></w:hyperlink></w:p><w:p><w:pPr><w:pStyle w:val="style51"/><w:tabs><w:tab w:leader="dot" w:pos="9837" w:val="right"/></w:tabs></w:pPr><w:hyperlink w:anchor="__RefHeading__1168_253019062"><w:r><w:rPr><w:rStyle w:val="style37"/></w:rPr><w:t>Frontend functionality</w:t><w:tab/><w:t>8</w:t></w:r></w:hyperlink></w:p><w:p><w:pPr><w:pStyle w:val="style52"/><w:tabs><w:tab w:leader="dot" w:pos="10037" w:val="right"/></w:tabs></w:pPr><w:hyperlink w:anchor="__RefHeading__1170_253019062"><w:r><w:rPr><w:rStyle w:val="style37"/></w:rPr><w:t>TBE services in catalogue</w:t><w:tab/><w:t>8</w:t></w:r></w:hyperlink></w:p><w:p><w:pPr><w:pStyle w:val="style52"/><w:tabs><w:tab w:leader="dot" w:pos="10037" w:val="right"/></w:tabs></w:pPr><w:hyperlink w:anchor="__RefHeading__1172_253019062"><w:r><w:rPr><w:rStyle w:val="style37"/></w:rPr><w:t>TBE services during checkout</w:t><w:tab/><w:t>9</w:t></w:r></w:hyperlink></w:p><w:p><w:pPr><w:pStyle w:val="style51"/><w:tabs><w:tab w:leader="dot" w:pos="9837" w:val="right"/></w:tabs></w:pPr><w:hyperlink w:anchor="__RefHeading__1174_253019062"><w:r><w:rPr><w:rStyle w:val="style37"/></w:rPr><w:t>Backend (admin) functionality</w:t><w:tab/><w:t>9</w:t></w:r></w:hyperlink></w:p><w:p><w:pPr><w:pStyle w:val="style52"/><w:tabs><w:tab w:leader="dot" w:pos="10037" w:val="right"/></w:tabs></w:pPr><w:hyperlink w:anchor="__RefHeading__1176_253019062"><w:r><w:rPr><w:rStyle w:val="style37"/></w:rPr><w:t>Country VAT groups</w:t><w:tab/><w:t>10</w:t></w:r></w:hyperlink></w:p><w:p><w:pPr><w:pStyle w:val="style52"/><w:tabs><w:tab w:leader="dot" w:pos="10037" w:val="right"/></w:tabs></w:pPr><w:hyperlink w:anchor="__RefHeading__1178_253019062"><w:r><w:rPr><w:rStyle w:val="style37"/></w:rPr><w:t>Articles as TBE services</w:t><w:tab/><w:t>10</w:t></w:r></w:hyperlink></w:p><w:p><w:pPr><w:pStyle w:val="style52"/><w:tabs><w:tab w:leader="dot" w:pos="10037" w:val="right"/></w:tabs></w:pPr><w:hyperlink w:anchor="__RefHeading__1180_253019062"><w:r><w:rPr><w:rStyle w:val="style37"/></w:rPr><w:t>Location evidences in order</w:t><w:tab/><w:t>10</w:t></w:r></w:hyperlink></w:p><w:p><w:pPr><w:pStyle w:val="style52"/><w:tabs><w:tab w:leader="dot" w:pos="10037" w:val="right"/></w:tabs></w:pPr><w:hyperlink w:anchor="__RefHeading__1182_253019062"><w:r><w:rPr><w:rStyle w:val="style37"/></w:rPr><w:t>How to configure customer location evidences</w:t><w:tab/><w:t>10</w:t></w:r></w:hyperlink></w:p><w:p><w:pPr><w:pStyle w:val="style52"/><w:tabs><w:tab w:leader="dot" w:pos="10037" w:val="right"/></w:tabs></w:pPr><w:hyperlink w:anchor="__RefHeading__1184_253019062"><w:r><w:rPr><w:rStyle w:val="style37"/></w:rPr><w:t>VAT ID store date</w:t><w:tab/><w:t>11</w:t></w:r></w:hyperlink></w:p><w:p><w:pPr><w:pStyle w:val="style50"/><w:tabs><w:tab w:leader="dot" w:pos="9637" w:val="right"/></w:tabs></w:pPr><w:hyperlink w:anchor="__RefHeading__1186_253019062"><w:r><w:rPr><w:rStyle w:val="style37"/></w:rPr><w:t>Extending</w:t><w:tab/><w:t>11</w:t></w:r></w:hyperlink></w:p><w:p><w:pPr><w:pStyle w:val="style51"/><w:tabs><w:tab w:leader="dot" w:pos="9837" w:val="right"/></w:tabs></w:pPr><w:hyperlink w:anchor="__RefHeading__1188_253019062"><w:r><w:rPr><w:rStyle w:val="style37"/></w:rPr><w:t>How write and add additional evidence</w:t><w:tab/><w:t>11</w:t></w:r><w:r><w:fldChar w:fldCharType="end"/></w:r></w:hyperlink></w:p><w:p><w:pPr><w:sectPr><w:type w:val="continuous"/><w:pgSz w:h="16838" w:w="11906"/><w:pgMar w:bottom="1701" w:footer="737" w:gutter="0" w:header="454" w:left="1418" w:right="851" w:top="2552"/><w:formProt/><w:textDirection w:val="lrTb"/><w:docGrid w:charSpace="12288" w:linePitch="360" w:type="default"/></w:sectPr></w:pPr></w:p><w:p><w:pPr><w:pStyle w:val="style0"/></w:pPr><w:hyperlink w:anchor="_Toc401923747"><w:r><w:rPr></w:rPr></w:r></w:hyperlink></w:p><w:p><w:pPr><w:pStyle w:val="style0"/><w:spacing w:line="100" w:lineRule="atLeast"/></w:pPr><w:r><w:rPr><w:b/><w:szCs w:val="18"/><w:lang w:eastAsia="sv-SE" w:val="en-GB"/></w:rPr></w:r></w:p><w:p><w:pPr><w:pStyle w:val="style74"/><w:pageBreakBefore/></w:pPr><w:r><w:rPr><w:rFonts w:ascii="Verdana" w:hAnsi="Verdana"/><w:sz w:val="18"/><w:szCs w:val="18"/></w:rPr><w:t>Revision History</w:t></w:r></w:p><w:tbl><w:tblPr><w:jc w:val="left"/><w:tblBorders><w:top w:color="00000A" w:space="0" w:sz="4" w:val="single"/><w:left w:color="00000A" w:space="0" w:sz="4" w:val="single"/><w:bottom w:color="00000A" w:space="0" w:sz="4" w:val="single"/><w:right w:color="00000A" w:space="0" w:sz="4" w:val="single"/></w:tblBorders></w:tblPr><w:tblGrid><w:gridCol w:w="1133"/><w:gridCol w:w="992"/><w:gridCol w:w="2551"/><w:gridCol w:w="4395"/></w:tblGrid><w:tr><w:trPr><w:cantSplit w:val="false"/></w:trPr><w:tc><w:tcPr><w:tcW w:type="dxa" w:w="1133"/><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2"/></w:pPr><w:r><w:rPr><w:rFonts w:ascii="Verdana" w:hAnsi="Verdana"/><w:sz w:val="18"/><w:szCs w:val="18"/></w:rPr><w:t>Revision</w:t></w:r></w:p></w:tc><w:tc><w:tcPr><w:tcW w:type="dxa" w:w="992"/><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2"/></w:pPr><w:r><w:rPr><w:rFonts w:ascii="Verdana" w:hAnsi="Verdana"/><w:sz w:val="18"/><w:szCs w:val="18"/></w:rPr><w:t>Date</w:t></w:r></w:p></w:tc><w:tc><w:tcPr><w:tcW w:type="dxa" w:w="2551"/><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2"/></w:pPr><w:r><w:rPr><w:rFonts w:ascii="Verdana" w:hAnsi="Verdana"/><w:sz w:val="18"/><w:szCs w:val="18"/></w:rPr><w:t>Author</w:t></w:r></w:p></w:tc><w:tc><w:tcPr><w:tcW w:type="dxa" w:w="4395"/><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2"/></w:pPr><w:r><w:rPr><w:rFonts w:ascii="Verdana" w:hAnsi="Verdana"/><w:sz w:val="18"/><w:szCs w:val="18"/></w:rPr><w:t>Description</w:t></w:r></w:p></w:tc></w:tr><w:tr><w:trPr><w:cantSplit w:val="false"/></w:trPr><w:tc><w:tcPr><w:tcW w:type="dxa" w:w="1133"/><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992"/><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2551"/><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4395"/><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r><w:tr><w:trPr><w:cantSplit w:val="false"/></w:trPr><w:tc><w:tcPr><w:tcW w:type="dxa" w:w="1133"/><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992"/><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2551"/><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4395"/><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r><w:tr><w:trPr><w:cantSplit w:val="false"/></w:trPr><w:tc><w:tcPr><w:tcW w:type="dxa" w:w="1133"/><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992"/><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2551"/><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4395"/><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r></w:tbl><w:p><w:pPr><w:pStyle w:val="style64"/></w:pPr><w:r><w:rPr><w:rFonts w:ascii="Verdana" w:hAnsi="Verdana"/><w:sz w:val="18"/><w:szCs w:val="18"/></w:rPr></w:r></w:p><w:p><w:pPr><w:pStyle w:val="style74"/></w:pPr><w:r><w:rPr><w:rFonts w:ascii="Verdana" w:hAnsi="Verdana"/><w:sz w:val="18"/><w:szCs w:val="18"/></w:rPr></w:r></w:p><w:p><w:pPr><w:pStyle w:val="style74"/></w:pPr><w:r><w:rPr><w:rFonts w:ascii="Verdana" w:hAnsi="Verdana"/><w:sz w:val="18"/><w:szCs w:val="18"/></w:rPr><w:t>Related Documents</w:t></w:r></w:p><w:tbl><w:tblPr><w:jc w:val="left"/><w:tblBorders><w:top w:color="00000A" w:space="0" w:sz="4" w:val="single"/><w:left w:color="00000A" w:space="0" w:sz="4" w:val="single"/><w:bottom w:color="00000A" w:space="0" w:sz="4" w:val="single"/><w:right w:color="00000A" w:space="0" w:sz="4" w:val="single"/></w:tblBorders></w:tblPr><w:tblGrid><w:gridCol w:w="1275"/><w:gridCol w:w="1276"/><w:gridCol w:w="6521"/></w:tblGrid><w:tr><w:trPr><w:cantSplit w:val="false"/></w:trPr><w:tc><w:tcPr><w:tcW w:type="dxa" w:w="1275"/><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2"/></w:pPr><w:r><w:rPr><w:rFonts w:ascii="Verdana" w:hAnsi="Verdana"/><w:sz w:val="18"/><w:szCs w:val="18"/></w:rPr><w:t>Reference</w:t></w:r></w:p></w:tc><w:tc><w:tcPr><w:tcW w:type="dxa" w:w="1276"/><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2"/></w:pPr><w:r><w:rPr><w:rFonts w:ascii="Verdana" w:hAnsi="Verdana"/><w:sz w:val="18"/><w:szCs w:val="18"/></w:rPr><w:t>ID</w:t></w:r></w:p></w:tc><w:tc><w:tcPr><w:tcW w:type="dxa" w:w="6521"/><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2"/></w:pPr><w:r><w:rPr><w:rFonts w:ascii="Verdana" w:hAnsi="Verdana"/><w:sz w:val="18"/><w:szCs w:val="18"/></w:rPr><w:t>Name</w:t></w:r></w:p></w:tc></w:tr><w:tr><w:trPr><w:cantSplit w:val="false"/></w:trPr><w:tc><w:tcPr><w:tcW w:type="dxa" w:w="1275"/><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1276"/><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6521"/><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r><w:tr><w:trPr><w:cantSplit w:val="false"/></w:trPr><w:tc><w:tcPr><w:tcW w:type="dxa" w:w="1275"/><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1276"/><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6521"/><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r><w:tr><w:trPr><w:cantSplit w:val="false"/></w:trPr><w:tc><w:tcPr><w:tcW w:type="dxa" w:w="1275"/><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1276"/><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c><w:tcPr><w:tcW w:type="dxa" w:w="6521"/><w:tcBorders><w:top w:color="00000A" w:space="0" w:sz="4" w:val="single"/><w:left w:color="00000A" w:space="0" w:sz="4" w:val="single"/><w:bottom w:color="00000A" w:space="0" w:sz="4" w:val="single"/><w:right w:color="00000A" w:space="0" w:sz="4" w:val="single"/></w:tcBorders><w:shd w:fill="auto" w:val="clear"/><w:tcMar><w:top w:type="dxa" w:w="0"/><w:left w:type="dxa" w:w="71"/><w:bottom w:type="dxa" w:w="0"/><w:right w:type="dxa" w:w="71"/></w:tcMar></w:tcPr><w:p><w:pPr><w:pStyle w:val="style73"/><w:spacing w:after="20" w:before="20"/></w:pPr><w:r><w:rPr><w:rFonts w:ascii="Verdana" w:hAnsi="Verdana"/><w:sz w:val="18"/><w:szCs w:val="18"/></w:rPr></w:r></w:p></w:tc></w:tr></w:tbl><w:p><w:pPr><w:pStyle w:val="style0"/></w:pPr><w:r><w:rPr><w:lang w:val="en-GB"/></w:rPr></w:r></w:p><w:p><w:pPr><w:pStyle w:val="style0"/><w:spacing w:line="100" w:lineRule="atLeast"/></w:pPr><w:r><w:rPr><w:rFonts w:cs="Arial"/><w:b/><w:bCs/><w:color w:val="333333"/><w:szCs w:val="32"/><w:lang w:val="en-GB"/></w:rPr></w:r></w:p><w:p><w:pPr><w:pStyle w:val="style1"/><w:pageBreakBefore/></w:pPr><w:bookmarkStart w:id="14" w:name="__RefHeading__1142_253019062"/><w:bookmarkStart w:id="15" w:name="_Toc401923752"/><w:bookmarkStart w:id="16" w:name="_Ref402166313"/><w:bookmarkEnd w:id="14"/><w:bookmarkEnd w:id="15"/><w:bookmarkEnd w:id="16"/><w:r><w:rPr></w:rPr><w:t>Introduction</w:t></w:r></w:p><w:p><w:pPr><w:pStyle w:val="style0"/></w:pPr><w:r><w:rPr><w:lang w:val="en-GB"/></w:rPr><w:t xml:space="preserve">This module implements requirements that is to allow an OXID eShop to comply with the EU regulations as specified by the EU VAT directive 1042/2013 regarding VAT for telecommunications, broadcasting and electronic services. This regulation becomes active on the 1st of January 2015. </w:t></w:r></w:p><w:p><w:pPr><w:pStyle w:val="style0"/></w:pPr><w:r><w:rPr><w:lang w:val="en-GB"/></w:rPr></w:r></w:p><w:p><w:pPr><w:pStyle w:val="style0"/></w:pPr><w:r><w:rPr><w:lang w:val="en-GB"/></w:rPr><w:t xml:space="preserve">From the 1st of January a EU directive becomes active that states (in principle) that for </w:t></w:r><w:r><w:rPr><w:b/><w:lang w:val="en-GB"/></w:rPr><w:t>telecommunications, broadcasting &amp; electronic services</w:t></w:r><w:r><w:rPr><w:lang w:val="en-GB"/></w:rPr><w:t xml:space="preserve"> (in the following </w:t></w:r><w:r><w:rPr><w:b/><w:lang w:val="en-GB"/></w:rPr><w:t>TBE services</w:t></w:r><w:r><w:rPr><w:lang w:val="en-GB"/></w:rPr><w:t xml:space="preserve">), VAT has to be payed in the country where the customer belongs and no longer in the country of the supplier - irrespective of whether the end customer is a business (taxable person) or a non-taxable person (e.g a private individual). </w:t></w:r></w:p><w:p><w:pPr><w:pStyle w:val="style0"/></w:pPr><w:r><w:rPr><w:lang w:val="en-GB"/></w:rPr></w:r></w:p><w:p><w:pPr><w:pStyle w:val="style0"/></w:pPr><w:r><w:rPr><w:lang w:val="en-GB"/></w:rPr><w:t>The reason for this is the following:</w:t></w:r></w:p><w:p><w:pPr><w:pStyle w:val="style0"/><w:ind w:hanging="0" w:left="709" w:right="0"/></w:pPr><w:r><w:rPr><w:lang w:val="en-GB"/></w:rPr><w:t>&quot;Until the end of 2014, business to final consumer (B2C) supplies by EU businesses are taxed in the country of the supplier. This means that for supplies made to final consumers, businesses established in Member States applying lower VAT rates have a competitive advantage over businesses established in other Member States. The new rules of ? will provide ... a level playing field...&quot;</w:t></w:r><w:r><w:rPr><w:vertAlign w:val="superscript"/><w:lang w:val="en-GB"/></w:rPr><w:t>1</w:t></w:r></w:p><w:p><w:pPr><w:pStyle w:val="style0"/></w:pPr><w:r><w:rPr><w:lang w:val="en-GB"/></w:rPr><w:t>However:</w:t></w:r></w:p><w:p><w:pPr><w:pStyle w:val="style0"/><w:ind w:hanging="0" w:left="360" w:right="0"/></w:pPr><w:r><w:rPr><w:shd w:fill="FFFF00" w:val="clear"/><w:lang w:val="en-GB"/></w:rPr><w:t>&quot;The scope of the 2015 VAT changes ? only covers telecommunications, broadcasting and electronic services. Those changes are relevant only insofar as the customer is a final consumer.&quot;</w:t></w:r><w:r><w:rPr><w:shd w:fill="FFFF00" w:val="clear"/><w:vertAlign w:val="superscript"/><w:lang w:val="en-GB"/></w:rPr><w:t>2</w:t></w:r></w:p><w:p><w:pPr><w:pStyle w:val="style75"/></w:pPr><w:r><w:rPr><w:shd w:fill="FFFF00" w:val="clear"/></w:rPr></w:r></w:p><w:p><w:pPr><w:pStyle w:val="style75"/><w:numPr><w:ilvl w:val="0"/><w:numId w:val="2"/></w:numPr></w:pPr><w:hyperlink r:id="rId6"><w:r><w:rPr><w:rStyle w:val="style18"/><w:shd w:fill="FFFF00" w:val="clear"/></w:rPr><w:t>http://ec.europa.eu/taxation_customs/resources/documents/taxation/vat/how_vat_works/telecom/explanatory_notes_2015_en.pdf</w:t></w:r></w:hyperlink></w:p><w:p><w:pPr><w:pStyle w:val="style75"/><w:numPr><w:ilvl w:val="0"/><w:numId w:val="2"/></w:numPr></w:pPr><w:hyperlink r:id="rId7"><w:r><w:rPr><w:rStyle w:val="style18"/><w:shd w:fill="FFFF00" w:val="clear"/></w:rPr><w:t>http://ec.europa.eu/taxation_customs/resources/documents/taxation/vat/how_vat_works/telecom/explanatory_notes_2015_en.pdf</w:t></w:r></w:hyperlink></w:p><w:p><w:pPr><w:pStyle w:val="style75"/></w:pPr><w:r><w:rPr></w:rPr></w:r></w:p><w:p><w:pPr><w:pStyle w:val="style0"/></w:pPr><w:bookmarkStart w:id="17" w:name="_GoBack"/><w:bookmarkEnd w:id="17"/><w:r><w:rPr></w:rPr><w:t xml:space="preserve">Module title: </w:t><w:tab/><w:t>e-VAT</w:t></w:r></w:p><w:p><w:pPr><w:pStyle w:val="style0"/></w:pPr><w:r><w:rPr></w:rPr><w:t xml:space="preserve">Version: </w:t><w:tab/></w:r><w:r><w:rPr><w:shd w:fill="FFFF00" w:val="clear"/></w:rPr><w:t>1.0</w:t></w:r></w:p><w:p><w:pPr><w:pStyle w:val="style0"/></w:pPr><w:r><w:rPr></w:rPr><w:t xml:space="preserve">Category: </w:t><w:tab/></w:r><w:r><w:rPr><w:shd w:fill="FFFF00" w:val="clear"/></w:rPr><w:t>OXID eFire Extension</w:t></w:r></w:p><w:p><w:pPr><w:pStyle w:val="style0"/><w:tabs><w:tab w:leader="none" w:pos="1134" w:val="left"/></w:tabs></w:pPr><w:r><w:rPr></w:rPr><w:t xml:space="preserve">Manufacturer: </w:t><w:tab/><w:t>OXID eSales AG</w:t></w:r></w:p><w:p><w:pPr><w:pStyle w:val="style0"/><w:tabs><w:tab w:leader="none" w:pos="1134" w:val="left"/></w:tabs><w:ind w:firstLine="993" w:left="0" w:right="0"/></w:pPr><w:r><w:rPr></w:rPr><w:tab/><w:tab/><w:t xml:space="preserve">Internet: </w:t></w:r><w:hyperlink r:id="rId8"><w:r><w:rPr><w:rStyle w:val="style18"/></w:rPr><w:t>www.oxid-esales.com</w:t></w:r></w:hyperlink></w:p><w:p><w:pPr><w:pStyle w:val="style0"/><w:tabs><w:tab w:leader="none" w:pos="1134" w:val="left"/></w:tabs><w:ind w:firstLine="993" w:left="0" w:right="0"/></w:pPr><w:r><w:rPr></w:rPr><w:tab/><w:tab/><w:t xml:space="preserve">E-mail: </w:t></w:r><w:hyperlink r:id="rId9"><w:r><w:rPr><w:rStyle w:val="style18"/><w:shd w:fill="FFFF00" w:val="clear"/></w:rPr><w:t>info@oxid-esales.com</w:t></w:r></w:hyperlink></w:p><w:p><w:pPr><w:pStyle w:val="style1"/></w:pPr><w:bookmarkStart w:id="18" w:name="__RefHeading__1144_253019062"/><w:bookmarkStart w:id="19" w:name="_Toc401923753"/><w:bookmarkEnd w:id="18"/><w:bookmarkEnd w:id="19"/><w:r><w:rPr></w:rPr><w:t>System requirement</w:t></w:r></w:p><w:p><w:pPr><w:pStyle w:val="style0"/></w:pPr><w:r><w:rPr></w:rPr><w:t xml:space="preserve">The system requirements given below apply to eVAT module. </w:t></w:r></w:p><w:p><w:pPr><w:pStyle w:val="style0"/></w:pPr><w:r><w:rPr></w:rPr></w:r></w:p><w:p><w:pPr><w:pStyle w:val="style76"/><w:numPr><w:ilvl w:val="0"/><w:numId w:val="3"/></w:numPr></w:pPr><w:r><w:rPr></w:rPr><w:t>PHP 5.3 or higher</w:t></w:r></w:p><w:p><w:pPr><w:pStyle w:val="style76"/><w:numPr><w:ilvl w:val="0"/><w:numId w:val="3"/></w:numPr></w:pPr><w:r><w:rPr><w:shd w:fill="FFFF00" w:val="clear"/></w:rPr><w:t>OXID eShop 5.2</w:t></w:r></w:p><w:p><w:pPr><w:pStyle w:val="style1"/></w:pPr><w:bookmarkStart w:id="20" w:name="__RefHeading__1146_253019062"/><w:bookmarkStart w:id="21" w:name="_Toc399149060"/><w:bookmarkStart w:id="22" w:name="_Toc369165786"/><w:bookmarkStart w:id="23" w:name="_Toc401923754"/><w:bookmarkEnd w:id="20"/><w:bookmarkEnd w:id="21"/><w:bookmarkEnd w:id="22"/><w:bookmarkEnd w:id="23"/><w:r><w:rPr></w:rPr><w:t>Installation</w:t></w:r></w:p><w:p><w:pPr><w:pStyle w:val="style0"/></w:pPr><w:r><w:rPr></w:rPr><w:t xml:space="preserve">In this chapter, the installation of the e-VAT module for the OXID eShop versions </w:t></w:r><w:r><w:rPr><w:shd w:fill="FFFF00" w:val="clear"/></w:rPr><w:t>4.9.0/5.2.0</w:t></w:r><w:r><w:rPr></w:rPr><w:t xml:space="preserve"> is described. Follow this guide step by step. </w:t></w:r></w:p><w:p><w:pPr><w:pStyle w:val="style2"/><w:numPr><w:ilvl w:val="1"/><w:numId w:val="1"/></w:numPr></w:pPr><w:bookmarkStart w:id="24" w:name="__RefHeading__1148_253019062"/><w:bookmarkStart w:id="25" w:name="_Toc399149064"/><w:bookmarkStart w:id="26" w:name="_Toc369165788"/><w:bookmarkStart w:id="27" w:name="_Toc401923755"/><w:bookmarkEnd w:id="24"/><w:bookmarkEnd w:id="25"/><w:bookmarkEnd w:id="26"/><w:bookmarkEnd w:id="27"/><w:r><w:rPr></w:rPr><w:t>Copying module files</w:t></w:r></w:p><w:p><w:pPr><w:pStyle w:val="style0"/></w:pPr><w:r><w:rPr></w:rPr><w:t xml:space="preserve">Copy the contents of the </w:t></w:r><w:r><w:rPr><w:rStyle w:val="style27"/></w:rPr><w:t>/copy_this</w:t></w:r><w:r><w:rPr></w:rPr><w:t xml:space="preserve"> folder into the root folder of your shop.</w:t></w:r></w:p><w:p><w:pPr><w:pStyle w:val="style2"/><w:numPr><w:ilvl w:val="1"/><w:numId w:val="1"/></w:numPr><w:tabs><w:tab w:leader="none" w:pos="2507" w:val="left"/><w:tab w:leader="none" w:pos="2677" w:val="left"/><w:tab w:leader="none" w:pos="3018" w:val="left"/><w:tab w:leader="none" w:pos="3994" w:val="left"/></w:tabs><w:spacing w:after="120" w:before="320"/><w:ind w:hanging="1997" w:left="1997" w:right="0"/></w:pPr><w:bookmarkStart w:id="28" w:name="__RefHeading__1150_253019062"/><w:bookmarkStart w:id="29" w:name="_Toc399149066"/><w:bookmarkStart w:id="30" w:name="_Toc369165790"/><w:bookmarkStart w:id="31" w:name="_Ref196626911"/><w:bookmarkStart w:id="32" w:name="_Toc401923756"/><w:bookmarkEnd w:id="28"/><w:r><w:rPr></w:rPr><w:t>Preparing</w:t></w:r><w:bookmarkEnd w:id="32"/><w:bookmarkEnd w:id="29"/><w:bookmarkEnd w:id="30"/><w:bookmarkEnd w:id="31"/><w:r><w:rPr></w:rPr><w:t xml:space="preserve"> templates</w:t></w:r></w:p><w:p><w:pPr><w:pStyle w:val="style0"/></w:pPr><w:r><w:rPr></w:rPr><w:t>Additional files required for the use of the module in the shop can be found in the /</w:t></w:r><w:r><w:rPr><w:b/><w:i/></w:rPr><w:t>changed_full</w:t></w:r><w:r><w:rPr></w:rPr><w:t xml:space="preserve"> folder. The subfolder </w:t></w:r><w:r><w:rPr><w:rStyle w:val="style27"/></w:rPr><w:t>/changed_full/modules</w:t></w:r><w:r><w:rPr></w:rPr><w:t xml:space="preserve"> contains standard module files as well as block files used for the &quot;Azure&quot; theme. </w:t></w:r></w:p><w:p><w:pPr><w:pStyle w:val="style0"/></w:pPr><w:r><w:rPr></w:rPr></w:r></w:p><w:p><w:pPr><w:pStyle w:val="style0"/></w:pPr><w:r><w:rPr></w:rPr><w:t>When installing the module in a shop without customized templates and files, you can copy all files from this folder directly to the shop.</w:t></w:r></w:p><w:p><w:pPr><w:pStyle w:val="style0"/></w:pPr><w:r><w:rPr></w:rPr></w:r></w:p><w:p><w:pPr><w:pStyle w:val="style0"/></w:pPr><w:r><w:rPr></w:rPr><w:t>Generally, and in particular in the case of a customized shop, you need to compare old and new templates and files and adopt recent changes. The changes made are documented in the following folders:</w:t></w:r></w:p><w:p><w:pPr><w:pStyle w:val="style0"/></w:pPr><w:r><w:rPr></w:rPr></w:r></w:p><w:p><w:pPr><w:pStyle w:val="style76"/><w:numPr><w:ilvl w:val="0"/><w:numId w:val="4"/></w:numPr></w:pPr><w:r><w:rPr><w:rStyle w:val="style27"/></w:rPr><w:t>/templ_docu_admin</w:t></w:r><w:r><w:rPr></w:rPr><w:t xml:space="preserve"> - changes in </w:t></w:r><w:r><w:rPr><w:rStyle w:val="style27"/></w:rPr><w:t>/modules/oe/oepaypal/views/admin</w:t></w:r></w:p><w:p><w:pPr><w:pStyle w:val="style76"/><w:numPr><w:ilvl w:val="0"/><w:numId w:val="4"/></w:numPr></w:pPr><w:r><w:rPr><w:rStyle w:val="style27"/></w:rPr><w:t>/templ_docu_blocks</w:t></w:r><w:r><w:rPr></w:rPr><w:t xml:space="preserve"> - changes in </w:t></w:r><w:r><w:rPr><w:rStyle w:val="style27"/></w:rPr><w:t>/modules/oe/oepaypal/views/blocks</w:t></w:r></w:p><w:p><w:pPr><w:pStyle w:val="style0"/></w:pPr><w:r><w:rPr></w:rPr></w:r></w:p><w:p><w:pPr><w:pStyle w:val="style0"/></w:pPr><w:r><w:rPr></w:rPr><w:t>The folders containing the template documentation are only available in the installation package if changes were made in the respective templates and files.</w:t></w:r></w:p><w:p><w:pPr><w:pStyle w:val="style1"/></w:pPr><w:bookmarkStart w:id="33" w:name="__RefHeading__1152_253019062"/><w:bookmarkStart w:id="34" w:name="_Toc401923757"/><w:bookmarkEnd w:id="33"/><w:bookmarkEnd w:id="34"/><w:r><w:rPr></w:rPr><w:t>Activation</w:t></w:r></w:p><w:p><w:pPr><w:pStyle w:val="style0"/></w:pPr><w:r><w:rPr></w:rPr><w:t xml:space="preserve">The module has to be activated in the shop. In the </w:t></w:r><w:r><w:rPr><w:b/></w:rPr><w:t>Overview</w:t></w:r><w:r><w:rPr></w:rPr><w:t xml:space="preserve"> tab of the module, click the </w:t></w:r><w:r><w:rPr><w:b/></w:rPr><w:t>Activate</w:t></w:r><w:r><w:rPr></w:rPr><w:t xml:space="preserve"> button. Delete all files and folders except for </w:t></w:r><w:r><w:rPr><w:rStyle w:val="style27"/></w:rPr><w:t>.htaccess</w:t></w:r><w:r><w:rPr></w:rPr><w:t xml:space="preserve"> from the </w:t></w:r><w:r><w:rPr><w:rStyle w:val="style27"/></w:rPr><w:t>/tmp</w:t></w:r><w:r><w:rPr><w:rFonts w:ascii="Verdana,BoldItalic" w:hAnsi="Verdana,BoldItalic"/><w:b/><w:i/><w:color w:val="404040"/></w:rPr><w:t xml:space="preserve"> </w:t></w:r><w:r><w:rPr></w:rPr><w:t>folder of your shop.</w:t></w:r></w:p><w:p><w:pPr><w:pStyle w:val="style1"/></w:pPr><w:r><w:rPr></w:rPr><w:t>Configuration of InvoicePdf module</w:t></w:r></w:p><w:p><w:pPr><w:pStyle w:val="style39"/></w:pPr><w:r><w:rPr></w:rPr><w:t xml:space="preserve">If InvoicePdf module is used in eShop some configuration must be done. Chain of classes which are overloaded can be configured wrongly, so there is need to check them. Go to: </w:t></w:r><w:r><w:rPr><w:i/><w:iCs/></w:rPr><w:t>Extensions-&gt;Modules-&gt;Installed Shop Modules</w:t></w:r><w:r><w:rPr></w:rPr><w:t xml:space="preserve">. List of overloaded classes will be displayed. Class – </w:t></w:r><w:r><w:rPr><w:i/><w:iCs/></w:rPr><w:t>oxorder</w:t></w:r><w:r><w:rPr></w:rPr><w:t xml:space="preserve"> must be overloaded in this order(from bottom to top): </w:t></w:r><w:r><w:rPr><w:i/><w:iCs/></w:rPr><w:t>oevattbeoxorder</w:t></w:r><w:r><w:rPr></w:rPr><w:t xml:space="preserve">, </w:t></w:r><w:r><w:rPr><w:i/><w:iCs/></w:rPr><w:t>invoicepdfoxorder</w:t></w:r><w:r><w:rPr></w:rPr><w:t>. Check image bellow:</w:t></w:r></w:p><w:p><w:pPr><w:pStyle w:val="style39"/></w:pPr><w:r><w:rPr></w:rPr><w:drawing><wp:anchor allowOverlap="1" behindDoc="0" distB="0" distL="0" distR="0" distT="0" layoutInCell="1" locked="0" relativeHeight="0" simplePos="0"><wp:simplePos x="0" y="0"/><wp:positionH relativeFrom="column"><wp:posOffset>184785</wp:posOffset></wp:positionH><wp:positionV relativeFrom="paragraph"><wp:posOffset>0</wp:posOffset></wp:positionV><wp:extent cx="5749290" cy="350774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a:srcRect/><a:stretch><a:fillRect/></a:stretch></pic:blipFill><pic:spPr bwMode="auto"><a:xfrm><a:off x="0" y="0"/><a:ext cx="5749290" cy="3507740"/></a:xfrm><a:prstGeom prst="rect"><a:avLst/></a:prstGeom><a:noFill/><a:ln w="9525"><a:noFill/><a:miter lim="800000"/><a:headEnd/><a:tailEnd/></a:ln></pic:spPr></pic:pic></a:graphicData></a:graphic></wp:anchor></w:drawing></w:r></w:p><w:p><w:pPr><w:pStyle w:val="style39"/></w:pPr><w:r><w:rPr></w:rPr><w:t xml:space="preserve">If classes order is not as described before they should be changed by dragging them to correct order and than saved by clicking </w:t></w:r><w:r><w:rPr><w:b/><w:bCs/><w:i w:val="false"/><w:iCs w:val="false"/></w:rPr><w:t>Save</w:t></w:r><w:r><w:rPr></w:rPr><w:t xml:space="preserve"> button.</w:t></w:r></w:p><w:p><w:pPr><w:pStyle w:val="style1"/></w:pPr><w:bookmarkStart w:id="35" w:name="__RefHeading__1154_253019062"/><w:bookmarkStart w:id="36" w:name="_Toc401923758"/><w:bookmarkEnd w:id="35"/><w:bookmarkEnd w:id="36"/><w:r><w:rPr></w:rPr><w:t>Configuration</w:t></w:r></w:p><w:p><w:pPr><w:pStyle w:val="style0"/></w:pPr><w:r><w:rPr><w:lang w:val="en-GB"/></w:rPr><w:t>After module activation you need to configure module:</w:t></w:r></w:p><w:p><w:pPr><w:pStyle w:val="style76"/><w:numPr><w:ilvl w:val="0"/><w:numId w:val="5"/></w:numPr></w:pPr><w:r><w:rPr><w:lang w:val="en-GB"/></w:rPr><w:t>Add VAT rates for countries</w:t></w:r></w:p><w:p><w:pPr><w:pStyle w:val="style76"/><w:numPr><w:ilvl w:val="0"/><w:numId w:val="5"/></w:numPr></w:pPr><w:r><w:rPr><w:lang w:val="en-GB"/></w:rPr><w:t>Mark article as TBE services, and add VAT rates for different countries for this product</w:t></w:r></w:p><w:p><w:pPr><w:pStyle w:val="style76"/><w:numPr><w:ilvl w:val="0"/><w:numId w:val="5"/></w:numPr></w:pPr><w:r><w:rPr><w:lang w:val="en-GB"/></w:rPr><w:t>Configure location evidence collectors</w:t></w:r></w:p><w:p><w:pPr><w:pStyle w:val="style2"/><w:numPr><w:ilvl w:val="1"/><w:numId w:val="1"/></w:numPr></w:pPr><w:bookmarkStart w:id="37" w:name="__RefHeading__1156_253019062"/><w:bookmarkStart w:id="38" w:name="_Toc401923759"/><w:bookmarkEnd w:id="37"/><w:bookmarkEnd w:id="38"/><w:r><w:rPr></w:rPr><w:t>Country VAT Groups</w:t></w:r></w:p><w:p><w:pPr><w:pStyle w:val="style0"/></w:pPr><w:r><w:rPr><w:lang w:val="en-GB"/></w:rPr><w:t xml:space="preserve">VAT group with VAT rates will be already preconfigured for EU countries. During module activation general and reduced VAT rates for EU countries will be imported. You can find out more about VAT groups in </w:t></w:r><w:r><w:rPr><w:lang w:val="en-GB"/></w:rPr><w:fldChar w:fldCharType="begin"></w:fldChar></w:r><w:r><w:instrText> REF _Ref402166432 \w \h </w:instrText></w:r><w:r><w:fldChar w:fldCharType="separate"/></w:r><w:r></w:r><w:r><w:fldChar w:fldCharType="end"/></w:r><w:r><w:rPr><w:lang w:val="en-GB"/></w:rPr><w:t xml:space="preserve"> </w:t></w:r><w:r><w:rPr><w:lang w:val="en-GB"/></w:rPr><w:fldChar w:fldCharType="begin"></w:fldChar></w:r><w:r><w:instrText> REF _Ref402166451 \h </w:instrText></w:r><w:r><w:fldChar w:fldCharType="separate"/></w:r><w:r><w:t>Country VAT groups</w:t></w:r><w:r><w:fldChar w:fldCharType="end"/></w:r><w:r><w:rPr><w:lang w:val="en-GB"/></w:rPr><w:t>.</w:t></w:r></w:p><w:p><w:pPr><w:pStyle w:val="style2"/><w:numPr><w:ilvl w:val="1"/><w:numId w:val="1"/></w:numPr></w:pPr><w:bookmarkStart w:id="39" w:name="__RefHeading__1158_253019062"/><w:bookmarkStart w:id="40" w:name="_Toc401923760"/><w:bookmarkEnd w:id="39"/><w:bookmarkEnd w:id="40"/><w:r><w:rPr></w:rPr><w:t>Articles as TBE services</w:t></w:r></w:p><w:p><w:pPr><w:pStyle w:val="style0"/></w:pPr><w:r><w:rPr><w:lang w:val="en-GB"/></w:rPr><w:t xml:space="preserve">Articles data is not configured out of the box. You need to configure all TBE articles define appropriate VAT group per country. You can find out more information how to configure Articles in </w:t></w:r><w:r><w:rPr><w:lang w:val="en-GB"/></w:rPr><w:fldChar w:fldCharType="begin"></w:fldChar></w:r><w:r><w:instrText> REF _Ref402167385 \w \h </w:instrText></w:r><w:r><w:fldChar w:fldCharType="separate"/></w:r><w:r></w:r><w:r><w:fldChar w:fldCharType="end"/></w:r><w:r><w:rPr><w:lang w:val="en-GB"/></w:rPr><w:t xml:space="preserve"> </w:t></w:r><w:r><w:rPr><w:lang w:val="en-GB"/></w:rPr><w:fldChar w:fldCharType="begin"></w:fldChar></w:r><w:r><w:instrText> REF _Ref402167371 \h </w:instrText></w:r><w:r><w:fldChar w:fldCharType="separate"/></w:r><w:r><w:t>Articles as TBE services</w:t></w:r><w:r><w:fldChar w:fldCharType="end"/></w:r><w:r><w:rPr><w:lang w:val="en-GB"/></w:rPr><w:t xml:space="preserve"> </w:t></w:r></w:p><w:p><w:pPr><w:pStyle w:val="style2"/><w:numPr><w:ilvl w:val="1"/><w:numId w:val="1"/></w:numPr></w:pPr><w:bookmarkStart w:id="41" w:name="__RefHeading__1160_253019062"/><w:bookmarkStart w:id="42" w:name="_Toc401923761"/><w:bookmarkEnd w:id="41"/><w:bookmarkEnd w:id="42"/><w:r><w:rPr></w:rPr><w:t>User Location Evidences</w:t></w:r></w:p><w:p><w:pPr><w:pStyle w:val="style3"/><w:numPr><w:ilvl w:val="2"/><w:numId w:val="1"/></w:numPr></w:pPr><w:bookmarkStart w:id="43" w:name="__RefHeading__1162_253019062"/><w:bookmarkStart w:id="44" w:name="_Toc401923762"/><w:bookmarkEnd w:id="43"/><w:bookmarkEnd w:id="44"/><w:r><w:rPr></w:rPr><w:t>Logic behind</w:t></w:r></w:p><w:p><w:pPr><w:pStyle w:val="style0"/></w:pPr><w:r><w:rPr><w:lang w:val="en-GB"/></w:rPr><w:t>EU VAT directive 1042/2013 require that Shop would find out customer location and apply VAT according to his country. This directive tells that customer location must be found out by at least two evidences. Location provided by customer cannot be used as evidence. OXID eSales eVAT module provides few rules how to find out customer location country and mechanism how to add additional evidence finding algorithms.</w:t></w:r></w:p><w:p><w:pPr><w:pStyle w:val="style3"/><w:numPr><w:ilvl w:val="2"/><w:numId w:val="1"/></w:numPr></w:pPr><w:bookmarkStart w:id="45" w:name="__RefHeading__443_74198979"/><w:bookmarkStart w:id="46" w:name="_Toc401923763"/><w:bookmarkEnd w:id="45"/><w:bookmarkEnd w:id="46"/><w:r><w:rPr></w:rPr><w:t>Default evidences</w:t></w:r></w:p><w:p><w:pPr><w:pStyle w:val="style0"/></w:pPr><w:r><w:rPr><w:lang w:val="en-GB"/></w:rPr><w:t>OXID eSales eVAT module use two algorithms to find out customer location: billing address and geo location (based on customer IP address). One of the evidence has highest value than others as those evidences might be contradicted. By default billing address is the default one. For example customer location is Austria if customer billing address is Austria; even geo location said that it is Ireland. If default evidence cannot determine user country, first active evidence with user country will be used. Default evidence can be specified in module configuration screen where evidence id should be entered.</w:t></w:r></w:p><w:p><w:pPr><w:pStyle w:val="style0"/></w:pPr><w:r><w:rPr><w:lang w:val="en-GB"/></w:rPr></w:r></w:p><w:p><w:pPr><w:pStyle w:val="style0"/></w:pPr><w:r><w:rPr><w:lang w:val="en-GB"/></w:rPr><w:t xml:space="preserve">You can find out more information about evidences and their configuration in </w:t></w:r><w:r><w:rPr><w:lang w:val="en-GB"/></w:rPr><w:fldChar w:fldCharType="begin"></w:fldChar></w:r><w:r><w:instrText> REF _Ref402167771 \w \h </w:instrText></w:r><w:r><w:fldChar w:fldCharType="separate"/></w:r><w:r></w:r><w:r><w:fldChar w:fldCharType="end"/></w:r><w:r><w:rPr><w:lang w:val="en-GB"/></w:rPr><w:t xml:space="preserve"> </w:t></w:r><w:r><w:rPr><w:lang w:val="en-GB"/></w:rPr><w:fldChar w:fldCharType="begin"></w:fldChar></w:r><w:r><w:instrText> REF _Ref402167780 \h </w:instrText></w:r><w:r><w:fldChar w:fldCharType="separate"/></w:r><w:r><w:t>How to configure customer location evidences</w:t></w:r><w:r><w:fldChar w:fldCharType="end"/></w:r><w:r><w:rPr><w:lang w:val="en-GB"/></w:rPr><w:t xml:space="preserve"> chapter of this document and how to extended with other evidences in chapter </w:t></w:r><w:r><w:rPr><w:lang w:val="en-GB"/></w:rPr><w:fldChar w:fldCharType="begin"></w:fldChar></w:r><w:r><w:instrText> REF _Ref402167824 \r \h </w:instrText></w:r><w:r><w:fldChar w:fldCharType="separate"/></w:r><w:r></w:r><w:r><w:fldChar w:fldCharType="end"/></w:r><w:r><w:rPr><w:lang w:val="en-GB"/></w:rPr><w:t xml:space="preserve"> </w:t></w:r><w:r><w:rPr><w:lang w:val="en-GB"/></w:rPr><w:fldChar w:fldCharType="begin"></w:fldChar></w:r><w:r><w:instrText> REF _Ref402167813 \h </w:instrText></w:r><w:r><w:fldChar w:fldCharType="separate"/></w:r><w:r><w:t>How write and add additional evidence</w:t></w:r><w:r><w:fldChar w:fldCharType="end"/></w:r><w:r><w:rPr><w:lang w:val="en-GB"/></w:rPr><w:t>.</w:t></w:r></w:p><w:p><w:pPr><w:pStyle w:val="style3"/><w:numPr><w:ilvl w:val="2"/><w:numId w:val="1"/></w:numPr></w:pPr><w:bookmarkStart w:id="47" w:name="__RefHeading__1164_253019062"/><w:bookmarkEnd w:id="47"/><w:r><w:rPr></w:rPr><w:t>Integration with OXID eSales PayPal module</w:t></w:r></w:p><w:p><w:pPr><w:pStyle w:val="style0"/></w:pPr><w:r><w:rPr></w:rPr><w:t>Taking in account that for anonymouse user we can not calculate TBE service final price, because it depends on users residence country, PayPal module‘s express checkout functionality is not compatible with TBE services.</w:t></w:r></w:p><w:p><w:pPr><w:pStyle w:val="style1"/></w:pPr><w:bookmarkStart w:id="48" w:name="__RefHeading__1166_253019062"/><w:bookmarkStart w:id="49" w:name="_Toc399149078"/><w:bookmarkStart w:id="50" w:name="_Toc401923764"/><w:bookmarkEnd w:id="48"/><w:bookmarkEnd w:id="49"/><w:bookmarkEnd w:id="50"/><w:r><w:rPr></w:rPr><w:t>Functional description</w:t></w:r></w:p><w:p><w:pPr><w:pStyle w:val="style0"/></w:pPr><w:r><w:rPr><w:lang w:val="en-GB"/></w:rPr><w:t xml:space="preserve">This module change how Shop calculates VAT for TBE products. Shop without module always use Shop VAT rate which should be configured by the Shop location country. With this module Shop separate articles in to two groups: TBE and Not TBE services. Not TBE services are calculated with default Shop VAT rate (regular way). TBE articles are calculated with user location country VAT rate. </w:t></w:r></w:p><w:p><w:pPr><w:pStyle w:val="style0"/></w:pPr><w:r><w:rPr><w:lang w:val="en-GB"/></w:rPr></w:r></w:p><w:p><w:pPr><w:pStyle w:val="style0"/></w:pPr><w:r><w:rPr><w:lang w:val="en-GB"/></w:rPr><w:t>Shop with module would apply VAT depending on Shop location and customer location.</w:t></w:r></w:p><w:p><w:pPr><w:pStyle w:val="style80"/></w:pPr><w:r><w:rPr><w:b/><w:bCs/><w:color w:val="000000"/></w:rPr></w:r></w:p><w:p><w:pPr><w:pStyle w:val="style80"/></w:pPr><w:r><w:rPr><w:b/><w:bCs/><w:color w:val="000000"/></w:rPr><w:t>EU located Shop supplying for customer:</w:t></w:r><w:r><w:rPr><w:color w:val="000000"/></w:rPr><w:t xml:space="preserve"> </w:t></w:r></w:p><w:p><w:pPr><w:pStyle w:val="style79"/></w:pPr><w:bookmarkStart w:id="51" w:name="tablewithborder"/><w:bookmarkStart w:id="52" w:name="tablewithborder"/><w:bookmarkEnd w:id="52"/><w:r><w:rPr><w:sz w:val="4"/></w:rPr></w:r></w:p><w:tbl><w:tblPr><w:jc w:val="left"/><w:tblInd w:type="dxa" w:w="33"/><w:tblBorders><w:top w:color="808080" w:space="0" w:sz="26" w:val="double"/><w:left w:color="808080" w:space="0" w:sz="26" w:val="double"/><w:bottom w:color="808080" w:space="0" w:sz="17" w:val="double"/></w:tblBorders></w:tblPr><w:tblGrid><w:gridCol w:w="4810"/><w:gridCol w:w="4827"/></w:tblGrid><w:tr><w:trPr><w:cantSplit w:val="false"/></w:trPr><w:tc><w:tcPr><w:tcW w:type="dxa" w:w="4810"/><w:tcBorders><w:top w:color="808080" w:space="0" w:sz="26" w:val="double"/><w:left w:color="808080" w:space="0" w:sz="26" w:val="double"/><w:bottom w:color="808080" w:space="0" w:sz="17" w:val="double"/></w:tcBorders><w:shd w:fill="auto" w:val="clear"/><w:tcMar><w:top w:type="dxa" w:w="0"/><w:left w:type="dxa" w:w="0"/><w:bottom w:type="dxa" w:w="0"/><w:right w:type="dxa" w:w="0"/></w:tcMar></w:tcPr><w:p><w:pPr><w:pStyle w:val="style78"/><w:spacing w:after="283" w:before="0"/></w:pPr><w:r><w:rPr><w:b/></w:rPr><w:t>1. Business in another EU country</w:t></w:r><w:r><w:rPr></w:rPr><w:t xml:space="preserve"> </w:t></w:r></w:p></w:tc><w:tc><w:tcPr><w:tcW w:type="dxa" w:w="4827"/><w:tcBorders><w:top w:color="808080" w:space="0" w:sz="26" w:val="double"/><w:left w:color="808080" w:space="0" w:sz="17" w:val="double"/><w:bottom w:color="808080" w:space="0" w:sz="17" w:val="double"/><w:right w:color="808080" w:space="0" w:sz="26" w:val="double"/></w:tcBorders><w:shd w:fill="auto" w:val="clear"/><w:tcMar><w:top w:type="dxa" w:w="0"/><w:left w:type="dxa" w:w="0"/><w:bottom w:type="dxa" w:w="0"/><w:right w:type="dxa" w:w="0"/></w:tcMar></w:tcPr><w:p><w:pPr><w:pStyle w:val="style78"/><w:spacing w:after="283" w:before="0"/></w:pPr><w:r><w:rPr></w:rPr><w:t>No VAT charged.</w:t></w:r></w:p><w:p><w:pPr><w:pStyle w:val="style78"/><w:spacing w:after="283" w:before="0"/></w:pPr><w:r><w:rPr></w:rPr><w:t>Customer must account for the tax (reverse-charge mechanism).</w:t></w:r></w:p></w:tc></w:tr><w:tr><w:trPr><w:cantSplit w:val="false"/></w:trPr><w:tc><w:tcPr><w:tcW w:type="dxa" w:w="4810"/><w:tcBorders><w:left w:color="808080" w:space="0" w:sz="26" w:val="double"/><w:bottom w:color="808080" w:space="0" w:sz="17" w:val="double"/></w:tcBorders><w:shd w:fill="auto" w:val="clear"/><w:tcMar><w:top w:type="dxa" w:w="0"/><w:left w:type="dxa" w:w="0"/><w:bottom w:type="dxa" w:w="0"/><w:right w:type="dxa" w:w="0"/></w:tcMar></w:tcPr><w:p><w:pPr><w:pStyle w:val="style78"/><w:spacing w:after="283" w:before="0"/></w:pPr><w:r><w:rPr><w:b/></w:rPr><w:t>2. Consumer in another EU country</w:t></w:r><w:r><w:rPr></w:rPr><w:t xml:space="preserve"> </w:t></w:r></w:p></w:tc><w:tc><w:tcPr><w:tcW w:type="dxa" w:w="4827"/><w:tcBorders><w:left w:color="808080" w:space="0" w:sz="17" w:val="double"/><w:bottom w:color="808080" w:space="0" w:sz="17" w:val="double"/><w:right w:color="808080" w:space="0" w:sz="26" w:val="double"/></w:tcBorders><w:shd w:fill="auto" w:val="clear"/><w:tcMar><w:top w:type="dxa" w:w="0"/><w:left w:type="dxa" w:w="0"/><w:bottom w:type="dxa" w:w="0"/><w:right w:type="dxa" w:w="0"/></w:tcMar></w:tcPr><w:p><w:pPr><w:pStyle w:val="style78"/><w:spacing w:after="283" w:before="0"/></w:pPr><w:r><w:rPr></w:rPr><w:t>Must charge VAT in the EU country where the customer belongs (not where the business is based).</w:t></w:r></w:p></w:tc></w:tr><w:tr><w:trPr><w:cantSplit w:val="false"/></w:trPr><w:tc><w:tcPr><w:tcW w:type="dxa" w:w="4810"/><w:tcBorders><w:left w:color="808080" w:space="0" w:sz="26" w:val="double"/><w:bottom w:color="808080" w:space="0" w:sz="26" w:val="double"/></w:tcBorders><w:shd w:fill="auto" w:val="clear"/><w:tcMar><w:top w:type="dxa" w:w="0"/><w:left w:type="dxa" w:w="0"/><w:bottom w:type="dxa" w:w="0"/><w:right w:type="dxa" w:w="0"/></w:tcMar></w:tcPr><w:p><w:pPr><w:pStyle w:val="style78"/><w:spacing w:after="283" w:before="0"/></w:pPr><w:r><w:rPr><w:b/></w:rPr><w:t>3. Business</w:t></w:r><w:r><w:rPr></w:rPr><w:t xml:space="preserve"> or </w:t></w:r><w:r><w:rPr><w:b/></w:rPr><w:t>consumer outside the EU</w:t></w:r><w:r><w:rPr></w:rPr><w:t xml:space="preserve"> </w:t></w:r></w:p></w:tc><w:tc><w:tcPr><w:tcW w:type="dxa" w:w="4827"/><w:tcBorders><w:left w:color="808080" w:space="0" w:sz="17" w:val="double"/><w:bottom w:color="808080" w:space="0" w:sz="26" w:val="double"/><w:right w:color="808080" w:space="0" w:sz="26" w:val="double"/></w:tcBorders><w:shd w:fill="auto" w:val="clear"/><w:tcMar><w:top w:type="dxa" w:w="0"/><w:left w:type="dxa" w:w="0"/><w:bottom w:type="dxa" w:w="0"/><w:right w:type="dxa" w:w="0"/></w:tcMar></w:tcPr><w:p><w:pPr><w:pStyle w:val="style78"/><w:spacing w:after="283" w:before="0"/></w:pPr><w:r><w:rPr></w:rPr><w:t>No EU VAT charged.</w:t></w:r></w:p><w:p><w:pPr><w:pStyle w:val="style78"/><w:spacing w:after="283" w:before="0"/></w:pPr><w:r><w:rPr></w:rPr><w:t xml:space="preserve">But if the service is </w:t></w:r><w:r><w:rPr><w:b/></w:rPr><w:t xml:space="preserve">effectively used &amp; enjoyed </w:t></w:r><w:r><w:rPr></w:rPr><w:t xml:space="preserve">in an EU country, that country </w:t><w:br/><w:t>can decide to levy VAT.</w:t></w:r></w:p></w:tc></w:tr></w:tbl><w:p><w:pPr><w:pStyle w:val="style79"/></w:pPr><w:bookmarkStart w:id="53" w:name="tablewithborder1"/><w:bookmarkStart w:id="54" w:name="tablewithborder1"/><w:bookmarkEnd w:id="54"/><w:r><w:rPr><w:b/><w:color w:val="000000"/></w:rPr></w:r></w:p><w:p><w:pPr><w:pStyle w:val="style79"/></w:pPr><w:r><w:rPr><w:b/><w:color w:val="000000"/></w:rPr><w:t>NON-EU located Shop supplying for customer:</w:t></w:r></w:p><w:p><w:pPr><w:pStyle w:val="style79"/></w:pPr><w:r><w:rPr><w:sz w:val="4"/><w:szCs w:val="4"/></w:rPr></w:r></w:p><w:tbl><w:tblPr><w:jc w:val="left"/><w:tblInd w:type="dxa" w:w="33"/><w:tblBorders><w:top w:color="808080" w:space="0" w:sz="26" w:val="double"/><w:left w:color="808080" w:space="0" w:sz="26" w:val="double"/><w:bottom w:color="808080" w:space="0" w:sz="17" w:val="double"/></w:tblBorders></w:tblPr><w:tblGrid><w:gridCol w:w="4810"/><w:gridCol w:w="4827"/></w:tblGrid><w:tr><w:trPr><w:cantSplit w:val="false"/></w:trPr><w:tc><w:tcPr><w:tcW w:type="dxa" w:w="4810"/><w:tcBorders><w:top w:color="808080" w:space="0" w:sz="26" w:val="double"/><w:left w:color="808080" w:space="0" w:sz="26" w:val="double"/><w:bottom w:color="808080" w:space="0" w:sz="17" w:val="double"/></w:tcBorders><w:shd w:fill="auto" w:val="clear"/><w:tcMar><w:top w:type="dxa" w:w="0"/><w:left w:type="dxa" w:w="0"/><w:bottom w:type="dxa" w:w="0"/><w:right w:type="dxa" w:w="0"/></w:tcMar></w:tcPr><w:p><w:pPr><w:pStyle w:val="style78"/><w:spacing w:after="283" w:before="0"/></w:pPr><w:r><w:rPr><w:b/></w:rPr><w:t xml:space="preserve">1. Business in the EU </w:t></w:r></w:p></w:tc><w:tc><w:tcPr><w:tcW w:type="dxa" w:w="4827"/><w:tcBorders><w:top w:color="808080" w:space="0" w:sz="26" w:val="double"/><w:left w:color="808080" w:space="0" w:sz="17" w:val="double"/><w:bottom w:color="808080" w:space="0" w:sz="17" w:val="double"/><w:right w:color="808080" w:space="0" w:sz="26" w:val="double"/></w:tcBorders><w:shd w:fill="auto" w:val="clear"/><w:tcMar><w:top w:type="dxa" w:w="0"/><w:left w:type="dxa" w:w="0"/><w:bottom w:type="dxa" w:w="0"/><w:right w:type="dxa" w:w="0"/></w:tcMar></w:tcPr><w:p><w:pPr><w:pStyle w:val="style78"/><w:spacing w:after="283" w:before="0"/></w:pPr><w:r><w:rPr></w:rPr><w:t>No VAT charged.</w:t></w:r></w:p><w:p><w:pPr><w:pStyle w:val="style78"/><w:spacing w:after="283" w:before="0"/></w:pPr><w:r><w:rPr></w:rPr><w:t>Customer must account for the tax (reverse-charge mechanism).</w:t></w:r></w:p></w:tc></w:tr><w:tr><w:trPr><w:cantSplit w:val="false"/></w:trPr><w:tc><w:tcPr><w:tcW w:type="dxa" w:w="4810"/><w:tcBorders><w:left w:color="808080" w:space="0" w:sz="26" w:val="double"/><w:bottom w:color="808080" w:space="0" w:sz="26" w:val="double"/></w:tcBorders><w:shd w:fill="auto" w:val="clear"/><w:tcMar><w:top w:type="dxa" w:w="0"/><w:left w:type="dxa" w:w="0"/><w:bottom w:type="dxa" w:w="0"/><w:right w:type="dxa" w:w="0"/></w:tcMar></w:tcPr><w:p><w:pPr><w:pStyle w:val="style78"/><w:spacing w:after="283" w:before="0"/></w:pPr><w:r><w:rPr><w:b/></w:rPr><w:t>2. Consumer in the EU</w:t></w:r><w:r><w:rPr></w:rPr><w:t xml:space="preserve"> (telecoms, broadcasting or electronic services)</w:t></w:r></w:p></w:tc><w:tc><w:tcPr><w:tcW w:type="dxa" w:w="4827"/><w:tcBorders><w:left w:color="808080" w:space="0" w:sz="17" w:val="double"/><w:bottom w:color="808080" w:space="0" w:sz="26" w:val="double"/><w:right w:color="808080" w:space="0" w:sz="26" w:val="double"/></w:tcBorders><w:shd w:fill="auto" w:val="clear"/><w:tcMar><w:top w:type="dxa" w:w="0"/><w:left w:type="dxa" w:w="0"/><w:bottom w:type="dxa" w:w="0"/><w:right w:type="dxa" w:w="0"/></w:tcMar></w:tcPr><w:p><w:pPr><w:pStyle w:val="style78"/><w:spacing w:after="283" w:before="0"/></w:pPr><w:r><w:rPr></w:rPr><w:t>Must charge VAT in the EU country where the customer belongs.</w:t></w:r></w:p></w:tc></w:tr><w:tr><w:trPr><w:cantSplit w:val="false"/></w:trPr><w:tc><w:tcPr><w:tcW w:type="dxa" w:w="4810"/><w:tcBorders><w:left w:color="808080" w:space="0" w:sz="26" w:val="double"/><w:bottom w:color="808080" w:space="0" w:sz="26" w:val="double"/></w:tcBorders><w:shd w:fill="auto" w:val="clear"/><w:tcMar><w:top w:type="dxa" w:w="0"/><w:left w:type="dxa" w:w="0"/><w:bottom w:type="dxa" w:w="0"/><w:right w:type="dxa" w:w="0"/></w:tcMar></w:tcPr><w:p><w:pPr><w:pStyle w:val="style78"/><w:spacing w:after="283" w:before="0"/></w:pPr><w:r><w:rPr><w:b/></w:rPr><w:t xml:space="preserve">3. Business or consumer outside the EU </w:t></w:r></w:p></w:tc><w:tc><w:tcPr><w:tcW w:type="dxa" w:w="4827"/><w:tcBorders><w:left w:color="808080" w:space="0" w:sz="17" w:val="double"/><w:bottom w:color="808080" w:space="0" w:sz="26" w:val="double"/><w:right w:color="808080" w:space="0" w:sz="26" w:val="double"/></w:tcBorders><w:shd w:fill="auto" w:val="clear"/><w:tcMar><w:top w:type="dxa" w:w="0"/><w:left w:type="dxa" w:w="0"/><w:bottom w:type="dxa" w:w="0"/><w:right w:type="dxa" w:w="0"/></w:tcMar></w:tcPr><w:p><w:pPr><w:pStyle w:val="style78"/><w:spacing w:after="283" w:before="0"/></w:pPr><w:r><w:rPr></w:rPr><w:t>No EU VAT charged.</w:t></w:r></w:p></w:tc></w:tr></w:tbl><w:p><w:pPr><w:pStyle w:val="style2"/><w:numPr><w:ilvl w:val="1"/><w:numId w:val="1"/></w:numPr></w:pPr><w:bookmarkStart w:id="55" w:name="__RefHeading__1168_253019062"/><w:bookmarkStart w:id="56" w:name="_Toc401923765"/><w:bookmarkEnd w:id="55"/><w:bookmarkEnd w:id="56"/><w:r><w:rPr></w:rPr><w:t>Frontend functionality</w:t></w:r></w:p><w:p><w:pPr><w:pStyle w:val="style3"/><w:numPr><w:ilvl w:val="2"/><w:numId w:val="1"/></w:numPr></w:pPr><w:bookmarkStart w:id="57" w:name="__RefHeading__1170_253019062"/><w:bookmarkStart w:id="58" w:name="_Toc401923766"/><w:bookmarkEnd w:id="57"/><w:bookmarkEnd w:id="58"/><w:r><w:rPr></w:rPr><w:t>TBE services in catalogue</w:t></w:r></w:p><w:p><w:pPr><w:pStyle w:val="style0"/></w:pPr><w:r><w:rPr><w:lang w:val="en-GB"/></w:rPr><w:t>Shop can have various products: TBE service and not. So in all Category lists, details pages, start page and other places (except checkout) TBE services are marked with two stars “**”.</w:t></w:r></w:p><w:p><w:pPr><w:pStyle w:val="style0"/></w:pPr><w:r><w:rPr><w:lang w:val="en-GB"/></w:rPr></w:r></w:p><w:p><w:pPr><w:pStyle w:val="style64"/><w:keepNext/></w:pPr><w:r><w:rPr></w:rPr><w:drawing><wp:inline distB="0" distL="0" distR="0" distT="0"><wp:extent cx="6119495" cy="394716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a:srcRect/><a:stretch><a:fillRect/></a:stretch></pic:blipFill><pic:spPr bwMode="auto"><a:xfrm><a:off x="0" y="0"/><a:ext cx="6119495" cy="3947160"/></a:xfrm><a:prstGeom prst="rect"><a:avLst/></a:prstGeom><a:noFill/><a:ln w="9525"><a:noFill/><a:miter lim="800000"/><a:headEnd/><a:tailEnd/></a:ln></pic:spPr></pic:pic></a:graphicData></a:graphic></wp:inline></w:drawing></w:r></w:p><w:p><w:pPr><w:pStyle w:val="style77"/></w:pPr><w:r><w:rPr></w:rPr><w:t>Figure  TBE services in category page</w:t></w:r></w:p><w:p><w:pPr><w:pStyle w:val="style0"/></w:pPr><w:r><w:rPr><w:lang w:val="en-GB"/></w:rPr><w:t>At the bottom of the page there link in to page that explains rules how VAT is calculated.</w:t></w:r></w:p><w:p><w:pPr><w:pStyle w:val="style0"/></w:pPr><w:r><w:rPr><w:lang w:val="en-GB"/></w:rPr></w:r></w:p><w:p><w:pPr><w:pStyle w:val="style64"/><w:keepNext/></w:pPr><w:r><w:rPr></w:rPr><w:drawing><wp:inline distB="0" distL="0" distR="0" distT="0"><wp:extent cx="5925185" cy="29146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a:srcRect/><a:stretch><a:fillRect/></a:stretch></pic:blipFill><pic:spPr bwMode="auto"><a:xfrm><a:off x="0" y="0"/><a:ext cx="5925185" cy="2914650"/></a:xfrm><a:prstGeom prst="rect"><a:avLst/></a:prstGeom><a:noFill/><a:ln w="9525"><a:noFill/><a:miter lim="800000"/><a:headEnd/><a:tailEnd/></a:ln></pic:spPr></pic:pic></a:graphicData></a:graphic></wp:inline></w:drawing></w:r></w:p><w:p><w:pPr><w:pStyle w:val="style77"/></w:pPr><w:r><w:rPr></w:rPr><w:t>Figure  Information block</w:t></w:r></w:p><w:p><w:pPr><w:pStyle w:val="style64"/></w:pPr><w:r><w:rPr></w:rPr></w:r></w:p><w:p><w:pPr><w:pStyle w:val="style0"/></w:pPr><w:r><w:rPr><w:lang w:val="en-GB"/></w:rPr><w:t xml:space="preserve">To define content of this page go to admin: </w:t></w:r><w:r><w:rPr><w:i/><w:lang w:val="en-GB"/></w:rPr><w:t>Customer info-&gt;CMS Pages</w:t></w:r><w:r><w:rPr><w:lang w:val="en-GB"/></w:rPr><w:t xml:space="preserve">. Select “CMS page” with identification - </w:t></w:r><w:r><w:rPr><w:b/><w:lang w:val="en-GB"/></w:rPr><w:t>oxdeliveryinfo</w:t></w:r><w:r><w:rPr><w:lang w:val="en-GB"/></w:rPr><w:t>. Change content of this page.</w:t></w:r></w:p><w:p><w:pPr><w:pStyle w:val="style3"/><w:numPr><w:ilvl w:val="2"/><w:numId w:val="1"/></w:numPr></w:pPr><w:bookmarkStart w:id="59" w:name="__RefHeading__1172_253019062"/><w:bookmarkStart w:id="60" w:name="_Toc401923767"/><w:bookmarkEnd w:id="59"/><w:bookmarkEnd w:id="60"/><w:r><w:rPr></w:rPr><w:t>TBE services during checkout</w:t></w:r></w:p><w:p><w:pPr><w:pStyle w:val="style0"/></w:pPr><w:r><w:rPr><w:lang w:val="en-GB"/></w:rPr><w:t>In First checkout step – basket overview articles which are TBE services vat rate is shown with “stars”.  At the bottom of basket explanation message is shown. This message explains, that this VAT rate will be changed after user will log in.</w:t></w:r></w:p><w:p><w:pPr><w:pStyle w:val="style0"/></w:pPr><w:r><w:rPr><w:lang w:val="en-GB"/></w:rPr></w:r></w:p><w:p><w:pPr><w:pStyle w:val="style74"/></w:pPr><w:r><w:rPr></w:rPr><w:drawing><wp:inline distB="0" distL="0" distR="0" distT="0"><wp:extent cx="6119495" cy="365887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a:srcRect/><a:stretch><a:fillRect/></a:stretch></pic:blipFill><pic:spPr bwMode="auto"><a:xfrm><a:off x="0" y="0"/><a:ext cx="6119495" cy="3658870"/></a:xfrm><a:prstGeom prst="rect"><a:avLst/></a:prstGeom><a:noFill/><a:ln w="9525"><a:noFill/><a:miter lim="800000"/><a:headEnd/><a:tailEnd/></a:ln></pic:spPr></pic:pic></a:graphicData></a:graphic></wp:inline></w:drawing></w:r></w:p><w:p><w:pPr><w:pStyle w:val="style64"/></w:pPr><w:r><w:rPr><w:rFonts w:ascii="Verdana" w:hAnsi="Verdana"/><w:sz w:val="18"/><w:szCs w:val="24"/><w:lang w:eastAsia="de-DE"/></w:rPr><w:t>If user is logged in the VAT rate is calculated according to collected evidences and explanation message shows which country is used for calculation.</w:t></w:r></w:p><w:p><w:pPr><w:pStyle w:val="style64"/></w:pPr><w:r><w:rPr></w:rPr><w:drawing><wp:inline distB="0" distL="0" distR="0" distT="0"><wp:extent cx="6119495" cy="37973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4"/><a:srcRect/><a:stretch><a:fillRect/></a:stretch></pic:blipFill><pic:spPr bwMode="auto"><a:xfrm><a:off x="0" y="0"/><a:ext cx="6119495" cy="3797300"/></a:xfrm><a:prstGeom prst="rect"><a:avLst/></a:prstGeom><a:noFill/><a:ln w="9525"><a:noFill/><a:miter lim="800000"/><a:headEnd/><a:tailEnd/></a:ln></pic:spPr></pic:pic></a:graphicData></a:graphic></wp:inline></w:drawing></w:r></w:p><w:p><w:pPr><w:pStyle w:val="style64"/></w:pPr><w:r><w:rPr></w:rPr></w:r></w:p><w:p><w:pPr><w:pStyle w:val="style64"/></w:pPr><w:r><w:rPr><w:rFonts w:ascii="Verdana" w:hAnsi="Verdana"/><w:sz w:val="18"/><w:szCs w:val="24"/><w:lang w:eastAsia="de-DE"/></w:rPr><w:t>During the first login or if logged in user changes billing address user is informed that country is changed and VAT will be recalculated.</w:t></w:r></w:p><w:p><w:pPr><w:pStyle w:val="style64"/></w:pPr><w:r><w:rPr></w:rPr><w:drawing><wp:inline distB="0" distL="0" distR="0" distT="0"><wp:extent cx="6119495" cy="414210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5"/><a:srcRect/><a:stretch><a:fillRect/></a:stretch></pic:blipFill><pic:spPr bwMode="auto"><a:xfrm><a:off x="0" y="0"/><a:ext cx="6119495" cy="4142105"/></a:xfrm><a:prstGeom prst="rect"><a:avLst/></a:prstGeom><a:noFill/><a:ln w="9525"><a:noFill/><a:miter lim="800000"/><a:headEnd/><a:tailEnd/></a:ln></pic:spPr></pic:pic></a:graphicData></a:graphic></wp:inline></w:drawing></w:r></w:p><w:p><w:pPr><w:pStyle w:val="style64"/></w:pPr><w:r><w:rPr><w:rFonts w:ascii="Verdana" w:hAnsi="Verdana"/><w:sz w:val="18"/><w:szCs w:val="24"/><w:lang w:eastAsia="de-DE"/></w:rPr></w:r></w:p><w:p><w:pPr><w:pStyle w:val="style64"/></w:pPr><w:r><w:rPr><w:rFonts w:ascii="Verdana" w:hAnsi="Verdana"/><w:sz w:val="18"/><w:szCs w:val="24"/><w:lang w:eastAsia="de-DE"/></w:rPr><w:t>There can be situation when shop is not configured for some EU countries. So after user login with this billing country error will be shown. And of course you can proceed with order if there such situation.</w:t></w:r></w:p><w:p><w:pPr><w:pStyle w:val="style64"/></w:pPr><w:r><w:rPr></w:rPr></w:r></w:p><w:p><w:pPr><w:pStyle w:val="style64"/></w:pPr><w:r><w:rPr></w:rPr><w:drawing><wp:inline distB="0" distL="0" distR="0" distT="0"><wp:extent cx="6119495" cy="405193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6"/><a:srcRect/><a:stretch><a:fillRect/></a:stretch></pic:blipFill><pic:spPr bwMode="auto"><a:xfrm><a:off x="0" y="0"/><a:ext cx="6119495" cy="4051935"/></a:xfrm><a:prstGeom prst="rect"><a:avLst/></a:prstGeom><a:noFill/><a:ln w="9525"><a:noFill/><a:miter lim="800000"/><a:headEnd/><a:tailEnd/></a:ln></pic:spPr></pic:pic></a:graphicData></a:graphic></wp:inline></w:drawing></w:r></w:p><w:p><w:pPr><w:pStyle w:val="style2"/><w:numPr><w:ilvl w:val="1"/><w:numId w:val="1"/></w:numPr></w:pPr><w:bookmarkStart w:id="61" w:name="__RefHeading__1174_253019062"/><w:bookmarkStart w:id="62" w:name="_Toc401923768"/><w:bookmarkEnd w:id="61"/><w:bookmarkEnd w:id="62"/><w:r><w:rPr></w:rPr><w:t>Backend (admin) functionality</w:t></w:r></w:p><w:p><w:pPr><w:pStyle w:val="style0"/></w:pPr><w:r><w:rPr><w:lang w:val="en-GB"/></w:rPr><w:t>In backend you can configure:</w:t></w:r></w:p><w:p><w:pPr><w:pStyle w:val="style76"/><w:numPr><w:ilvl w:val="0"/><w:numId w:val="7"/></w:numPr></w:pPr><w:r><w:rPr><w:lang w:val="en-GB"/></w:rPr><w:t>Country VAT groups</w:t></w:r></w:p><w:p><w:pPr><w:pStyle w:val="style76"/><w:numPr><w:ilvl w:val="0"/><w:numId w:val="7"/></w:numPr></w:pPr><w:r><w:rPr><w:lang w:val="en-GB"/></w:rPr><w:t>Articles as TBE services</w:t></w:r></w:p><w:p><w:pPr><w:pStyle w:val="style76"/><w:numPr><w:ilvl w:val="0"/><w:numId w:val="7"/></w:numPr></w:pPr><w:r><w:rPr><w:lang w:val="en-GB"/></w:rPr><w:t>Location evidences</w:t></w:r></w:p><w:p><w:pPr><w:pStyle w:val="style0"/></w:pPr><w:r><w:rPr><w:lang w:val="en-GB"/></w:rPr><w:t>Also:</w:t></w:r></w:p><w:p><w:pPr><w:pStyle w:val="style76"/><w:numPr><w:ilvl w:val="0"/><w:numId w:val="8"/></w:numPr></w:pPr><w:r><w:rPr><w:lang w:val="en-GB"/></w:rPr><w:t>Added information about stored VAT ID date</w:t></w:r></w:p><w:p><w:pPr><w:pStyle w:val="style76"/><w:numPr><w:ilvl w:val="0"/><w:numId w:val="8"/></w:numPr></w:pPr><w:r><w:rPr><w:lang w:val="en-GB"/></w:rPr><w:t>In order added information about collected location evidences</w:t></w:r></w:p><w:p><w:pPr><w:pStyle w:val="style3"/><w:numPr><w:ilvl w:val="2"/><w:numId w:val="1"/></w:numPr></w:pPr><w:bookmarkStart w:id="63" w:name="__RefHeading__1176_253019062"/><w:bookmarkStart w:id="64" w:name="_Ref402166432"/><w:bookmarkStart w:id="65" w:name="_Ref402166307"/><w:bookmarkStart w:id="66" w:name="_Ref402166289"/><w:bookmarkStart w:id="67" w:name="_Ref402166286"/><w:bookmarkStart w:id="68" w:name="_Ref402166282"/><w:bookmarkStart w:id="69" w:name="_Toc401923769"/><w:bookmarkStart w:id="70" w:name="_Ref402166451"/><w:bookmarkEnd w:id="63"/><w:bookmarkEnd w:id="64"/><w:bookmarkEnd w:id="65"/><w:bookmarkEnd w:id="66"/><w:bookmarkEnd w:id="67"/><w:bookmarkEnd w:id="68"/><w:bookmarkEnd w:id="69"/><w:bookmarkEnd w:id="70"/><w:r><w:rPr></w:rPr><w:t>Country VAT groups</w:t></w:r></w:p><w:p><w:pPr><w:pStyle w:val="style0"/></w:pPr><w:r><w:rPr><w:lang w:val="en-GB"/></w:rPr><w:t>In order to use configured country VAT groups, country should be marked as “Apply TBE VAT rates”. Master setting -&gt; Countries -&gt; Main.</w:t></w:r></w:p><w:p><w:pPr><w:pStyle w:val="style0"/><w:spacing w:line="100" w:lineRule="atLeast"/></w:pPr><w:r><w:rPr><w:rFonts w:ascii="Times New Roman" w:hAnsi="Times New Roman"/><w:sz w:val="22"/><w:szCs w:val="20"/><w:lang w:eastAsia="sv-SE" w:val="en-GB"/></w:rPr></w:r></w:p><w:p><w:pPr><w:pStyle w:val="style64"/></w:pPr><w:r><w:rPr></w:rPr><w:drawing><wp:inline distB="0" distL="0" distR="0" distT="0"><wp:extent cx="4639310" cy="382016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7"/><a:srcRect/><a:stretch><a:fillRect/></a:stretch></pic:blipFill><pic:spPr bwMode="auto"><a:xfrm><a:off x="0" y="0"/><a:ext cx="4639310" cy="3820160"/></a:xfrm><a:prstGeom prst="rect"><a:avLst/></a:prstGeom><a:noFill/><a:ln w="9525"><a:noFill/><a:miter lim="800000"/><a:headEnd/><a:tailEnd/></a:ln></pic:spPr></pic:pic></a:graphicData></a:graphic></wp:inline></w:drawing></w:r></w:p><w:p><w:pPr><w:pStyle w:val="style0"/></w:pPr><w:r><w:rPr><w:lang w:val="en-GB"/></w:rPr></w:r></w:p><w:p><w:pPr><w:pStyle w:val="style0"/></w:pPr><w:r><w:rPr><w:lang w:val="en-GB"/></w:rPr><w:t>To configure (create, update) VAT groups go to: Master setting -&gt; Countries -&gt; VAT Groups</w:t></w:r></w:p><w:p><w:pPr><w:pStyle w:val="style64"/></w:pPr><w:r><w:rPr></w:rPr><w:drawing><wp:inline distB="0" distL="0" distR="0" distT="0"><wp:extent cx="6120765" cy="352361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8"/><a:srcRect/><a:stretch><a:fillRect/></a:stretch></pic:blipFill><pic:spPr bwMode="auto"><a:xfrm><a:off x="0" y="0"/><a:ext cx="6120765" cy="3523615"/></a:xfrm><a:prstGeom prst="rect"><a:avLst/></a:prstGeom><a:noFill/><a:ln w="9525"><a:noFill/><a:miter lim="800000"/><a:headEnd/><a:tailEnd/></a:ln></pic:spPr></pic:pic></a:graphicData></a:graphic></wp:inline></w:drawing></w:r></w:p><w:p><w:pPr><w:pStyle w:val="style0"/></w:pPr><w:r><w:rPr><w:lang w:val="en-GB"/></w:rPr><w:t>At the bottom is new VAT group creation form. Mandatory fields are “Group name” and “VAT rate”. In list above form you can edit information after that just push button save. If there is need to delete group just click on [X] on the write column.</w:t></w:r></w:p><w:p><w:pPr><w:pStyle w:val="style3"/><w:numPr><w:ilvl w:val="2"/><w:numId w:val="1"/></w:numPr></w:pPr><w:bookmarkStart w:id="71" w:name="__RefHeading__1178_253019062"/><w:bookmarkStart w:id="72" w:name="_Ref402167371"/><w:bookmarkStart w:id="73" w:name="_Toc401923770"/><w:bookmarkStart w:id="74" w:name="_Ref402167385"/><w:bookmarkEnd w:id="71"/><w:bookmarkEnd w:id="72"/><w:bookmarkEnd w:id="73"/><w:bookmarkEnd w:id="74"/><w:r><w:rPr></w:rPr><w:t>Articles as TBE services</w:t></w:r></w:p><w:p><w:pPr><w:pStyle w:val="style0"/></w:pPr><w:r><w:rPr><w:lang w:val="en-GB"/></w:rPr><w:t>To configure Article as TBE services go to:  administer products-&gt;products choose products and go to “TBE administration” tab.</w:t></w:r></w:p><w:p><w:pPr><w:pStyle w:val="style0"/></w:pPr><w:r><w:rPr><w:lang w:val="en-GB"/></w:rPr></w:r></w:p><w:p><w:pPr><w:pStyle w:val="style64"/></w:pPr><w:r><w:rPr></w:rPr><w:drawing><wp:inline distB="0" distL="0" distR="0" distT="0"><wp:extent cx="6119495" cy="372300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9"/><a:srcRect/><a:stretch><a:fillRect/></a:stretch></pic:blipFill><pic:spPr bwMode="auto"><a:xfrm><a:off x="0" y="0"/><a:ext cx="6119495" cy="3723005"/></a:xfrm><a:prstGeom prst="rect"><a:avLst/></a:prstGeom><a:noFill/><a:ln w="9525"><a:noFill/><a:miter lim="800000"/><a:headEnd/><a:tailEnd/></a:ln></pic:spPr></pic:pic></a:graphicData></a:graphic></wp:inline></w:drawing></w:r></w:p><w:p><w:pPr><w:pStyle w:val="style0"/></w:pPr><w:r><w:rPr><w:lang w:val="en-GB"/></w:rPr><w:t>Mark article as “TBE service” with marking checkbox and select proper VAT rate group for each country. Press Save – to save data.</w:t></w:r></w:p><w:p><w:pPr><w:pStyle w:val="style3"/><w:numPr><w:ilvl w:val="2"/><w:numId w:val="1"/></w:numPr></w:pPr><w:bookmarkStart w:id="75" w:name="__RefHeading__1180_253019062"/><w:bookmarkStart w:id="76" w:name="_Toc401923771"/><w:bookmarkEnd w:id="75"/><w:bookmarkEnd w:id="76"/><w:r><w:rPr></w:rPr><w:t>Location evidences in order</w:t></w:r></w:p><w:p><w:pPr><w:pStyle w:val="style39"/></w:pPr><w:r><w:rPr></w:rPr><w:t xml:space="preserve">Module have possibility to collect and display </w:t></w:r><w:bookmarkStart w:id="77" w:name="__DdeLink__1120_1424689225"/><w:r><w:rPr></w:rPr><w:t>evidences of customer location</w:t></w:r><w:bookmarkEnd w:id="77"/><w:r><w:rPr></w:rPr><w:t xml:space="preserve">. It&apos;s displayed only when order have at least one TBE article in order. This information can be found in </w:t></w:r><w:r><w:rPr><w:i/><w:iCs/></w:rPr><w:t>Administer Orders-&gt;Orders-&gt;Select any order which has TBE products-&gt;Main</w:t></w:r></w:p><w:p><w:pPr><w:pStyle w:val="style39"/></w:pPr><w:r><w:rPr></w:rPr><w:t>At the bottom table will be displayed information like in image displayed bellow:</w:t></w:r></w:p><w:p><w:pPr><w:pStyle w:val="style39"/></w:pPr><w:r><w:rPr></w:rPr><w:drawing><wp:anchor allowOverlap="1" behindDoc="0" distB="0" distL="0" distR="0" distT="0" layoutInCell="1" locked="0" relativeHeight="0" simplePos="0"><wp:simplePos x="0" y="0"/><wp:positionH relativeFrom="character"><wp:posOffset>0</wp:posOffset></wp:positionH><wp:positionV relativeFrom="line"><wp:posOffset>-46355</wp:posOffset></wp:positionV><wp:extent cx="5819775" cy="1123315"/><wp:effectExtent b="0" l="0" r="0" t="0"/><wp:wrapSquare wrapText="bothSides"/><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0"/><a:srcRect/><a:stretch><a:fillRect/></a:stretch></pic:blipFill><pic:spPr bwMode="auto"><a:xfrm><a:off x="0" y="0"/><a:ext cx="5819775" cy="1123315"/></a:xfrm><a:prstGeom prst="rect"><a:avLst/></a:prstGeom><a:noFill/><a:ln w="9525"><a:noFill/><a:miter lim="800000"/><a:headEnd/><a:tailEnd/></a:ln></pic:spPr></pic:pic></a:graphicData></a:graphic></wp:anchor></w:drawing></w:r></w:p><w:p><w:pPr><w:pStyle w:val="style0"/></w:pPr><w:r><w:rPr><w:lang w:val="en-GB"/></w:rPr><w:t>From the image can be seen that for this order TBE services Germany VAT rates were used.</w:t></w:r></w:p><w:p><w:pPr><w:pStyle w:val="style0"/></w:pPr><w:r><w:rPr><w:lang w:val="en-GB"/></w:rPr><w:t>There are also displayed evidences which were used to check the country. Evidence billing_country shows Germany, and evidence geo_location doesn&apos;t show any country because it did not give any results.</w:t></w:r></w:p><w:p><w:pPr><w:pStyle w:val="style3"/><w:numPr><w:ilvl w:val="2"/><w:numId w:val="1"/></w:numPr></w:pPr><w:bookmarkStart w:id="78" w:name="__RefHeading__1182_253019062"/><w:bookmarkStart w:id="79" w:name="_Ref402167771"/><w:bookmarkStart w:id="80" w:name="_Toc401923772"/><w:bookmarkStart w:id="81" w:name="_Ref402167780"/><w:bookmarkEnd w:id="78"/><w:bookmarkEnd w:id="79"/><w:bookmarkEnd w:id="80"/><w:bookmarkEnd w:id="81"/><w:r><w:rPr></w:rPr><w:t>How to configure customer location evidences</w:t></w:r></w:p><w:p><w:pPr><w:pStyle w:val="style0"/></w:pPr><w:r><w:rPr></w:rPr><w:t>In module configuration screen registered evidences can be activated or deactivated. It is also possible to specify which evidence should be used as default:</w:t></w:r></w:p><w:p><w:pPr><w:pStyle w:val="style0"/></w:pPr><w:r><w:rPr></w:rPr><w:t xml:space="preserve">Evidences can be activated or deactivated by changing evidence value to 1 (active) or 0 (inactive). </w:t><w:drawing><wp:anchor allowOverlap="1" behindDoc="0" distB="0" distL="0" distR="0" distT="0" layoutInCell="1" locked="0" relativeHeight="0" simplePos="0"><wp:simplePos x="0" y="0"/><wp:positionH relativeFrom="character"><wp:posOffset>0</wp:posOffset></wp:positionH><wp:positionV relativeFrom="line"><wp:posOffset>0</wp:posOffset></wp:positionV><wp:extent cx="6119495" cy="1654810"/><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1"/><a:srcRect/><a:stretch><a:fillRect/></a:stretch></pic:blipFill><pic:spPr bwMode="auto"><a:xfrm><a:off x="0" y="0"/><a:ext cx="6119495" cy="1654810"/></a:xfrm><a:prstGeom prst="rect"><a:avLst/></a:prstGeom><a:noFill/><a:ln w="9525"><a:noFill/><a:miter lim="800000"/><a:headEnd/><a:tailEnd/></a:ln></pic:spPr></pic:pic></a:graphicData></a:graphic></wp:anchor></w:drawing></w:r></w:p><w:p><w:pPr><w:pStyle w:val="style0"/></w:pPr><w:r><w:rPr></w:rPr><w:t xml:space="preserve">For example to deactivate billing_country evidence, its value should be changed to 0: </w:t></w:r></w:p><w:p><w:pPr><w:pStyle w:val="style0"/></w:pPr><w:r><w:rPr><w:rFonts w:ascii="Courier New" w:hAnsi="Courier New"/></w:rPr><w:t xml:space="preserve">billing_country =&gt; </w:t></w:r><w:r><w:rPr><w:rFonts w:ascii="Courier New" w:hAnsi="Courier New"/><w:b/><w:bCs/></w:rPr><w:t>0</w:t></w:r></w:p><w:p><w:pPr><w:pStyle w:val="style0"/></w:pPr><w:r><w:rPr><w:rFonts w:ascii="Courier New" w:hAnsi="Courier New"/></w:rPr><w:t>geo_location =&gt; 1</w:t></w:r></w:p><w:p><w:pPr><w:pStyle w:val="style0"/></w:pPr><w:r><w:rPr></w:rPr></w:r></w:p><w:p><w:pPr><w:pStyle w:val="style0"/></w:pPr><w:r><w:rPr></w:rPr><w:t>Only active evidences will be used in user country calculations and stored in order information.</w:t></w:r></w:p><w:p><w:pPr><w:pStyle w:val="style0"/></w:pPr><w:r><w:rPr></w:rPr></w:r></w:p><w:p><w:pPr><w:pStyle w:val="style0"/></w:pPr><w:r><w:rPr></w:rPr><w:t>To change default evidence, enter evidence id to the input field (change billing_country to geo_location in this case).</w:t></w:r></w:p><w:p><w:pPr><w:pStyle w:val="style0"/></w:pPr><w:r><w:rPr></w:rPr><w:t>In case default evidence can not be found or no default evidence is specified, first evidence with non empty country will be used.</w:t></w:r></w:p><w:p><w:pPr><w:pStyle w:val="style3"/><w:numPr><w:ilvl w:val="2"/><w:numId w:val="1"/></w:numPr></w:pPr><w:bookmarkStart w:id="82" w:name="__RefHeading__1184_253019062"/><w:bookmarkStart w:id="83" w:name="_Toc401923773"/><w:bookmarkEnd w:id="82"/><w:bookmarkEnd w:id="83"/><w:r><w:rPr></w:rPr><w:t>VAT ID store date</w:t></w:r></w:p><w:p><w:pPr><w:pStyle w:val="style0"/></w:pPr><w:r><w:rPr><w:lang w:val="en-GB"/></w:rPr></w:r></w:p><w:p><w:pPr><w:pStyle w:val="style0"/></w:pPr><w:r><w:rPr><w:lang w:val="en-GB"/></w:rPr><w:t>Module adds feature to store first date when VAT IN of customer was provided. For new registered users if VAT IN vas valid it is stored during user registration. If user provides VAT IN later it will be stored when it will be provided: during checkout or changed in account pages. To see the date when VAT IN was provided do to admin-&gt;users select user:</w:t></w:r></w:p><w:p><w:pPr><w:pStyle w:val="style0"/></w:pPr><w:r><w:rPr><w:lang w:val="en-GB"/></w:rPr></w:r></w:p><w:p><w:pPr><w:pStyle w:val="style74"/></w:pPr><w:r><w:rPr></w:rPr><w:drawing><wp:inline distB="0" distL="0" distR="0" distT="0"><wp:extent cx="6096635" cy="31051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2"/><a:srcRect/><a:stretch><a:fillRect/></a:stretch></pic:blipFill><pic:spPr bwMode="auto"><a:xfrm><a:off x="0" y="0"/><a:ext cx="6096635" cy="3105150"/></a:xfrm><a:prstGeom prst="rect"><a:avLst/></a:prstGeom><a:noFill/><a:ln w="9525"><a:noFill/><a:miter lim="800000"/><a:headEnd/><a:tailEnd/></a:ln></pic:spPr></pic:pic></a:graphicData></a:graphic></wp:inline></w:drawing></w:r></w:p><w:p><w:pPr><w:pStyle w:val="style0"/></w:pPr><w:r><w:rPr><w:lang w:val="en-GB"/></w:rPr></w:r></w:p><w:p><w:pPr><w:pStyle w:val="style1"/></w:pPr><w:bookmarkStart w:id="84" w:name="__RefHeading__1186_253019062"/><w:bookmarkStart w:id="85" w:name="_Toc401923774"/><w:bookmarkEnd w:id="84"/><w:bookmarkEnd w:id="85"/><w:r><w:rPr></w:rPr><w:t>Extending</w:t></w:r></w:p><w:p><w:pPr><w:pStyle w:val="style0"/></w:pPr><w:r><w:rPr><w:lang w:val="en-GB"/></w:rPr><w:t>In this section we will describe how to extend current module by adding additional evidence collectors.</w:t></w:r></w:p><w:p><w:pPr><w:pStyle w:val="style2"/><w:numPr><w:ilvl w:val="1"/><w:numId w:val="1"/></w:numPr></w:pPr><w:bookmarkStart w:id="86" w:name="__RefHeading__1188_253019062"/><w:bookmarkStart w:id="87" w:name="_Ref402167813"/><w:bookmarkStart w:id="88" w:name="_Toc401923775"/><w:bookmarkStart w:id="89" w:name="_Ref402167824"/><w:bookmarkEnd w:id="86"/><w:bookmarkEnd w:id="87"/><w:bookmarkEnd w:id="88"/><w:bookmarkEnd w:id="89"/><w:r><w:rPr></w:rPr><w:t>How write and add additional evidence</w:t></w:r></w:p><w:p><w:pPr><w:pStyle w:val="style0"/></w:pPr><w:r><w:rPr><w:lang w:val="en-GB"/></w:rPr><w:t xml:space="preserve">To add additional customer location evidences you need to write location evidence class and register it. </w:t></w:r></w:p><w:p><w:pPr><w:pStyle w:val="style76"/><w:numPr><w:ilvl w:val="0"/><w:numId w:val="6"/></w:numPr><w:suppressAutoHyphens w:val="true"/></w:pPr><w:r><w:rPr><w:lang w:val="en-GB"/></w:rPr><w:t xml:space="preserve">Evidence class must extend </w:t></w:r><w:r><w:rPr><w:rFonts w:ascii="Courier New" w:hAnsi="Courier New"/><w:b/><w:bCs/><w:lang w:val="en-GB"/></w:rPr><w:t>oeVATTBEEvidence</w:t></w:r><w:r><w:rPr><w:lang w:val="en-GB"/></w:rPr><w:t xml:space="preserve"> class to have required interface. </w:t></w:r></w:p><w:p><w:pPr><w:pStyle w:val="style76"/><w:numPr><w:ilvl w:val="0"/><w:numId w:val="6"/></w:numPr><w:suppressAutoHyphens w:val="true"/></w:pPr><w:r><w:rPr><w:lang w:val="en-GB"/></w:rPr><w:t xml:space="preserve">This class should be registered with </w:t></w:r><w:r><w:rPr><w:rFonts w:ascii="Courier New" w:hAnsi="Courier New"/><w:b/><w:bCs/><w:lang w:val="en-GB"/></w:rPr><w:t>oeVATTBEEvidenceRegister::registerEvidence()</w:t></w:r><w:r><w:rPr><w:lang w:val="en-GB"/></w:rPr><w:t>.</w:t></w:r></w:p><w:p><w:pPr><w:pStyle w:val="style76"/><w:numPr><w:ilvl w:val="0"/><w:numId w:val="6"/></w:numPr><w:suppressAutoHyphens w:val="true"/></w:pPr><w:r><w:rPr><w:lang w:val="en-GB"/></w:rPr><w:t xml:space="preserve">This class should be unregistered with </w:t></w:r><w:r><w:rPr><w:rFonts w:ascii="Courier New" w:hAnsi="Courier New"/><w:b/><w:bCs/><w:lang w:val="en-GB"/></w:rPr><w:t xml:space="preserve">oeVATTBEEvidenceRegister::unregisterEvidence() </w:t></w:r><w:r><w:rPr><w:lang w:val="en-GB"/></w:rPr><w:t>when it is no longer available.</w:t></w:r></w:p><w:p><w:pPr><w:pStyle w:val="style0"/></w:pPr><w:r><w:rPr></w:rPr><w:t xml:space="preserve">This can be done by </w:t></w:r><w:r><w:fldChar w:fldCharType="begin"></w:fldChar></w:r><w:r><w:instrText> HYPERLINK &quot;http://wiki.oxidforge.org/Tutorials&quot; \l &quot;Modules_and_Extensions&quot;</w:instrText></w:r><w:r><w:fldChar w:fldCharType="separate"/></w:r><w:r><w:rPr><w:rStyle w:val="style31"/><w:rStyle w:val="style18"/><w:color w:val="0000FF"/></w:rPr><w:t>creating a module</w:t></w:r><w:r><w:fldChar w:fldCharType="end"/></w:r></w:hyperlink><w:r><w:rPr></w:rPr><w:t xml:space="preserve"> containing new evidence classes and registering them in module&apos;s onActivate() and onDeactivate() events:</w:t></w:r></w:p><w:p><w:pPr><w:pStyle w:val="style0"/></w:pPr><w:r><w:rPr></w:rPr></w:r></w:p><w:tbl><w:tblPr><w:jc w:val="left"/><w:tblInd w:type="dxa" w:w="2"/><w:tblBorders><w:top w:color="000001" w:space="0" w:sz="2" w:val="single"/><w:left w:color="000001" w:space="0" w:sz="2" w:val="single"/><w:bottom w:color="000001" w:space="0" w:sz="2" w:val="single"/><w:right w:color="000001" w:space="0" w:sz="2" w:val="single"/></w:tblBorders></w:tblPr><w:tblGrid><w:gridCol w:w="9637"/></w:tblGrid><w:tr><w:trPr><w:cantSplit w:val="false"/></w:trPr><w:tc><w:tcPr><w:tcW w:type="dxa" w:w="9637"/><w:tcBorders><w:top w:color="000001" w:space="0" w:sz="2" w:val="single"/><w:left w:color="000001" w:space="0" w:sz="2" w:val="single"/><w:bottom w:color="000001" w:space="0" w:sz="2" w:val="single"/><w:right w:color="000001" w:space="0" w:sz="2" w:val="single"/></w:tcBorders><w:shd w:fill="E6E6E6" w:val="clear"/><w:tcMar><w:top w:type="dxa" w:w="55"/><w:left w:type="dxa" w:w="48"/><w:bottom w:type="dxa" w:w="55"/><w:right w:type="dxa" w:w="55"/></w:tcMar></w:tcPr><w:p><w:pPr><w:pStyle w:val="style78"/></w:pPr><w:r><w:rPr><w:rFonts w:ascii="Courier New" w:hAnsi="Courier New"/></w:rPr><w:t xml:space="preserve">    </w:t></w:r><w:r><w:rPr><w:rFonts w:ascii="Courier New" w:hAnsi="Courier New"/></w:rPr><w:t>public static function onActivate()</w:t></w:r></w:p><w:p><w:pPr><w:pStyle w:val="style78"/></w:pPr><w:r><w:rPr><w:rFonts w:ascii="Courier New" w:hAnsi="Courier New"/></w:rPr><w:t xml:space="preserve">    </w:t></w:r><w:r><w:rPr><w:rFonts w:ascii="Courier New" w:hAnsi="Courier New"/></w:rPr><w:t>{</w:t></w:r></w:p><w:p><w:pPr><w:pStyle w:val="style78"/></w:pPr><w:r><w:rPr><w:rFonts w:ascii="Courier New" w:hAnsi="Courier New"/></w:rPr><w:t xml:space="preserve">        </w:t></w:r><w:r><w:rPr><w:rFonts w:ascii="Courier New" w:hAnsi="Courier New"/></w:rPr><w:t>if (class_exists(&apos;oeVATTBEEvidenceRegister&apos;)) {</w:t></w:r></w:p><w:p><w:pPr><w:pStyle w:val="style78"/></w:pPr><w:r><w:rPr><w:rFonts w:ascii="Courier New" w:hAnsi="Courier New"/></w:rPr><w:t xml:space="preserve">            </w:t></w:r><w:r><w:rPr><w:rFonts w:ascii="Courier New" w:hAnsi="Courier New"/></w:rPr><w:t>$oConfig = oxRegistry::getConfig();</w:t></w:r></w:p><w:p><w:pPr><w:pStyle w:val="style78"/></w:pPr><w:r><w:rPr><w:rFonts w:ascii="Courier New" w:hAnsi="Courier New"/></w:rPr><w:t xml:space="preserve">            </w:t></w:r><w:r><w:rPr><w:rFonts w:ascii="Courier New" w:hAnsi="Courier New"/></w:rPr><w:t>/** @var oeVATTBEEvidenceRegister $oEvidenceRegister */</w:t></w:r></w:p><w:p><w:pPr><w:pStyle w:val="style78"/></w:pPr><w:r><w:rPr><w:rFonts w:ascii="Courier New" w:hAnsi="Courier New"/></w:rPr><w:t xml:space="preserve">            </w:t></w:r><w:r><w:rPr><w:rFonts w:ascii="Courier New" w:hAnsi="Courier New"/></w:rPr><w:t>$oEvidenceRegister = oxNew(&apos;oeVATTBEEvidenceRegister&apos;, $oConfig);</w:t></w:r></w:p><w:p><w:pPr><w:pStyle w:val="style78"/></w:pPr><w:r><w:rPr><w:rFonts w:ascii="Courier New" w:hAnsi="Courier New"/></w:rPr><w:t xml:space="preserve">            </w:t></w:r><w:r><w:rPr><w:rFonts w:ascii="Courier New" w:hAnsi="Courier New"/></w:rPr><w:t>$oEvidenceRegister-&gt;registerEvidence(&apos;oeVATTBEExtendedEvidence1&apos;);</w:t></w:r></w:p><w:p><w:pPr><w:pStyle w:val="style78"/></w:pPr><w:r><w:rPr><w:rFonts w:ascii="Courier New" w:hAnsi="Courier New"/></w:rPr><w:t xml:space="preserve">            </w:t></w:r><w:r><w:rPr><w:rFonts w:ascii="Courier New" w:hAnsi="Courier New"/></w:rPr><w:t>$oEvidenceRegister-&gt;registerEvidence(&apos;oeVATTBEExtendedEvidence2&apos;);</w:t></w:r></w:p><w:p><w:pPr><w:pStyle w:val="style78"/></w:pPr><w:r><w:rPr><w:rFonts w:ascii="Courier New" w:hAnsi="Courier New"/></w:rPr><w:t xml:space="preserve">        </w:t></w:r><w:r><w:rPr><w:rFonts w:ascii="Courier New" w:hAnsi="Courier New"/></w:rPr><w:t>}</w:t></w:r></w:p><w:p><w:pPr><w:pStyle w:val="style78"/></w:pPr><w:r><w:rPr><w:rFonts w:ascii="Courier New" w:hAnsi="Courier New"/></w:rPr><w:t xml:space="preserve">    </w:t></w:r><w:r><w:rPr><w:rFonts w:ascii="Courier New" w:hAnsi="Courier New"/></w:rPr><w:t>}</w:t></w:r></w:p><w:p><w:pPr><w:pStyle w:val="style78"/></w:pPr><w:r><w:rPr></w:rPr></w:r></w:p><w:p><w:pPr><w:pStyle w:val="style78"/></w:pPr><w:r><w:rPr><w:rFonts w:ascii="Courier New" w:hAnsi="Courier New"/></w:rPr><w:t xml:space="preserve">    </w:t></w:r><w:r><w:rPr><w:rFonts w:ascii="Courier New" w:hAnsi="Courier New"/></w:rPr><w:t>public static function onDeactivate()</w:t></w:r></w:p><w:p><w:pPr><w:pStyle w:val="style78"/></w:pPr><w:r><w:rPr><w:rFonts w:ascii="Courier New" w:hAnsi="Courier New"/></w:rPr><w:t xml:space="preserve">    </w:t></w:r><w:r><w:rPr><w:rFonts w:ascii="Courier New" w:hAnsi="Courier New"/></w:rPr><w:t>{</w:t></w:r></w:p><w:p><w:pPr><w:pStyle w:val="style78"/></w:pPr><w:r><w:rPr><w:rFonts w:ascii="Courier New" w:hAnsi="Courier New"/></w:rPr><w:t xml:space="preserve">        </w:t></w:r><w:r><w:rPr><w:rFonts w:ascii="Courier New" w:hAnsi="Courier New"/></w:rPr><w:t>if (class_exists(&apos;oeVATTBEEvidenceRegister&apos;)) {</w:t></w:r></w:p><w:p><w:pPr><w:pStyle w:val="style78"/></w:pPr><w:r><w:rPr><w:rFonts w:ascii="Courier New" w:hAnsi="Courier New"/></w:rPr><w:t xml:space="preserve">            </w:t></w:r><w:r><w:rPr><w:rFonts w:ascii="Courier New" w:hAnsi="Courier New"/></w:rPr><w:t>$oConfig = oxRegistry::getConfig();</w:t></w:r></w:p><w:p><w:pPr><w:pStyle w:val="style78"/></w:pPr><w:r><w:rPr><w:rFonts w:ascii="Courier New" w:hAnsi="Courier New"/></w:rPr><w:t xml:space="preserve">            </w:t></w:r><w:r><w:rPr><w:rFonts w:ascii="Courier New" w:hAnsi="Courier New"/></w:rPr><w:t>/** @var oeVATTBEEvidenceRegister $oEvidenceRegister */</w:t></w:r></w:p><w:p><w:pPr><w:pStyle w:val="style78"/></w:pPr><w:r><w:rPr><w:rFonts w:ascii="Courier New" w:hAnsi="Courier New"/></w:rPr><w:t xml:space="preserve">            </w:t></w:r><w:r><w:rPr><w:rFonts w:ascii="Courier New" w:hAnsi="Courier New"/></w:rPr><w:t>$oEvidenceRegister = oxNew(&apos;oeVATTBEEvidenceRegister&apos;, $oConfig);</w:t></w:r></w:p><w:p><w:pPr><w:pStyle w:val="style78"/></w:pPr><w:r><w:rPr><w:rFonts w:ascii="Courier New" w:hAnsi="Courier New"/></w:rPr><w:t xml:space="preserve">            </w:t></w:r><w:r><w:rPr><w:rFonts w:ascii="Courier New" w:hAnsi="Courier New"/></w:rPr><w:t>$oEvidenceRegister-&gt;unregisterEvidence(&apos;oeVATTBEExtendedEvidence1&apos;);</w:t></w:r></w:p><w:p><w:pPr><w:pStyle w:val="style78"/></w:pPr><w:r><w:rPr><w:rFonts w:ascii="Courier New" w:hAnsi="Courier New"/></w:rPr><w:t xml:space="preserve">            </w:t></w:r><w:r><w:rPr><w:rFonts w:ascii="Courier New" w:hAnsi="Courier New"/></w:rPr><w:t>$oEvidenceRegister-&gt;unregisterEvidence(&apos;oeVATTBEExtendedEvidence2&apos;);</w:t></w:r></w:p><w:p><w:pPr><w:pStyle w:val="style78"/></w:pPr><w:r><w:rPr><w:rFonts w:ascii="Courier New" w:hAnsi="Courier New"/></w:rPr><w:t xml:space="preserve">        </w:t></w:r><w:r><w:rPr><w:rFonts w:ascii="Courier New" w:hAnsi="Courier New"/></w:rPr><w:t>}</w:t></w:r></w:p><w:p><w:pPr><w:pStyle w:val="style78"/></w:pPr><w:r><w:rPr><w:rFonts w:ascii="Courier New" w:hAnsi="Courier New"/></w:rPr><w:t xml:space="preserve">    </w:t></w:r><w:r><w:rPr><w:rFonts w:ascii="Courier New" w:hAnsi="Courier New"/></w:rPr><w:t>}</w:t></w:r></w:p></w:tc></w:tr></w:tbl><w:p><w:pPr><w:pStyle w:val="style0"/></w:pPr><w:r><w:rPr><w:color w:val="00000A"/></w:rPr></w:r></w:p><w:p><w:pPr><w:pStyle w:val="style0"/></w:pPr><w:r><w:rPr></w:rPr><w:t>If module will not unregister added evidences on deactivation, those evidences will be removed on next  user country calculation.</w:t></w:r></w:p><w:p><w:pPr><w:pStyle w:val="style0"/></w:pPr><w:r><w:rPr><w:lang w:val="en-GB"/></w:rPr><w:t>New evidence classes must be registered in module&apos;s metadata.</w:t></w:r></w:p><w:p><w:pPr><w:pStyle w:val="style0"/></w:pPr><w:r><w:rPr><w:lang w:val="en-GB"/></w:rPr><w:t>Module with additional evidences must be activated only when “VAT TBE Services” module is active, otherwise oeVATTBEEvidenceRegister will not be found.</w:t></w:r></w:p><w:p><w:pPr><w:pStyle w:val="style0"/></w:pPr><w:r><w:rPr><w:lang w:val="en-GB"/></w:rPr></w:r></w:p><w:p><w:pPr><w:pStyle w:val="style0"/></w:pPr><w:r><w:rPr><w:lang w:val="en-GB"/></w:rPr><w:t xml:space="preserve">Currently </w:t></w:r><w:r><w:rPr><w:b/><w:bCs/><w:lang w:val="en-GB"/></w:rPr><w:t>oeVATTBEGeoLocationEvidence</w:t></w:r><w:r><w:rPr><w:lang w:val="en-GB"/></w:rPr><w:t xml:space="preserve"> evidence class is only a dummy class and should be implemented. This can also be done by extending this class with module and implementing oeVATTBEGeoLocationEvidence::getCountryId() method.</w:t></w:r></w:p><w:p><w:pPr><w:pStyle w:val="style0"/></w:pPr><w:r><w:rPr><w:lang w:val="en-GB"/></w:rPr></w:r></w:p><w:p><w:pPr><w:pStyle w:val="style0"/></w:pPr><w:r><w:rPr></w:rPr></w:r></w:p><w:sectPr><w:type w:val="continuous"/><w:pgSz w:h="16838" w:w="11906"/><w:pgMar w:bottom="1701" w:footer="737" w:gutter="0" w:header="454" w:left="1418" w:right="851" w:top="2552"/><w:pgNumType w:fmt="decimal"/><w:formProt w:val="false"/><w:textDirection w:val="lrTb"/><w:docGrid w:charSpace="12288"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Bookshelf Symbol 7">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pPr>
    <w:r>
      <w:rPr/>
    </w:r>
  </w:p>
  <w:p>
    <w:pPr>
      <w:pStyle w:val="style81"/>
      <w:spacing w:after="120" w:before="0"/>
    </w:pPr>
    <w:r>
      <w:rPr>
        <w:rFonts w:cs="TTE1A53338t00"/>
        <w:b/>
        <w:color w:val="808080"/>
        <w:sz w:val="14"/>
        <w:szCs w:val="14"/>
      </w:rPr>
      <w:t xml:space="preserve">© OXID eSales AG | www.oxid-esales.com | </w:t>
    </w:r>
    <w:hyperlink r:id="rId1">
      <w:r>
        <w:rPr>
          <w:rStyle w:val="style18"/>
          <w:rFonts w:cs="TTE1A53338t00"/>
          <w:b/>
          <w:color w:val="808080"/>
          <w:sz w:val="14"/>
          <w:szCs w:val="14"/>
        </w:rPr>
        <w:t>info@oxid-esales.com</w:t>
      </w:r>
    </w:hyperlink>
    <w:r>
      <w:rPr>
        <w:rFonts w:cs="TTE1A53338t00"/>
        <w:b/>
        <w:color w:val="808080"/>
        <w:sz w:val="14"/>
        <w:szCs w:val="14"/>
      </w:rPr>
      <w:t xml:space="preserve"> | Version 1.0.0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spacing w:line="200" w:lineRule="exact"/>
      <w:ind w:hanging="0" w:left="0" w:right="360"/>
      <w:jc w:val="right"/>
    </w:pPr>
    <w:r>
      <w:rPr>
        <w:sz w:val="16"/>
        <w:lang w:val="en-GB"/>
      </w:rPr>
      <w:b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drawing>
        <wp:anchor allowOverlap="1" behindDoc="1" distB="0" distL="0" distR="0" distT="0" layoutInCell="1" locked="0" relativeHeight="0" simplePos="0">
          <wp:simplePos x="0" y="0"/>
          <wp:positionH relativeFrom="character">
            <wp:posOffset>4976495</wp:posOffset>
          </wp:positionH>
          <wp:positionV relativeFrom="line">
            <wp:posOffset>-12065</wp:posOffset>
          </wp:positionV>
          <wp:extent cx="1406525" cy="5619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406525" cy="561975"/>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5" w:val="left"/>
        <w:tab w:leader="none" w:pos="1871" w:val="left"/>
        <w:tab w:leader="none" w:pos="2041" w:val="left"/>
        <w:tab w:leader="none" w:pos="2211" w:val="left"/>
        <w:tab w:leader="none" w:pos="2381" w:val="left"/>
        <w:tab w:leader="none" w:pos="9637" w:val="right"/>
      </w:tabs>
    </w:pPr>
    <w:r>
      <w:rPr/>
      <w:tab/>
      <w:drawing>
        <wp:anchor allowOverlap="1" behindDoc="1" distB="0" distL="0" distR="0" distT="0" layoutInCell="1" locked="0" relativeHeight="0" simplePos="0">
          <wp:simplePos x="0" y="0"/>
          <wp:positionH relativeFrom="character">
            <wp:posOffset>4986020</wp:posOffset>
          </wp:positionH>
          <wp:positionV relativeFrom="line">
            <wp:posOffset>-31115</wp:posOffset>
          </wp:positionV>
          <wp:extent cx="1406525" cy="5619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406525" cy="561975"/>
                  </a:xfrm>
                  <a:prstGeom prst="rect">
                    <a:avLst/>
                  </a:prstGeom>
                  <a:noFill/>
                  <a:ln w="9525">
                    <a:noFill/>
                    <a:miter lim="800000"/>
                    <a:headEnd/>
                    <a:tailEnd/>
                  </a:ln>
                </pic:spPr>
              </pic:pic>
            </a:graphicData>
          </a:graphic>
        </wp:anchor>
      </w:drawing>
    </w:r>
  </w:p>
  <w:p>
    <w:pPr>
      <w:pStyle w:val="style0"/>
      <w:tabs>
        <w:tab w:leader="none" w:pos="435" w:val="left"/>
        <w:tab w:leader="none" w:pos="1871" w:val="left"/>
        <w:tab w:leader="none" w:pos="2041" w:val="left"/>
        <w:tab w:leader="none" w:pos="2211" w:val="left"/>
        <w:tab w:leader="none" w:pos="2381" w:val="left"/>
        <w:tab w:leader="none" w:pos="9637" w:val="right"/>
      </w:tabs>
    </w:pPr>
    <w:r>
      <w:rPr/>
    </w:r>
  </w:p>
  <w:p>
    <w:pPr>
      <w:pStyle w:val="style0"/>
      <w:tabs>
        <w:tab w:leader="none" w:pos="435" w:val="left"/>
        <w:tab w:leader="none" w:pos="1871" w:val="left"/>
        <w:tab w:leader="none" w:pos="2041" w:val="left"/>
        <w:tab w:leader="none" w:pos="2211" w:val="left"/>
        <w:tab w:leader="none" w:pos="2381" w:val="left"/>
        <w:tab w:leader="none" w:pos="9637" w:val="right"/>
      </w:tabs>
    </w:pPr>
    <w:r>
      <w:rPr/>
    </w:r>
  </w:p>
  <w:p>
    <w:pPr>
      <w:pStyle w:val="style0"/>
      <w:tabs>
        <w:tab w:leader="none" w:pos="435" w:val="left"/>
        <w:tab w:leader="none" w:pos="1871" w:val="left"/>
        <w:tab w:leader="none" w:pos="2041" w:val="left"/>
        <w:tab w:leader="none" w:pos="2211" w:val="left"/>
        <w:tab w:leader="none" w:pos="2381" w:val="left"/>
        <w:tab w:leader="none" w:pos="9637" w:val="right"/>
      </w:tabs>
    </w:pPr>
    <w:r>
      <w:rPr/>
    </w:r>
  </w:p>
  <w:p>
    <w:pPr>
      <w:pStyle w:val="style0"/>
      <w:tabs>
        <w:tab w:leader="none" w:pos="435" w:val="left"/>
        <w:tab w:leader="none" w:pos="1871" w:val="left"/>
        <w:tab w:leader="none" w:pos="2041" w:val="left"/>
        <w:tab w:leader="none" w:pos="2211" w:val="left"/>
        <w:tab w:leader="none" w:pos="2381" w:val="left"/>
        <w:tab w:leader="none" w:pos="9637" w:val="right"/>
      </w:tabs>
    </w:pPr>
    <w:r>
      <w:rPr/>
    </w:r>
  </w:p>
  <w:p>
    <w:pPr>
      <w:pStyle w:val="style0"/>
      <w:tabs>
        <w:tab w:leader="none" w:pos="435" w:val="left"/>
        <w:tab w:leader="none" w:pos="1871" w:val="left"/>
        <w:tab w:leader="none" w:pos="2041" w:val="left"/>
        <w:tab w:leader="none" w:pos="2211" w:val="left"/>
        <w:tab w:leader="none" w:pos="2381" w:val="left"/>
        <w:tab w:leader="none" w:pos="9637" w:val="right"/>
      </w:tabs>
    </w:pPr>
    <w:r>
      <w:rPr>
        <w:b/>
        <w:color w:val="808080"/>
        <w:sz w:val="14"/>
        <w:szCs w:val="14"/>
      </w:rPr>
      <w:t>ID:</w:t>
    </w:r>
    <w:r>
      <w:rPr>
        <w:color w:val="808080"/>
        <w:sz w:val="14"/>
        <w:szCs w:val="14"/>
      </w:rPr>
      <w:t xml:space="preserve"> DB-27092012-1</w:t>
    </w:r>
  </w:p>
  <w:p>
    <w:pPr>
      <w:pStyle w:val="style0"/>
      <w:tabs>
        <w:tab w:leader="none" w:pos="435" w:val="left"/>
        <w:tab w:leader="none" w:pos="1871" w:val="left"/>
        <w:tab w:leader="none" w:pos="2041" w:val="left"/>
        <w:tab w:leader="none" w:pos="2211" w:val="left"/>
        <w:tab w:leader="none" w:pos="2381" w:val="left"/>
        <w:tab w:leader="none" w:pos="9637" w:val="right"/>
      </w:tabs>
    </w:pPr>
    <w:r>
      <w:rPr>
        <w:b/>
        <w:color w:val="808080"/>
        <w:sz w:val="14"/>
        <w:szCs w:val="14"/>
      </w:rPr>
      <w:t xml:space="preserve">Revision: </w:t>
    </w:r>
    <w:r>
      <w:rPr>
        <w:color w:val="808080"/>
        <w:sz w:val="14"/>
        <w:szCs w:val="14"/>
      </w:rPr>
      <w:t>A1</w:t>
    </w:r>
  </w:p>
  <w:p>
    <w:pPr>
      <w:pStyle w:val="style0"/>
      <w:tabs>
        <w:tab w:leader="none" w:pos="435" w:val="left"/>
        <w:tab w:leader="none" w:pos="1871" w:val="left"/>
        <w:tab w:leader="none" w:pos="2041" w:val="left"/>
        <w:tab w:leader="none" w:pos="2211" w:val="left"/>
        <w:tab w:leader="none" w:pos="2381" w:val="left"/>
        <w:tab w:leader="none" w:pos="9637" w:val="right"/>
      </w:tabs>
    </w:pPr>
    <w:r>
      <w:rPr>
        <w:b/>
        <w:color w:val="808080"/>
        <w:sz w:val="14"/>
        <w:szCs w:val="14"/>
      </w:rPr>
      <w:t xml:space="preserve">Status: </w:t>
    </w:r>
    <w:r>
      <w:rPr>
        <w:color w:val="000000"/>
        <w:sz w:val="14"/>
        <w:szCs w:val="14"/>
      </w:rPr>
      <w:t>XY</w:t>
    </w:r>
  </w:p>
  <w:p>
    <w:pPr>
      <w:pStyle w:val="style0"/>
      <w:tabs>
        <w:tab w:leader="none" w:pos="435" w:val="left"/>
        <w:tab w:leader="none" w:pos="1871" w:val="left"/>
        <w:tab w:leader="none" w:pos="2041" w:val="left"/>
        <w:tab w:leader="none" w:pos="2211" w:val="left"/>
        <w:tab w:leader="none" w:pos="2381" w:val="left"/>
        <w:tab w:leader="none" w:pos="9637" w:val="right"/>
      </w:tabs>
    </w:pPr>
    <w:r>
      <w:rPr>
        <w:b/>
        <w:color w:val="808080"/>
        <w:sz w:val="14"/>
        <w:szCs w:val="14"/>
      </w:rPr>
      <w:t>Classification:</w:t>
    </w:r>
    <w:r>
      <w:rPr>
        <w:color w:val="808080"/>
        <w:sz w:val="14"/>
        <w:szCs w:val="14"/>
      </w:rPr>
      <w:t xml:space="preserve"> Internal      </w:t>
    </w:r>
  </w:p>
  <w:p>
    <w:pPr>
      <w:pStyle w:val="style0"/>
      <w:tabs>
        <w:tab w:leader="none" w:pos="435" w:val="left"/>
        <w:tab w:leader="none" w:pos="1871" w:val="left"/>
        <w:tab w:leader="none" w:pos="2041" w:val="left"/>
        <w:tab w:leader="none" w:pos="2211" w:val="left"/>
        <w:tab w:leader="none" w:pos="2381" w:val="left"/>
        <w:tab w:leader="none" w:pos="9637" w:val="right"/>
      </w:tabs>
    </w:pPr>
    <w:r>
      <w:rPr>
        <w:b/>
        <w:color w:val="808080"/>
        <w:sz w:val="14"/>
        <w:szCs w:val="14"/>
      </w:rPr>
      <w:t xml:space="preserve">Author: </w:t>
    </w:r>
    <w:r>
      <w:rPr>
        <w:color w:val="808080"/>
        <w:sz w:val="14"/>
        <w:szCs w:val="14"/>
      </w:rPr>
      <w:t>Mr. XY</w:t>
    </w:r>
  </w:p>
  <w:p>
    <w:pPr>
      <w:pStyle w:val="style0"/>
      <w:tabs>
        <w:tab w:leader="none" w:pos="435" w:val="left"/>
        <w:tab w:leader="none" w:pos="1871" w:val="left"/>
        <w:tab w:leader="none" w:pos="2041" w:val="left"/>
        <w:tab w:leader="none" w:pos="2211" w:val="left"/>
        <w:tab w:leader="none" w:pos="2381" w:val="left"/>
        <w:tab w:leader="none" w:pos="9637" w:val="right"/>
      </w:tabs>
    </w:pPr>
    <w:r>
      <w:rPr>
        <w:b/>
        <w:color w:val="808080"/>
        <w:sz w:val="14"/>
        <w:szCs w:val="14"/>
      </w:rPr>
      <w:t xml:space="preserve">Approved by: </w:t>
    </w:r>
    <w:r>
      <w:rPr>
        <w:color w:val="808080"/>
        <w:sz w:val="14"/>
        <w:szCs w:val="14"/>
      </w:rPr>
      <w:t>Mr. XY</w:t>
    </w:r>
  </w:p>
  <w:p>
    <w:pPr>
      <w:pStyle w:val="style0"/>
      <w:tabs>
        <w:tab w:leader="none" w:pos="435" w:val="left"/>
        <w:tab w:leader="none" w:pos="1871" w:val="left"/>
        <w:tab w:leader="none" w:pos="2041" w:val="left"/>
        <w:tab w:leader="none" w:pos="2211" w:val="left"/>
        <w:tab w:leader="none" w:pos="2381" w:val="left"/>
        <w:tab w:leader="none" w:pos="9637" w:val="right"/>
      </w:tabs>
    </w:pPr>
    <w:bookmarkStart w:id="11" w:name="_Toc1588874711"/>
    <w:bookmarkEnd w:id="11"/>
    <w:r>
      <w:rPr/>
      <w:tab/>
    </w:r>
  </w:p>
  <w:p>
    <w:pPr>
      <w:pStyle w:val="style0"/>
      <w:jc w:val="right"/>
    </w:pPr>
    <w:bookmarkStart w:id="12" w:name="_Toc1588874711"/>
    <w:bookmarkStart w:id="13" w:name="_Toc1588874711"/>
    <w:bookmarkEnd w:id="13"/>
    <w:r>
      <w:rPr/>
    </w:r>
  </w:p>
</w:hdr>
</file>

<file path=word/numbering.xml><?xml version="1.0" encoding="utf-8"?>
<w:numbering xmlns:w="http://schemas.openxmlformats.org/wordprocessingml/2006/main">
  <w:abstractNum w:abstractNumId="1">
    <w:lvl w:ilvl="0">
      <w:start w:val="1"/>
      <w:numFmt w:val="decimal"/>
      <w:lvlText w:val="%1)"/>
      <w:lvlJc w:val="left"/>
      <w:pPr>
        <w:ind w:hanging="357" w:left="714"/>
      </w:pPr>
      <w:rPr>
        <w:sz w:val="18"/>
        <w:i w:val="false"/>
        <w:b w:val="false"/>
      </w:r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Bookshelf Symbol 7" w:cs="Bookshelf Symbol 7" w:hAnsi="Bookshelf Symbol 7"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Bookshelf Symbol 7" w:cs="Bookshelf Symbol 7" w:hAnsi="Bookshelf Symbol 7"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Bookshelf Symbol 7" w:cs="Bookshelf Symbol 7" w:hAnsi="Bookshelf Symbol 7"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Bookshelf Symbol 7" w:cs="Bookshelf Symbol 7" w:hAnsi="Bookshelf Symbol 7"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spacing w:line="280" w:lineRule="exact"/>
    </w:pPr>
    <w:rPr>
      <w:rFonts w:ascii="Verdana" w:cs="Times New Roman" w:eastAsia="Times New Roman" w:hAnsi="Verdana"/>
      <w:color w:val="auto"/>
      <w:sz w:val="18"/>
      <w:szCs w:val="24"/>
      <w:lang w:bidi="ar-SA" w:eastAsia="de-DE" w:val="de-DE"/>
    </w:rPr>
  </w:style>
  <w:style w:styleId="style1" w:type="paragraph">
    <w:name w:val="Heading 1"/>
    <w:basedOn w:val="style0"/>
    <w:next w:val="style39"/>
    <w:pPr>
      <w:keepNext/>
      <w:tabs>
        <w:tab w:leader="none" w:pos="312" w:val="left"/>
        <w:tab w:leader="none" w:pos="482" w:val="left"/>
        <w:tab w:leader="none" w:pos="652" w:val="left"/>
        <w:tab w:leader="none" w:pos="822" w:val="left"/>
      </w:tabs>
      <w:spacing w:after="120" w:before="600"/>
    </w:pPr>
    <w:rPr>
      <w:rFonts w:cs="Arial"/>
      <w:b/>
      <w:bCs/>
      <w:color w:val="333333"/>
      <w:szCs w:val="32"/>
      <w:lang w:val="en-GB"/>
    </w:rPr>
  </w:style>
  <w:style w:styleId="style2" w:type="paragraph">
    <w:name w:val="Heading 2"/>
    <w:basedOn w:val="style0"/>
    <w:next w:val="style39"/>
    <w:pPr>
      <w:keepNext/>
      <w:numPr>
        <w:ilvl w:val="1"/>
        <w:numId w:val="1"/>
      </w:numPr>
      <w:tabs>
        <w:tab w:leader="none" w:pos="510" w:val="left"/>
        <w:tab w:leader="none" w:pos="680" w:val="left"/>
        <w:tab w:leader="none" w:pos="851" w:val="left"/>
        <w:tab w:leader="none" w:pos="1021" w:val="left"/>
      </w:tabs>
      <w:spacing w:after="60" w:before="320"/>
      <w:outlineLvl w:val="1"/>
    </w:pPr>
    <w:rPr>
      <w:rFonts w:cs="Arial"/>
      <w:b/>
      <w:bCs/>
      <w:iCs/>
      <w:color w:val="333333"/>
      <w:szCs w:val="28"/>
      <w:lang w:val="en-GB"/>
    </w:rPr>
  </w:style>
  <w:style w:styleId="style3" w:type="paragraph">
    <w:name w:val="Heading 3"/>
    <w:basedOn w:val="style0"/>
    <w:next w:val="style39"/>
    <w:pPr>
      <w:keepNext/>
      <w:numPr>
        <w:ilvl w:val="2"/>
        <w:numId w:val="1"/>
      </w:numPr>
      <w:tabs>
        <w:tab w:leader="none" w:pos="907" w:val="left"/>
        <w:tab w:leader="none" w:pos="1077" w:val="left"/>
        <w:tab w:leader="none" w:pos="1247" w:val="left"/>
      </w:tabs>
      <w:spacing w:after="60" w:before="320"/>
      <w:outlineLvl w:val="2"/>
    </w:pPr>
    <w:rPr>
      <w:rFonts w:cs="Arial"/>
      <w:b/>
      <w:bCs/>
      <w:color w:val="333333"/>
      <w:szCs w:val="26"/>
      <w:lang w:val="en-GB"/>
    </w:rPr>
  </w:style>
  <w:style w:styleId="style4" w:type="paragraph">
    <w:name w:val="Heading 4"/>
    <w:basedOn w:val="style0"/>
    <w:next w:val="style39"/>
    <w:pPr>
      <w:keepNext/>
      <w:numPr>
        <w:ilvl w:val="3"/>
        <w:numId w:val="1"/>
      </w:numPr>
      <w:tabs>
        <w:tab w:leader="none" w:pos="936" w:val="left"/>
        <w:tab w:leader="none" w:pos="1106" w:val="left"/>
        <w:tab w:leader="none" w:pos="1276" w:val="left"/>
        <w:tab w:leader="none" w:pos="1446" w:val="left"/>
      </w:tabs>
      <w:spacing w:after="60" w:before="320"/>
      <w:outlineLvl w:val="3"/>
    </w:pPr>
    <w:rPr>
      <w:b/>
      <w:bCs/>
      <w:color w:val="333333"/>
      <w:szCs w:val="28"/>
      <w:lang w:val="en-GB"/>
    </w:rPr>
  </w:style>
  <w:style w:styleId="style5" w:type="paragraph">
    <w:name w:val="Heading 5"/>
    <w:basedOn w:val="style4"/>
    <w:next w:val="style39"/>
    <w:pPr>
      <w:numPr>
        <w:ilvl w:val="4"/>
        <w:numId w:val="1"/>
      </w:numPr>
      <w:outlineLvl w:val="4"/>
    </w:pPr>
    <w:rPr/>
  </w:style>
  <w:style w:styleId="style6" w:type="paragraph">
    <w:name w:val="Heading 6"/>
    <w:basedOn w:val="style0"/>
    <w:next w:val="style39"/>
    <w:pPr>
      <w:keepNext/>
      <w:numPr>
        <w:ilvl w:val="5"/>
        <w:numId w:val="1"/>
      </w:numPr>
      <w:tabs>
        <w:tab w:leader="none" w:pos="1304" w:val="left"/>
        <w:tab w:leader="none" w:pos="1474" w:val="left"/>
        <w:tab w:leader="none" w:pos="1644" w:val="left"/>
        <w:tab w:leader="none" w:pos="1814" w:val="left"/>
      </w:tabs>
      <w:spacing w:after="60" w:before="320"/>
      <w:outlineLvl w:val="5"/>
    </w:pPr>
    <w:rPr>
      <w:b/>
      <w:bCs/>
      <w:color w:val="333333"/>
      <w:szCs w:val="22"/>
    </w:rPr>
  </w:style>
  <w:style w:styleId="style7" w:type="paragraph">
    <w:name w:val="Heading 7"/>
    <w:basedOn w:val="style0"/>
    <w:next w:val="style39"/>
    <w:pPr>
      <w:keepNext/>
      <w:numPr>
        <w:ilvl w:val="6"/>
        <w:numId w:val="1"/>
      </w:numPr>
      <w:tabs>
        <w:tab w:leader="none" w:pos="1503" w:val="left"/>
        <w:tab w:leader="none" w:pos="1673" w:val="left"/>
        <w:tab w:leader="none" w:pos="1843" w:val="left"/>
        <w:tab w:leader="none" w:pos="2013" w:val="left"/>
      </w:tabs>
      <w:spacing w:after="60" w:before="320"/>
      <w:outlineLvl w:val="6"/>
    </w:pPr>
    <w:rPr>
      <w:b/>
      <w:color w:val="333333"/>
    </w:rPr>
  </w:style>
  <w:style w:styleId="style8" w:type="paragraph">
    <w:name w:val="Heading 8"/>
    <w:basedOn w:val="style0"/>
    <w:next w:val="style39"/>
    <w:pPr>
      <w:keepNext/>
      <w:numPr>
        <w:ilvl w:val="7"/>
        <w:numId w:val="1"/>
      </w:numPr>
      <w:tabs>
        <w:tab w:leader="none" w:pos="1673" w:val="left"/>
        <w:tab w:leader="none" w:pos="1843" w:val="left"/>
        <w:tab w:leader="none" w:pos="2013" w:val="left"/>
        <w:tab w:leader="none" w:pos="2183" w:val="left"/>
      </w:tabs>
      <w:spacing w:after="60" w:before="320"/>
      <w:outlineLvl w:val="7"/>
    </w:pPr>
    <w:rPr>
      <w:b/>
      <w:iCs/>
      <w:color w:val="333333"/>
    </w:rPr>
  </w:style>
  <w:style w:styleId="style9" w:type="paragraph">
    <w:name w:val="Heading 9"/>
    <w:basedOn w:val="style0"/>
    <w:next w:val="style39"/>
    <w:pPr>
      <w:keepNext/>
      <w:numPr>
        <w:ilvl w:val="8"/>
        <w:numId w:val="1"/>
      </w:numPr>
      <w:tabs>
        <w:tab w:leader="none" w:pos="1871" w:val="left"/>
        <w:tab w:leader="none" w:pos="2041" w:val="left"/>
        <w:tab w:leader="none" w:pos="2211" w:val="left"/>
        <w:tab w:leader="none" w:pos="2381" w:val="left"/>
      </w:tabs>
      <w:spacing w:after="60" w:before="320"/>
      <w:outlineLvl w:val="8"/>
    </w:pPr>
    <w:rPr>
      <w:rFonts w:cs="Arial"/>
      <w:b/>
      <w:color w:val="333333"/>
      <w:szCs w:val="22"/>
    </w:rPr>
  </w:style>
  <w:style w:styleId="style15" w:type="character">
    <w:name w:val="Default Paragraph Font"/>
    <w:next w:val="style15"/>
    <w:rPr/>
  </w:style>
  <w:style w:styleId="style16" w:type="character">
    <w:name w:val="Heading 1 Char"/>
    <w:basedOn w:val="style15"/>
    <w:next w:val="style16"/>
    <w:rPr>
      <w:rFonts w:ascii="Verdana" w:cs="Arial" w:hAnsi="Verdana"/>
      <w:b/>
      <w:bCs/>
      <w:color w:val="333333"/>
      <w:sz w:val="18"/>
      <w:szCs w:val="32"/>
      <w:lang w:val="en-GB"/>
    </w:rPr>
  </w:style>
  <w:style w:styleId="style17" w:type="character">
    <w:name w:val="Heading 2 Char"/>
    <w:basedOn w:val="style15"/>
    <w:next w:val="style17"/>
    <w:rPr>
      <w:rFonts w:ascii="Verdana" w:cs="Arial" w:hAnsi="Verdana"/>
      <w:b/>
      <w:bCs/>
      <w:iCs/>
      <w:color w:val="333333"/>
      <w:sz w:val="18"/>
      <w:szCs w:val="28"/>
      <w:lang w:val="en-GB"/>
    </w:rPr>
  </w:style>
  <w:style w:styleId="style18" w:type="character">
    <w:name w:val="Internet Link"/>
    <w:basedOn w:val="style15"/>
    <w:next w:val="style18"/>
    <w:rPr>
      <w:rFonts w:ascii="Verdana" w:hAnsi="Verdana"/>
      <w:color w:val="00000A"/>
      <w:u w:val="none"/>
      <w:lang w:bidi="en-US" w:eastAsia="en-US" w:val="en-US"/>
    </w:rPr>
  </w:style>
  <w:style w:styleId="style19" w:type="character">
    <w:name w:val="FollowedHyperlink"/>
    <w:basedOn w:val="style15"/>
    <w:next w:val="style19"/>
    <w:rPr>
      <w:rFonts w:ascii="Verdana" w:hAnsi="Verdana"/>
      <w:color w:val="00000A"/>
      <w:u w:val="none"/>
    </w:rPr>
  </w:style>
  <w:style w:styleId="style20" w:type="character">
    <w:name w:val="Standard fett Zchn"/>
    <w:basedOn w:val="style15"/>
    <w:next w:val="style20"/>
    <w:rPr>
      <w:rFonts w:ascii="Verdana" w:hAnsi="Verdana"/>
      <w:b/>
      <w:bCs/>
      <w:color w:val="333333"/>
      <w:sz w:val="18"/>
      <w:szCs w:val="24"/>
      <w:lang w:bidi="ar-SA" w:eastAsia="de-DE" w:val="de-DE"/>
    </w:rPr>
  </w:style>
  <w:style w:styleId="style21" w:type="character">
    <w:name w:val="Überschrift Zchn"/>
    <w:basedOn w:val="style16"/>
    <w:next w:val="style21"/>
    <w:rPr>
      <w:rFonts w:ascii="Verdana" w:cs="Arial" w:hAnsi="Verdana"/>
      <w:b/>
      <w:bCs/>
      <w:color w:val="333333"/>
      <w:sz w:val="18"/>
      <w:szCs w:val="32"/>
      <w:lang w:val="en-GB"/>
    </w:rPr>
  </w:style>
  <w:style w:styleId="style22" w:type="character">
    <w:name w:val="Headline Char1"/>
    <w:basedOn w:val="style15"/>
    <w:next w:val="style22"/>
    <w:rPr>
      <w:rFonts w:ascii="Verdana" w:cs="Arial" w:hAnsi="Verdana"/>
      <w:b/>
      <w:bCs/>
      <w:sz w:val="18"/>
      <w:szCs w:val="32"/>
      <w:lang w:bidi="ar-SA" w:eastAsia="de-DE" w:val="en-GB"/>
    </w:rPr>
  </w:style>
  <w:style w:styleId="style23" w:type="character">
    <w:name w:val="Formatvorlage Courier New 10 pt"/>
    <w:basedOn w:val="style15"/>
    <w:next w:val="style23"/>
    <w:rPr>
      <w:rFonts w:ascii="Courier New" w:hAnsi="Courier New"/>
      <w:sz w:val="18"/>
    </w:rPr>
  </w:style>
  <w:style w:styleId="style24" w:type="character">
    <w:name w:val="Formatvorlage Courier New 10 pt Kursiv"/>
    <w:basedOn w:val="style15"/>
    <w:next w:val="style24"/>
    <w:rPr>
      <w:rFonts w:ascii="Courier New" w:hAnsi="Courier New"/>
      <w:i/>
      <w:iCs/>
      <w:sz w:val="18"/>
    </w:rPr>
  </w:style>
  <w:style w:styleId="style25" w:type="character">
    <w:name w:val="Warnungen Zchn"/>
    <w:basedOn w:val="style15"/>
    <w:next w:val="style25"/>
    <w:rPr>
      <w:rFonts w:ascii="Verdana" w:hAnsi="Verdana"/>
      <w:b/>
      <w:color w:val="DB0B0B"/>
      <w:sz w:val="18"/>
      <w:szCs w:val="24"/>
      <w:lang w:bidi="ar-SA"/>
    </w:rPr>
  </w:style>
  <w:style w:styleId="style26" w:type="character">
    <w:name w:val="Eingabefelder und Navigationsschritte Zchn"/>
    <w:basedOn w:val="style15"/>
    <w:next w:val="style26"/>
    <w:rPr>
      <w:rFonts w:ascii="Verdana" w:hAnsi="Verdana"/>
      <w:b/>
      <w:sz w:val="18"/>
      <w:szCs w:val="24"/>
      <w:lang w:bidi="ar-SA" w:eastAsia="de-DE" w:val="de-DE"/>
    </w:rPr>
  </w:style>
  <w:style w:styleId="style27" w:type="character">
    <w:name w:val="Dateinamen und Pfade Zchn"/>
    <w:basedOn w:val="style15"/>
    <w:next w:val="style27"/>
    <w:rPr>
      <w:rFonts w:ascii="Verdana" w:hAnsi="Verdana"/>
      <w:b/>
      <w:i/>
      <w:color w:val="404040"/>
      <w:sz w:val="18"/>
      <w:szCs w:val="24"/>
      <w:lang w:bidi="ar-SA" w:eastAsia="de-DE" w:val="de-DE"/>
    </w:rPr>
  </w:style>
  <w:style w:styleId="style28" w:type="character">
    <w:name w:val="Benutzereingaben und Code Zchn"/>
    <w:basedOn w:val="style15"/>
    <w:next w:val="style28"/>
    <w:rPr>
      <w:rFonts w:ascii="Courier New" w:hAnsi="Courier New"/>
      <w:color w:val="244061"/>
      <w:sz w:val="18"/>
      <w:szCs w:val="24"/>
      <w:lang w:bidi="ar-SA" w:eastAsia="de-DE" w:val="de-DE"/>
    </w:rPr>
  </w:style>
  <w:style w:styleId="style29" w:type="character">
    <w:name w:val="Header Char"/>
    <w:basedOn w:val="style15"/>
    <w:next w:val="style29"/>
    <w:rPr>
      <w:rFonts w:ascii="Verdana" w:hAnsi="Verdana"/>
      <w:sz w:val="18"/>
      <w:szCs w:val="24"/>
    </w:rPr>
  </w:style>
  <w:style w:styleId="style30" w:type="character">
    <w:name w:val="Bodytext Char"/>
    <w:basedOn w:val="style15"/>
    <w:next w:val="style30"/>
    <w:rPr>
      <w:sz w:val="22"/>
      <w:lang w:eastAsia="sv-SE" w:val="en-GB"/>
    </w:rPr>
  </w:style>
  <w:style w:styleId="style31" w:type="character">
    <w:name w:val="Visited Internet Link"/>
    <w:next w:val="style31"/>
    <w:rPr>
      <w:color w:val="800000"/>
      <w:u w:val="single"/>
      <w:lang w:bidi="en-US" w:eastAsia="en-US" w:val="en-US"/>
    </w:rPr>
  </w:style>
  <w:style w:styleId="style32" w:type="character">
    <w:name w:val="ListLabel 1"/>
    <w:next w:val="style32"/>
    <w:rPr>
      <w:b/>
      <w:i w:val="false"/>
      <w:sz w:val="18"/>
      <w:szCs w:val="18"/>
    </w:rPr>
  </w:style>
  <w:style w:styleId="style33" w:type="character">
    <w:name w:val="ListLabel 2"/>
    <w:next w:val="style33"/>
    <w:rPr>
      <w:b w:val="false"/>
      <w:i w:val="false"/>
      <w:sz w:val="18"/>
    </w:rPr>
  </w:style>
  <w:style w:styleId="style34" w:type="character">
    <w:name w:val="ListLabel 3"/>
    <w:next w:val="style34"/>
    <w:rPr>
      <w:rFonts w:cs="Courier New"/>
    </w:rPr>
  </w:style>
  <w:style w:styleId="style35" w:type="character">
    <w:name w:val="ListLabel 4"/>
    <w:next w:val="style35"/>
    <w:rPr>
      <w:rFonts w:cs="Bookshelf Symbol 7"/>
    </w:rPr>
  </w:style>
  <w:style w:styleId="style36" w:type="character">
    <w:name w:val="ListLabel 5"/>
    <w:next w:val="style36"/>
    <w:rPr>
      <w:rFonts w:cs="Symbol"/>
    </w:rPr>
  </w:style>
  <w:style w:styleId="style37" w:type="character">
    <w:name w:val="Index Link"/>
    <w:next w:val="style37"/>
    <w:rPr/>
  </w:style>
  <w:style w:styleId="style38" w:type="paragraph">
    <w:name w:val="Heading"/>
    <w:basedOn w:val="style0"/>
    <w:next w:val="style39"/>
    <w:pPr>
      <w:keepNext/>
      <w:spacing w:after="120" w:before="240"/>
    </w:pPr>
    <w:rPr>
      <w:rFonts w:ascii="Liberation Sans" w:cs="FreeSans" w:eastAsia="Droid Sans Fallback" w:hAnsi="Liberation Sans"/>
      <w:sz w:val="28"/>
      <w:szCs w:val="28"/>
    </w:rPr>
  </w:style>
  <w:style w:styleId="style39" w:type="paragraph">
    <w:name w:val="Text body"/>
    <w:basedOn w:val="style0"/>
    <w:next w:val="style39"/>
    <w:pPr>
      <w:tabs>
        <w:tab w:leader="none" w:pos="709" w:val="left"/>
      </w:tabs>
      <w:suppressAutoHyphens w:val="true"/>
      <w:spacing w:after="120" w:before="0"/>
      <w:textAlignment w:val="baseline"/>
    </w:pPr>
    <w:rPr>
      <w:color w:val="00000A"/>
    </w:rPr>
  </w:style>
  <w:style w:styleId="style40" w:type="paragraph">
    <w:name w:val="List"/>
    <w:basedOn w:val="style39"/>
    <w:next w:val="style40"/>
    <w:pPr/>
    <w:rPr>
      <w:rFonts w:cs="FreeSans"/>
    </w:rPr>
  </w:style>
  <w:style w:styleId="style41" w:type="paragraph">
    <w:name w:val="Caption"/>
    <w:basedOn w:val="style0"/>
    <w:next w:val="style41"/>
    <w:pPr>
      <w:suppressLineNumbers/>
      <w:spacing w:after="120" w:before="120"/>
    </w:pPr>
    <w:rPr>
      <w:rFonts w:cs="FreeSans"/>
      <w:i/>
      <w:iCs/>
      <w:sz w:val="24"/>
      <w:szCs w:val="24"/>
    </w:rPr>
  </w:style>
  <w:style w:styleId="style42" w:type="paragraph">
    <w:name w:val="Index"/>
    <w:basedOn w:val="style0"/>
    <w:next w:val="style42"/>
    <w:pPr>
      <w:suppressLineNumbers/>
    </w:pPr>
    <w:rPr>
      <w:rFonts w:cs="FreeSans"/>
    </w:rPr>
  </w:style>
  <w:style w:styleId="style43" w:type="paragraph">
    <w:name w:val="Footer"/>
    <w:basedOn w:val="style0"/>
    <w:next w:val="style43"/>
    <w:pPr>
      <w:suppressLineNumbers/>
      <w:tabs>
        <w:tab w:leader="none" w:pos="4536" w:val="center"/>
        <w:tab w:leader="none" w:pos="9072" w:val="right"/>
      </w:tabs>
    </w:pPr>
    <w:rPr>
      <w:b/>
      <w:color w:val="808080"/>
      <w:sz w:val="14"/>
    </w:rPr>
  </w:style>
  <w:style w:styleId="style44" w:type="paragraph">
    <w:name w:val="Document Map"/>
    <w:basedOn w:val="style0"/>
    <w:next w:val="style44"/>
    <w:pPr>
      <w:shd w:fill="000080" w:val="clear"/>
    </w:pPr>
    <w:rPr>
      <w:rFonts w:ascii="Tahoma" w:cs="Tahoma" w:hAnsi="Tahoma"/>
    </w:rPr>
  </w:style>
  <w:style w:styleId="style45" w:type="paragraph">
    <w:name w:val="liste"/>
    <w:basedOn w:val="style0"/>
    <w:next w:val="style45"/>
    <w:pPr>
      <w:spacing w:after="120" w:before="120" w:line="220" w:lineRule="exact"/>
      <w:ind w:hanging="340" w:left="680" w:right="0"/>
    </w:pPr>
    <w:rPr/>
  </w:style>
  <w:style w:styleId="style46" w:type="paragraph">
    <w:name w:val="Standard fett"/>
    <w:basedOn w:val="style0"/>
    <w:next w:val="style46"/>
    <w:pPr>
      <w:spacing w:after="40" w:before="40"/>
    </w:pPr>
    <w:rPr>
      <w:b/>
      <w:bCs/>
      <w:color w:val="333333"/>
    </w:rPr>
  </w:style>
  <w:style w:styleId="style47" w:type="paragraph">
    <w:name w:val="Balloon Text"/>
    <w:basedOn w:val="style0"/>
    <w:next w:val="style47"/>
    <w:pPr/>
    <w:rPr>
      <w:rFonts w:ascii="Tahoma" w:cs="Tahoma" w:hAnsi="Tahoma"/>
      <w:sz w:val="16"/>
      <w:szCs w:val="16"/>
    </w:rPr>
  </w:style>
  <w:style w:styleId="style48" w:type="paragraph">
    <w:name w:val="Header Deckblatt"/>
    <w:basedOn w:val="style9"/>
    <w:next w:val="style48"/>
    <w:pPr>
      <w:spacing w:after="60" w:before="3840" w:line="700" w:lineRule="exact"/>
      <w:ind w:hanging="0" w:left="0" w:right="0"/>
      <w:jc w:val="right"/>
      <w:outlineLvl w:val="9"/>
    </w:pPr>
    <w:rPr>
      <w:color w:val="999999"/>
      <w:sz w:val="48"/>
      <w:lang w:val="en-GB"/>
    </w:rPr>
  </w:style>
  <w:style w:styleId="style49" w:type="paragraph">
    <w:name w:val="Überschrift"/>
    <w:basedOn w:val="style1"/>
    <w:next w:val="style49"/>
    <w:pPr/>
    <w:rPr/>
  </w:style>
  <w:style w:styleId="style50" w:type="paragraph">
    <w:name w:val="Contents 1"/>
    <w:basedOn w:val="style0"/>
    <w:next w:val="style50"/>
    <w:pPr>
      <w:tabs>
        <w:tab w:leader="dot" w:pos="9972" w:val="right"/>
      </w:tabs>
      <w:ind w:hanging="0" w:left="0" w:right="0"/>
    </w:pPr>
    <w:rPr>
      <w:sz w:val="16"/>
      <w:szCs w:val="16"/>
    </w:rPr>
  </w:style>
  <w:style w:styleId="style51" w:type="paragraph">
    <w:name w:val="Contents 2"/>
    <w:basedOn w:val="style0"/>
    <w:next w:val="style51"/>
    <w:pPr>
      <w:tabs>
        <w:tab w:leader="dot" w:pos="9889" w:val="right"/>
      </w:tabs>
      <w:ind w:hanging="0" w:left="200" w:right="0"/>
    </w:pPr>
    <w:rPr>
      <w:sz w:val="16"/>
    </w:rPr>
  </w:style>
  <w:style w:styleId="style52" w:type="paragraph">
    <w:name w:val="Contents 3"/>
    <w:basedOn w:val="style0"/>
    <w:next w:val="style52"/>
    <w:pPr>
      <w:tabs>
        <w:tab w:leader="dot" w:pos="9806" w:val="right"/>
      </w:tabs>
      <w:ind w:hanging="0" w:left="400" w:right="0"/>
    </w:pPr>
    <w:rPr/>
  </w:style>
  <w:style w:styleId="style53" w:type="paragraph">
    <w:name w:val="Klassifizierung"/>
    <w:basedOn w:val="style0"/>
    <w:next w:val="style53"/>
    <w:pPr/>
    <w:rPr>
      <w:b/>
      <w:color w:val="FF0000"/>
      <w:sz w:val="24"/>
    </w:rPr>
  </w:style>
  <w:style w:styleId="style54" w:type="paragraph">
    <w:name w:val="ToDo"/>
    <w:basedOn w:val="style0"/>
    <w:next w:val="style54"/>
    <w:pPr/>
    <w:rPr>
      <w:b/>
      <w:color w:val="009900"/>
    </w:rPr>
  </w:style>
  <w:style w:styleId="style55" w:type="paragraph">
    <w:name w:val="Zu Klären"/>
    <w:basedOn w:val="style0"/>
    <w:next w:val="style55"/>
    <w:pPr/>
    <w:rPr>
      <w:b/>
      <w:color w:val="CC0000"/>
    </w:rPr>
  </w:style>
  <w:style w:styleId="style56" w:type="paragraph">
    <w:name w:val="Headline"/>
    <w:basedOn w:val="style1"/>
    <w:next w:val="style56"/>
    <w:pPr>
      <w:tabs/>
    </w:pPr>
    <w:rPr>
      <w:color w:val="00000A"/>
    </w:rPr>
  </w:style>
  <w:style w:styleId="style57" w:type="paragraph">
    <w:name w:val="Nummerierung"/>
    <w:basedOn w:val="style0"/>
    <w:next w:val="style57"/>
    <w:pPr>
      <w:numPr>
        <w:ilvl w:val="0"/>
        <w:numId w:val="1"/>
      </w:numPr>
      <w:spacing w:after="0" w:before="40"/>
      <w:ind w:hanging="357" w:left="714" w:right="0"/>
      <w:outlineLvl w:val="0"/>
    </w:pPr>
    <w:rPr/>
  </w:style>
  <w:style w:styleId="style58" w:type="paragraph">
    <w:name w:val="Bitte bearbeiten"/>
    <w:basedOn w:val="style0"/>
    <w:next w:val="style58"/>
    <w:pPr>
      <w:shd w:fill="FFFF00" w:val="clear"/>
    </w:pPr>
    <w:rPr>
      <w:u w:val="none"/>
    </w:rPr>
  </w:style>
  <w:style w:styleId="style59" w:type="paragraph">
    <w:name w:val="Eingabefelder und Navigationsschritte"/>
    <w:basedOn w:val="style0"/>
    <w:next w:val="style59"/>
    <w:pPr/>
    <w:rPr>
      <w:b/>
    </w:rPr>
  </w:style>
  <w:style w:styleId="style60" w:type="paragraph">
    <w:name w:val="Benutzereingaben und Code"/>
    <w:basedOn w:val="style0"/>
    <w:next w:val="style60"/>
    <w:pPr>
      <w:shd w:fill="DEDEDE" w:val="clear"/>
    </w:pPr>
    <w:rPr>
      <w:rFonts w:ascii="Courier New" w:hAnsi="Courier New"/>
      <w:color w:val="244061"/>
    </w:rPr>
  </w:style>
  <w:style w:styleId="style61" w:type="paragraph">
    <w:name w:val="Dateinamen und Pfade"/>
    <w:basedOn w:val="style0"/>
    <w:next w:val="style61"/>
    <w:pPr/>
    <w:rPr>
      <w:b/>
      <w:i/>
      <w:color w:val="404040"/>
    </w:rPr>
  </w:style>
  <w:style w:styleId="style62" w:type="paragraph">
    <w:name w:val="Warnungen"/>
    <w:basedOn w:val="style0"/>
    <w:next w:val="style62"/>
    <w:pPr/>
    <w:rPr>
      <w:b/>
      <w:color w:val="DB0B0B"/>
    </w:rPr>
  </w:style>
  <w:style w:styleId="style63" w:type="paragraph">
    <w:name w:val="Header"/>
    <w:basedOn w:val="style0"/>
    <w:next w:val="style63"/>
    <w:pPr>
      <w:suppressLineNumbers/>
      <w:tabs>
        <w:tab w:leader="none" w:pos="4536" w:val="center"/>
        <w:tab w:leader="none" w:pos="9072" w:val="right"/>
      </w:tabs>
    </w:pPr>
    <w:rPr/>
  </w:style>
  <w:style w:styleId="style64" w:type="paragraph">
    <w:name w:val="Bodytext"/>
    <w:basedOn w:val="style0"/>
    <w:next w:val="style64"/>
    <w:pPr>
      <w:tabs>
        <w:tab w:leader="none" w:pos="720" w:val="left"/>
        <w:tab w:leader="none" w:pos="1440" w:val="left"/>
        <w:tab w:leader="none" w:pos="2160" w:val="left"/>
        <w:tab w:leader="none" w:pos="2880" w:val="left"/>
        <w:tab w:leader="none" w:pos="3600" w:val="left"/>
        <w:tab w:leader="none" w:pos="4321" w:val="left"/>
        <w:tab w:leader="none" w:pos="5041" w:val="left"/>
        <w:tab w:leader="none" w:pos="5761" w:val="left"/>
        <w:tab w:leader="none" w:pos="6481" w:val="left"/>
      </w:tabs>
      <w:spacing w:after="80" w:before="40" w:line="100" w:lineRule="atLeast"/>
    </w:pPr>
    <w:rPr>
      <w:rFonts w:ascii="Times New Roman" w:hAnsi="Times New Roman"/>
      <w:sz w:val="22"/>
      <w:szCs w:val="20"/>
      <w:lang w:eastAsia="sv-SE" w:val="en-GB"/>
    </w:rPr>
  </w:style>
  <w:style w:styleId="style65" w:type="paragraph">
    <w:name w:val="HeadingTitle"/>
    <w:basedOn w:val="style0"/>
    <w:next w:val="style65"/>
    <w:pPr>
      <w:spacing w:line="100" w:lineRule="atLeast"/>
    </w:pPr>
    <w:rPr>
      <w:rFonts w:ascii="Arial" w:cs="Arial" w:hAnsi="Arial"/>
      <w:b/>
      <w:sz w:val="24"/>
      <w:lang w:eastAsia="sv-SE" w:val="en-US"/>
    </w:rPr>
  </w:style>
  <w:style w:styleId="style66" w:type="paragraph">
    <w:name w:val="HeadingNumber"/>
    <w:basedOn w:val="style0"/>
    <w:next w:val="style66"/>
    <w:pPr>
      <w:spacing w:after="0" w:before="60" w:line="100" w:lineRule="atLeast"/>
    </w:pPr>
    <w:rPr>
      <w:rFonts w:ascii="Arial" w:cs="Arial" w:hAnsi="Arial"/>
      <w:sz w:val="20"/>
      <w:szCs w:val="20"/>
      <w:lang w:eastAsia="sv-SE" w:val="en-US"/>
    </w:rPr>
  </w:style>
  <w:style w:styleId="style67" w:type="paragraph">
    <w:name w:val="HeadingRevision"/>
    <w:basedOn w:val="style0"/>
    <w:next w:val="style67"/>
    <w:pPr>
      <w:spacing w:after="0" w:before="60" w:line="100" w:lineRule="atLeast"/>
    </w:pPr>
    <w:rPr>
      <w:rFonts w:ascii="Arial" w:cs="Arial" w:hAnsi="Arial"/>
      <w:sz w:val="20"/>
      <w:szCs w:val="20"/>
      <w:lang w:eastAsia="sv-SE" w:val="en-US"/>
    </w:rPr>
  </w:style>
  <w:style w:styleId="style68" w:type="paragraph">
    <w:name w:val="HeadingStatus"/>
    <w:basedOn w:val="style0"/>
    <w:next w:val="style68"/>
    <w:pPr>
      <w:spacing w:after="0" w:before="60" w:line="100" w:lineRule="atLeast"/>
    </w:pPr>
    <w:rPr>
      <w:rFonts w:ascii="Arial" w:cs="Arial" w:hAnsi="Arial"/>
      <w:sz w:val="20"/>
      <w:szCs w:val="20"/>
      <w:lang w:eastAsia="sv-SE" w:val="en-US"/>
    </w:rPr>
  </w:style>
  <w:style w:styleId="style69" w:type="paragraph">
    <w:name w:val="HeadingClassification"/>
    <w:basedOn w:val="style0"/>
    <w:next w:val="style69"/>
    <w:pPr>
      <w:spacing w:after="0" w:before="60" w:line="100" w:lineRule="atLeast"/>
    </w:pPr>
    <w:rPr>
      <w:rFonts w:ascii="Arial" w:cs="Arial" w:hAnsi="Arial"/>
      <w:sz w:val="20"/>
      <w:szCs w:val="20"/>
      <w:lang w:eastAsia="sv-SE" w:val="en-US"/>
    </w:rPr>
  </w:style>
  <w:style w:styleId="style70" w:type="paragraph">
    <w:name w:val="Style 6 pt Before:  3 pt"/>
    <w:basedOn w:val="style0"/>
    <w:next w:val="style70"/>
    <w:pPr>
      <w:spacing w:after="0" w:before="60" w:line="100" w:lineRule="atLeast"/>
    </w:pPr>
    <w:rPr>
      <w:rFonts w:ascii="Arial" w:hAnsi="Arial"/>
      <w:sz w:val="12"/>
      <w:szCs w:val="20"/>
      <w:lang w:eastAsia="sv-SE" w:val="en-GB"/>
    </w:rPr>
  </w:style>
  <w:style w:styleId="style71" w:type="paragraph">
    <w:name w:val="Contents Heading"/>
    <w:basedOn w:val="style1"/>
    <w:next w:val="style71"/>
    <w:pPr>
      <w:keepLines/>
      <w:suppressLineNumbers/>
      <w:tabs/>
      <w:spacing w:after="0" w:before="480" w:line="276" w:lineRule="auto"/>
    </w:pPr>
    <w:rPr>
      <w:rFonts w:ascii="Cambria" w:cs="" w:hAnsi="Cambria"/>
      <w:b/>
      <w:bCs/>
      <w:color w:val="365F91"/>
      <w:sz w:val="28"/>
      <w:szCs w:val="28"/>
      <w:lang w:eastAsia="en-US" w:val="de-DE"/>
    </w:rPr>
  </w:style>
  <w:style w:styleId="style72" w:type="paragraph">
    <w:name w:val="TableHead"/>
    <w:next w:val="style72"/>
    <w:pPr>
      <w:keepNext/>
      <w:widowControl w:val="false"/>
      <w:tabs>
        <w:tab w:leader="none" w:pos="709" w:val="left"/>
      </w:tabs>
      <w:suppressAutoHyphens w:val="true"/>
    </w:pPr>
    <w:rPr>
      <w:rFonts w:ascii="Times New Roman" w:cs="Times New Roman" w:eastAsia="Times New Roman" w:hAnsi="Times New Roman"/>
      <w:b/>
      <w:color w:val="auto"/>
      <w:sz w:val="20"/>
      <w:szCs w:val="20"/>
      <w:lang w:bidi="ar-SA" w:eastAsia="de-DE" w:val="de-DE"/>
    </w:rPr>
  </w:style>
  <w:style w:styleId="style73" w:type="paragraph">
    <w:name w:val="TableText"/>
    <w:basedOn w:val="style64"/>
    <w:next w:val="style73"/>
    <w:pPr>
      <w:keepLines/>
      <w:tabs>
        <w:tab w:leader="none" w:pos="284" w:val="left"/>
        <w:tab w:leader="none" w:pos="567" w:val="left"/>
      </w:tabs>
      <w:overflowPunct w:val="true"/>
      <w:spacing w:after="20" w:before="20"/>
      <w:textAlignment w:val="baseline"/>
    </w:pPr>
    <w:rPr/>
  </w:style>
  <w:style w:styleId="style74" w:type="paragraph">
    <w:name w:val="Head NoNumTOC"/>
    <w:basedOn w:val="style0"/>
    <w:next w:val="style74"/>
    <w:pPr>
      <w:keepNext/>
      <w:tabs>
        <w:tab w:leader="none" w:pos="851" w:val="left"/>
        <w:tab w:leader="none" w:pos="1021" w:val="left"/>
      </w:tabs>
      <w:spacing w:after="360" w:before="240" w:line="100" w:lineRule="atLeast"/>
    </w:pPr>
    <w:rPr>
      <w:rFonts w:ascii="Arial" w:hAnsi="Arial"/>
      <w:b/>
      <w:sz w:val="20"/>
      <w:szCs w:val="20"/>
      <w:lang w:eastAsia="sv-SE" w:val="en-GB"/>
    </w:rPr>
  </w:style>
  <w:style w:styleId="style75" w:type="paragraph">
    <w:name w:val="Footnote"/>
    <w:basedOn w:val="style0"/>
    <w:next w:val="style75"/>
    <w:pPr>
      <w:suppressLineNumbers/>
      <w:spacing w:line="100" w:lineRule="atLeast"/>
      <w:ind w:hanging="283" w:left="283" w:right="0"/>
    </w:pPr>
    <w:rPr>
      <w:rFonts w:ascii="Times New Roman" w:hAnsi="Times New Roman"/>
      <w:sz w:val="20"/>
      <w:szCs w:val="20"/>
      <w:lang w:val="en-US"/>
    </w:rPr>
  </w:style>
  <w:style w:styleId="style76" w:type="paragraph">
    <w:name w:val="List Paragraph"/>
    <w:basedOn w:val="style0"/>
    <w:next w:val="style76"/>
    <w:pPr>
      <w:ind w:hanging="0" w:left="720" w:right="0"/>
    </w:pPr>
    <w:rPr/>
  </w:style>
  <w:style w:styleId="style77" w:type="paragraph">
    <w:name w:val="caption"/>
    <w:basedOn w:val="style0"/>
    <w:next w:val="style77"/>
    <w:pPr>
      <w:spacing w:after="200" w:before="0" w:line="100" w:lineRule="atLeast"/>
    </w:pPr>
    <w:rPr>
      <w:b/>
      <w:bCs/>
      <w:color w:val="4F81BD"/>
      <w:szCs w:val="18"/>
    </w:rPr>
  </w:style>
  <w:style w:styleId="style78" w:type="paragraph">
    <w:name w:val="Table Contents"/>
    <w:basedOn w:val="style0"/>
    <w:next w:val="style78"/>
    <w:pPr>
      <w:suppressLineNumbers/>
      <w:suppressAutoHyphens w:val="true"/>
    </w:pPr>
    <w:rPr>
      <w:color w:val="00000A"/>
    </w:rPr>
  </w:style>
  <w:style w:styleId="style79" w:type="paragraph">
    <w:name w:val="Default Style"/>
    <w:next w:val="style79"/>
    <w:pPr>
      <w:widowControl w:val="false"/>
      <w:tabs>
        <w:tab w:leader="none" w:pos="709" w:val="left"/>
      </w:tabs>
      <w:suppressAutoHyphens w:val="true"/>
    </w:pPr>
    <w:rPr>
      <w:rFonts w:ascii="Times New Roman" w:cs="Times New Roman" w:eastAsia="Times New Roman" w:hAnsi="Times New Roman"/>
      <w:color w:val="auto"/>
      <w:sz w:val="24"/>
      <w:szCs w:val="24"/>
      <w:lang w:bidi="hi-IN" w:eastAsia="zh-CN" w:val="en-US"/>
    </w:rPr>
  </w:style>
  <w:style w:styleId="style80" w:type="paragraph">
    <w:name w:val="Text Body"/>
    <w:basedOn w:val="style79"/>
    <w:next w:val="style80"/>
    <w:pPr>
      <w:widowControl/>
      <w:spacing w:after="120" w:before="0"/>
    </w:pPr>
    <w:rPr>
      <w:lang w:bidi="ar-SA" w:eastAsia="de-DE"/>
    </w:rPr>
  </w:style>
  <w:style w:styleId="style81" w:type="paragraph">
    <w:name w:val="Frame contents"/>
    <w:basedOn w:val="style39"/>
    <w:next w:val="style8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ec.europa.eu/taxation_customs/resources/documents/taxation/vat/how_vat_works/telecom/explanatory_notes_2015_en.pdf" TargetMode="External"/><Relationship Id="rId7" Type="http://schemas.openxmlformats.org/officeDocument/2006/relationships/hyperlink" Target="http://ec.europa.eu/taxation_customs/resources/documents/taxation/vat/how_vat_works/telecom/explanatory_notes_2015_en.pdf" TargetMode="External"/><Relationship Id="rId8" Type="http://schemas.openxmlformats.org/officeDocument/2006/relationships/hyperlink" Target="http://www.oxid-esales.com/" TargetMode="External"/><Relationship Id="rId9" Type="http://schemas.openxmlformats.org/officeDocument/2006/relationships/hyperlink" Target="mailto:info@oxid-esales.com"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numbering" Target="numbering.xml"/><Relationship Id="rId24" Type="http://schemas.openxmlformats.org/officeDocument/2006/relationships/fontTable" Target="fontTable.xml"/>
</Relationships>
</file>

<file path=word/_rels/footer1.xml.rels><?xml version="1.0" encoding="UTF-8"?>
<Relationships xmlns="http://schemas.openxmlformats.org/package/2006/relationships"><Relationship Id="rId1" Type="http://schemas.openxmlformats.org/officeDocument/2006/relationships/hyperlink" Target="mailto:info@oxid-esales.com"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1232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2012-09-27T15:40:00.00Z</dcterms:created>
  <dc:creator>Daniela Baumgartner</dc:creator>
  <cp:lastModifiedBy>Linas</cp:lastModifiedBy>
  <cp:lastPrinted>2007-03-21T11:11:00.00Z</cp:lastPrinted>
  <dcterms:modified xsi:type="dcterms:W3CDTF">2014-10-27T11:00:00.00Z</dcterms:modified>
  <cp:revision>153</cp:revision>
</cp:coreProperties>
</file>