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2C6FE" w14:textId="77777777" w:rsidR="00DA0314" w:rsidRDefault="00000000">
      <w:pPr>
        <w:spacing w:before="900" w:after="160"/>
        <w:jc w:val="center"/>
      </w:pPr>
      <w:r>
        <w:rPr>
          <w:b/>
          <w:bCs/>
          <w:color w:val="1F4E79"/>
          <w:sz w:val="38"/>
          <w:szCs w:val="38"/>
        </w:rPr>
        <w:t>Monetary Policy Transmission in Poland:</w:t>
      </w:r>
    </w:p>
    <w:p w14:paraId="0758E168" w14:textId="77777777" w:rsidR="00DA0314" w:rsidRDefault="00000000">
      <w:pPr>
        <w:spacing w:after="160"/>
        <w:jc w:val="center"/>
      </w:pPr>
      <w:r>
        <w:rPr>
          <w:b/>
          <w:bCs/>
          <w:color w:val="1F4E79"/>
          <w:sz w:val="38"/>
          <w:szCs w:val="38"/>
        </w:rPr>
        <w:t>A Bayesian VAR Analysis with Identification</w:t>
      </w:r>
    </w:p>
    <w:p w14:paraId="77CC123E" w14:textId="77777777" w:rsidR="00DA0314" w:rsidRDefault="00000000">
      <w:pPr>
        <w:spacing w:after="160"/>
        <w:jc w:val="center"/>
      </w:pPr>
      <w:r>
        <w:rPr>
          <w:b/>
          <w:bCs/>
          <w:color w:val="1F4E79"/>
          <w:sz w:val="38"/>
          <w:szCs w:val="38"/>
        </w:rPr>
        <w:t>and Robustness Analysis, 2010–2025</w:t>
      </w:r>
    </w:p>
    <w:p w14:paraId="6AE4CEF4" w14:textId="77777777" w:rsidR="00DA0314" w:rsidRDefault="00DA0314">
      <w:pPr>
        <w:spacing w:after="80"/>
      </w:pPr>
    </w:p>
    <w:p w14:paraId="66E45F59" w14:textId="77777777" w:rsidR="00DA0314" w:rsidRDefault="00000000">
      <w:pPr>
        <w:spacing w:after="120"/>
        <w:jc w:val="center"/>
      </w:pPr>
      <w:r>
        <w:rPr>
          <w:color w:val="2E75B6"/>
          <w:sz w:val="24"/>
          <w:szCs w:val="24"/>
        </w:rPr>
        <w:t>Bayesian Time-Series Econometrics — WNE, University of Warsaw</w:t>
      </w:r>
    </w:p>
    <w:p w14:paraId="622ACB25" w14:textId="77777777" w:rsidR="00DA0314" w:rsidRDefault="00000000">
      <w:pPr>
        <w:spacing w:after="80"/>
        <w:jc w:val="center"/>
      </w:pPr>
      <w:r>
        <w:rPr>
          <w:color w:val="595959"/>
        </w:rPr>
        <w:t>Instructor: Prof. Andrzej Kocięcki</w:t>
      </w:r>
    </w:p>
    <w:p w14:paraId="1EC04746" w14:textId="170F5F7A" w:rsidR="00DA0314" w:rsidRDefault="00000000">
      <w:pPr>
        <w:spacing w:after="80"/>
        <w:jc w:val="center"/>
      </w:pPr>
      <w:r>
        <w:rPr>
          <w:color w:val="595959"/>
        </w:rPr>
        <w:t>Author: Otajon Yuldashev</w:t>
      </w:r>
      <w:r w:rsidR="00D21EA7">
        <w:rPr>
          <w:color w:val="595959"/>
        </w:rPr>
        <w:t xml:space="preserve"> 473457</w:t>
      </w:r>
    </w:p>
    <w:p w14:paraId="517B136F" w14:textId="77777777" w:rsidR="00DA0314" w:rsidRDefault="00000000">
      <w:pPr>
        <w:spacing w:after="80"/>
        <w:jc w:val="center"/>
      </w:pPr>
      <w:r>
        <w:rPr>
          <w:color w:val="595959"/>
        </w:rPr>
        <w:t>Warsaw, May 2026</w:t>
      </w:r>
    </w:p>
    <w:p w14:paraId="79A55C57" w14:textId="77777777" w:rsidR="00DA0314" w:rsidRDefault="00DA0314">
      <w:pPr>
        <w:pBdr>
          <w:bottom w:val="single" w:sz="6" w:space="1" w:color="2E75B6"/>
        </w:pBdr>
        <w:spacing w:after="120"/>
      </w:pPr>
    </w:p>
    <w:p w14:paraId="57D47FB2" w14:textId="77777777" w:rsidR="00DA0314" w:rsidRDefault="00DA0314">
      <w:pPr>
        <w:spacing w:after="160"/>
      </w:pPr>
    </w:p>
    <w:p w14:paraId="0E33C6E1" w14:textId="77777777" w:rsidR="00DA0314" w:rsidRDefault="00000000">
      <w:r>
        <w:br w:type="page"/>
      </w:r>
    </w:p>
    <w:p w14:paraId="736158D6" w14:textId="77777777" w:rsidR="00DA0314" w:rsidRDefault="00000000">
      <w:pPr>
        <w:pStyle w:val="Heading1"/>
      </w:pPr>
      <w:r>
        <w:lastRenderedPageBreak/>
        <w:t>Data Sources</w:t>
      </w:r>
    </w:p>
    <w:p w14:paraId="789A054C" w14: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w14:paraId="47CA22AE" w14: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w14:paraId="30A1409B" w14: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w14:paraId="35385A84" w14:textId="77777777" w:rsidR="00DA0314" w:rsidRDefault="00000000">
      <w:pPr>
        <w:spacing w:after="100"/>
        <w:jc w:val="both"/>
      </w:pPr>
      <w:r>
        <w:rPr>
          <w:b/>
          <w:bCs/>
          <w:color w:val="1A1A1A"/>
        </w:rPr>
        <w:t xml:space="preserve">Sample: </w:t>
      </w:r>
      <w:r>
        <w:rPr>
          <w:color w:val="595959"/>
        </w:rPr>
        <w:t>January 2010 – March 2025 (183 monthly observations, no missing values).</w:t>
      </w:r>
    </w:p>
    <w:p w14:paraId="4DF55C7C" w14:textId="77777777" w:rsidR="00DA0314" w:rsidRDefault="00DA0314">
      <w:pPr>
        <w:spacing w:after="80"/>
      </w:pPr>
    </w:p>
    <w:p w14:paraId="58E9D56A" w14:textId="77777777" w:rsidR="00DA0314" w:rsidRDefault="00000000">
      <w:r>
        <w:br w:type="page"/>
      </w:r>
    </w:p>
    <w:p w14:paraId="1DAD3194" w14:textId="77777777" w:rsidR="00DA0314" w:rsidRDefault="00000000">
      <w:pPr>
        <w:pStyle w:val="Heading1"/>
      </w:pPr>
      <w:r>
        <w:lastRenderedPageBreak/>
        <w:t>Abstract</w:t>
      </w:r>
    </w:p>
    <w:p w14:paraId="1853CE17" w14: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w14:paraId="6215FB3B" w14:textId="77777777" w:rsidR="00DA0314" w:rsidRDefault="00DA0314">
      <w:pPr>
        <w:spacing w:after="80"/>
      </w:pPr>
    </w:p>
    <w:p w14:paraId="0053ED17" w14:textId="77777777" w:rsidR="00DA0314" w:rsidRDefault="00000000">
      <w:r>
        <w:br w:type="page"/>
      </w:r>
    </w:p>
    <w:p w14:paraId="2EBB38FD" w14:textId="77777777" w:rsidR="00DA0314" w:rsidRDefault="00000000">
      <w:pPr>
        <w:pStyle w:val="Heading1"/>
      </w:pPr>
      <w:r>
        <w:lastRenderedPageBreak/>
        <w:t>1. Introduction</w:t>
      </w:r>
    </w:p>
    <w:p w14:paraId="5F860D23" w14: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w14:paraId="34B2EE07"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(183 observations) is moderate relative to the number of dynamic parameters and covariance terms, all three series exhibit near-unit-root </w:t>
      </w:r>
      <w:proofErr w:type="spellStart"/>
      <w:r>
        <w:rPr>
          <w:color w:val="595959"/>
        </w:rPr>
        <w:t>behaviour</w:t>
      </w:r>
      <w:proofErr w:type="spellEnd"/>
      <w:r>
        <w:rPr>
          <w:color w:val="595959"/>
        </w:rPr>
        <w:t>, and the extreme 2021–2023 episode creates high-leverage observations.</w:t>
      </w:r>
    </w:p>
    <w:p w14:paraId="4F62551D" w14: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w14:paraId="0A6819D2" w14:textId="77777777" w:rsidR="00DA0314" w:rsidRDefault="00000000">
      <w:r>
        <w:br w:type="page"/>
      </w:r>
    </w:p>
    <w:p w14:paraId="56B3506C" w14:textId="77777777" w:rsidR="00DA0314" w:rsidRDefault="00000000">
      <w:pPr>
        <w:pStyle w:val="Heading1"/>
      </w:pPr>
      <w:r>
        <w:lastRenderedPageBreak/>
        <w:t>2. Data</w:t>
      </w:r>
    </w:p>
    <w:p w14:paraId="382135D9" w14: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w14:paraId="005D86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D1B8DE9" w14: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52019CE" w14: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B8ADEE8" w14: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9659C7" w14: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7FEE590" w14: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B9769D" w14: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0852CE" w14:textId="77777777" w:rsidR="00DA0314" w:rsidRDefault="00000000">
            <w:r>
              <w:rPr>
                <w:b/>
                <w:bCs/>
                <w:color w:val="1F4E79"/>
                <w:sz w:val="20"/>
                <w:szCs w:val="20"/>
              </w:rPr>
              <w:t>Max</w:t>
            </w:r>
          </w:p>
        </w:tc>
      </w:tr>
      <w:tr w:rsidR="00DA0314" w14:paraId="482EAC8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0351AB" w14: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0CBE9" w14: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B9A1C" w14: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16A9" w14: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64036" w14: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8A4A41" w14: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4F9C5E" w14:textId="77777777" w:rsidR="00DA0314" w:rsidRDefault="00000000">
            <w:pPr>
              <w:jc w:val="right"/>
            </w:pPr>
            <w:r>
              <w:rPr>
                <w:color w:val="595959"/>
                <w:sz w:val="20"/>
                <w:szCs w:val="20"/>
              </w:rPr>
              <w:t>19.233</w:t>
            </w:r>
          </w:p>
        </w:tc>
      </w:tr>
      <w:tr w:rsidR="00DA0314" w14:paraId="170CDF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9E4E00" w14: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3395A" w14: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C2C5A" w14: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E5FDF" w14: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50CC7F" w14: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C1FFD9" w14: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810E42" w14:textId="77777777" w:rsidR="00DA0314" w:rsidRDefault="00000000">
            <w:pPr>
              <w:jc w:val="right"/>
            </w:pPr>
            <w:r>
              <w:rPr>
                <w:color w:val="595959"/>
                <w:sz w:val="20"/>
                <w:szCs w:val="20"/>
              </w:rPr>
              <w:t>6.790</w:t>
            </w:r>
          </w:p>
        </w:tc>
      </w:tr>
      <w:tr w:rsidR="00DA0314" w14:paraId="0B195B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E7366C" w14: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FAFEA" w14: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AC8651" w14: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A990E4" w14: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4EE6" w14: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79FC0" w14: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686C8E" w14:textId="77777777" w:rsidR="00DA0314" w:rsidRDefault="00000000">
            <w:pPr>
              <w:jc w:val="right"/>
            </w:pPr>
            <w:r>
              <w:rPr>
                <w:color w:val="595959"/>
                <w:sz w:val="20"/>
                <w:szCs w:val="20"/>
              </w:rPr>
              <w:t>4.804</w:t>
            </w:r>
          </w:p>
        </w:tc>
      </w:tr>
    </w:tbl>
    <w:p w14:paraId="66D173E3" w14:textId="77777777" w:rsidR="00DA0314" w:rsidRDefault="00000000">
      <w:pPr>
        <w:spacing w:after="180"/>
        <w:jc w:val="center"/>
      </w:pPr>
      <w:r>
        <w:rPr>
          <w:color w:val="595959"/>
        </w:rPr>
        <w:t>Table 1: Descriptive statistics (N=183). From actual console output.</w:t>
      </w:r>
    </w:p>
    <w:p w14:paraId="0C57CB85" w14:textId="77777777" w:rsidR="00DA0314" w:rsidRDefault="00000000">
      <w:pPr>
        <w:spacing w:before="140" w:after="60"/>
        <w:jc w:val="center"/>
      </w:pPr>
      <w:r>
        <w:rPr>
          <w:noProof/>
        </w:rPr>
        <w:drawing>
          <wp:inline distT="0" distB="0" distL="0" distR="0" wp14:anchorId="1EDB3C71" wp14:editId="5BAA721F">
            <wp:extent cx="59436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00400"/>
                    </a:xfrm>
                    <a:prstGeom prst="rect">
                      <a:avLst/>
                    </a:prstGeom>
                  </pic:spPr>
                </pic:pic>
              </a:graphicData>
            </a:graphic>
          </wp:inline>
        </w:drawing>
      </w:r>
    </w:p>
    <w:p w14:paraId="1F27710E" w14: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w14:paraId="4728E15B" w14: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w14:paraId="17D357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5A2D8A" w14: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C91B391" w14: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CA29081" w14: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38E5BA3" w14: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75E4D97" w14:textId="77777777" w:rsidR="00DA0314" w:rsidRDefault="00000000">
            <w:r>
              <w:rPr>
                <w:b/>
                <w:bCs/>
                <w:color w:val="1F4E79"/>
                <w:sz w:val="20"/>
                <w:szCs w:val="20"/>
              </w:rPr>
              <w:t>H₀ rejected?</w:t>
            </w:r>
          </w:p>
        </w:tc>
      </w:tr>
      <w:tr w:rsidR="00DA0314" w14:paraId="04503A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CBB639" w14: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1A7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B9216E" w14: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445F89" w14: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11FE29" w14:textId="77777777" w:rsidR="00DA0314" w:rsidRDefault="00000000">
            <w:pPr>
              <w:jc w:val="right"/>
            </w:pPr>
            <w:r>
              <w:rPr>
                <w:color w:val="595959"/>
                <w:sz w:val="20"/>
                <w:szCs w:val="20"/>
              </w:rPr>
              <w:t>NO</w:t>
            </w:r>
          </w:p>
        </w:tc>
      </w:tr>
      <w:tr w:rsidR="00DA0314" w14:paraId="05D568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D74414"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5B67C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996E2" w14: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E4885"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11027" w14:textId="77777777" w:rsidR="00DA0314" w:rsidRDefault="00000000">
            <w:pPr>
              <w:jc w:val="right"/>
            </w:pPr>
            <w:r>
              <w:rPr>
                <w:color w:val="595959"/>
                <w:sz w:val="20"/>
                <w:szCs w:val="20"/>
              </w:rPr>
              <w:t>YES</w:t>
            </w:r>
          </w:p>
        </w:tc>
      </w:tr>
      <w:tr w:rsidR="00DA0314" w14:paraId="4545A6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7294397" w14: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2F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FB1EB" w14: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94317" w14: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6F7E1A" w14:textId="77777777" w:rsidR="00DA0314" w:rsidRDefault="00000000">
            <w:pPr>
              <w:jc w:val="right"/>
            </w:pPr>
            <w:r>
              <w:rPr>
                <w:color w:val="595959"/>
                <w:sz w:val="20"/>
                <w:szCs w:val="20"/>
              </w:rPr>
              <w:t>NO</w:t>
            </w:r>
          </w:p>
        </w:tc>
      </w:tr>
      <w:tr w:rsidR="00DA0314" w14:paraId="038BE4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1ED955"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44713"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A7A2C1" w14: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BB3CE"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E30A" w14:textId="77777777" w:rsidR="00DA0314" w:rsidRDefault="00000000">
            <w:pPr>
              <w:jc w:val="right"/>
            </w:pPr>
            <w:r>
              <w:rPr>
                <w:color w:val="595959"/>
                <w:sz w:val="20"/>
                <w:szCs w:val="20"/>
              </w:rPr>
              <w:t>YES</w:t>
            </w:r>
          </w:p>
        </w:tc>
      </w:tr>
      <w:tr w:rsidR="00DA0314" w14:paraId="375E1D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C9011A" w14: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3C01AF"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97C1B" w14: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BAD001" w14: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A990B" w14:textId="77777777" w:rsidR="00DA0314" w:rsidRDefault="00000000">
            <w:pPr>
              <w:jc w:val="right"/>
            </w:pPr>
            <w:r>
              <w:rPr>
                <w:color w:val="595959"/>
                <w:sz w:val="20"/>
                <w:szCs w:val="20"/>
              </w:rPr>
              <w:t>NO</w:t>
            </w:r>
          </w:p>
        </w:tc>
      </w:tr>
      <w:tr w:rsidR="00DA0314" w14:paraId="3447C2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96F8CD"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D3A48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C3AB2" w14: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47C1B"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9EF8D" w14:textId="77777777" w:rsidR="00DA0314" w:rsidRDefault="00000000">
            <w:pPr>
              <w:jc w:val="right"/>
            </w:pPr>
            <w:r>
              <w:rPr>
                <w:color w:val="595959"/>
                <w:sz w:val="20"/>
                <w:szCs w:val="20"/>
              </w:rPr>
              <w:t>YES</w:t>
            </w:r>
          </w:p>
        </w:tc>
      </w:tr>
    </w:tbl>
    <w:p w14:paraId="40014146" w14:textId="77777777" w:rsidR="00DA0314" w:rsidRDefault="00000000">
      <w:pPr>
        <w:spacing w:after="180"/>
        <w:jc w:val="center"/>
      </w:pPr>
      <w:r>
        <w:rPr>
          <w:color w:val="595959"/>
        </w:rPr>
        <w:t>Table 2: ADF tests (AIC lag selection, max 12). From actual output.</w:t>
      </w:r>
    </w:p>
    <w:p w14:paraId="0B31DE2B" w14: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w14:paraId="1324D2E4" w14: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w14:paraId="527FCD7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BB424F" w14: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EB7D21" w14: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D2C502D" w14: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80CAB7D" w14: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91B856B" w14: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FDA3DC0" w14:textId="77777777" w:rsidR="00DA0314" w:rsidRDefault="00000000">
            <w:r>
              <w:rPr>
                <w:b/>
                <w:bCs/>
                <w:color w:val="1F4E79"/>
                <w:sz w:val="20"/>
                <w:szCs w:val="20"/>
              </w:rPr>
              <w:t>Selected by</w:t>
            </w:r>
          </w:p>
        </w:tc>
      </w:tr>
      <w:tr w:rsidR="00DA0314" w14:paraId="16CD22CC"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F9F220" w14: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A6954" w14: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377BBC" w14: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9281F6" w14: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9089B8" w14: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001908" w14:textId="77777777" w:rsidR="00DA0314" w:rsidRDefault="00DA0314">
            <w:pPr>
              <w:jc w:val="right"/>
            </w:pPr>
          </w:p>
        </w:tc>
      </w:tr>
      <w:tr w:rsidR="00DA0314" w14:paraId="05CFC1E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BCAC3F" w14: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8D94F" w14: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257F2A" w14: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8C7BCD" w14: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761F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A6E5EF" w14:textId="77777777" w:rsidR="00DA0314" w:rsidRDefault="00000000">
            <w:pPr>
              <w:jc w:val="right"/>
            </w:pPr>
            <w:r>
              <w:rPr>
                <w:color w:val="595959"/>
                <w:sz w:val="20"/>
                <w:szCs w:val="20"/>
              </w:rPr>
              <w:t>BIC ★</w:t>
            </w:r>
          </w:p>
        </w:tc>
      </w:tr>
      <w:tr w:rsidR="00DA0314" w14:paraId="560A3D1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4E1DEA" w14: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E5946" w14: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BF61" w14: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1A3C2" w14: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43A2B"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864A7" w14:textId="77777777" w:rsidR="00DA0314" w:rsidRDefault="00000000">
            <w:pPr>
              <w:jc w:val="right"/>
            </w:pPr>
            <w:r>
              <w:rPr>
                <w:color w:val="595959"/>
                <w:sz w:val="20"/>
                <w:szCs w:val="20"/>
              </w:rPr>
              <w:t>AIC ★</w:t>
            </w:r>
          </w:p>
        </w:tc>
      </w:tr>
      <w:tr w:rsidR="00DA0314" w14:paraId="5A082819"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D7C206" w14: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3B525F" w14: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3D975" w14: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4A3A43" w14: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AA17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81AC8" w14:textId="77777777" w:rsidR="00DA0314" w:rsidRDefault="00DA0314">
            <w:pPr>
              <w:jc w:val="right"/>
            </w:pPr>
          </w:p>
        </w:tc>
      </w:tr>
    </w:tbl>
    <w:p w14:paraId="05F71ED4" w14:textId="77777777" w:rsidR="00DA0314" w:rsidRDefault="00000000">
      <w:pPr>
        <w:spacing w:after="180"/>
        <w:jc w:val="center"/>
      </w:pPr>
      <w:r>
        <w:rPr>
          <w:color w:val="595959"/>
        </w:rPr>
        <w:t>Table 3: Lag order selection. From actual output.</w:t>
      </w:r>
    </w:p>
    <w:p w14:paraId="74665306" w14:textId="77777777" w:rsidR="00DA0314" w:rsidRDefault="00000000">
      <w:pPr>
        <w:spacing w:after="100"/>
        <w:jc w:val="both"/>
      </w:pPr>
      <w:r>
        <w:rPr>
          <w:color w:val="595959"/>
        </w:rPr>
        <w:t>BIC selects p=2; AIC selects p=3. We adopt p=2 (BIC) as baseline. FPE is identical for p=2,3,4.</w:t>
      </w:r>
    </w:p>
    <w:p w14:paraId="148C0D3C" w14:textId="77777777" w:rsidR="00DA0314" w:rsidRDefault="00000000">
      <w:r>
        <w:br w:type="page"/>
      </w:r>
    </w:p>
    <w:p w14:paraId="5BE47A9B" w14:textId="77777777" w:rsidR="00DA0314" w:rsidRDefault="00000000">
      <w:pPr>
        <w:pStyle w:val="Heading1"/>
      </w:pPr>
      <w:r>
        <w:lastRenderedPageBreak/>
        <w:t>3. Methodology</w:t>
      </w:r>
    </w:p>
    <w:p w14:paraId="674074E8" w14:textId="77777777" w:rsidR="00DA0314" w:rsidRDefault="00000000">
      <w:pPr>
        <w:pStyle w:val="Heading2"/>
        <w:spacing w:before="340" w:after="120"/>
      </w:pPr>
      <w:r>
        <w:t xml:space="preserve">3.1 The </w:t>
      </w:r>
      <w:proofErr w:type="gramStart"/>
      <w:r>
        <w:t>BVAR(</w:t>
      </w:r>
      <w:proofErr w:type="gramEnd"/>
      <w:r>
        <w:t>2) Model</w:t>
      </w:r>
    </w:p>
    <w:p w14:paraId="2ED1D800" w14: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w14:paraId="43584B2C" w14: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w14:paraId="2D48A24A" w14:textId="77777777" w:rsidR="00DA0314" w:rsidRDefault="00000000">
      <w:pPr>
        <w:pStyle w:val="Heading2"/>
        <w:spacing w:before="340" w:after="120"/>
      </w:pPr>
      <w:r>
        <w:t>3.2 Minnesota / NIW Prior</w:t>
      </w:r>
    </w:p>
    <w:p w14:paraId="5686B96A" w14: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w14:paraId="0983EAC2" w14: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w14:paraId="24D1C063" w14:textId="77777777" w:rsidR="00DA0314" w:rsidRDefault="00000000">
      <w:pPr>
        <w:pStyle w:val="Heading2"/>
        <w:spacing w:before="340" w:after="120"/>
      </w:pPr>
      <w:r>
        <w:t>3.3 Gibbs Sampler (from scratch)</w:t>
      </w:r>
    </w:p>
    <w:p w14:paraId="1DCE5A60" w14: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w14:paraId="106DE880" w14: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 k.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w14:paraId="637D1EE2" w14: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w14:paraId="5216C0A2" w14:textId="77777777" w:rsidR="00DA0314" w:rsidRDefault="00000000">
      <w:pPr>
        <w:pStyle w:val="Heading2"/>
        <w:spacing w:before="340" w:after="120"/>
      </w:pPr>
      <w:r>
        <w:t>3.4 Structural Identification</w:t>
      </w:r>
    </w:p>
    <w:p w14:paraId="4DE8DC58" w14: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w14:paraId="7959FF78" w14:textId="77777777" w:rsidR="00DA0314" w:rsidRDefault="00000000">
      <w:r>
        <w:br w:type="page"/>
      </w:r>
    </w:p>
    <w:p w14:paraId="0CAAA731" w14:textId="77777777" w:rsidR="00DA0314" w:rsidRDefault="00000000">
      <w:pPr>
        <w:pStyle w:val="Heading1"/>
      </w:pPr>
      <w:r>
        <w:lastRenderedPageBreak/>
        <w:t>4. Estimation Results</w:t>
      </w:r>
    </w:p>
    <w:p w14:paraId="09DCBB60" w14: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w14:paraId="14679C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40D0AAB" w14: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35F3630" w14: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6AE90D9" w14: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1F7C4A0" w14: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3F0844" w14: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22CDFE2" w14: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E95D05F" w14:textId="77777777" w:rsidR="00DA0314" w:rsidRDefault="00000000">
            <w:proofErr w:type="spellStart"/>
            <w:r>
              <w:rPr>
                <w:b/>
                <w:bCs/>
                <w:color w:val="1F4E79"/>
                <w:sz w:val="20"/>
                <w:szCs w:val="20"/>
              </w:rPr>
              <w:t>Geweke</w:t>
            </w:r>
            <w:proofErr w:type="spellEnd"/>
          </w:p>
        </w:tc>
      </w:tr>
      <w:tr w:rsidR="00DA0314" w14:paraId="32400A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E46DB2" w14: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12E31" w14: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65D030" w14: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F098BA" w14: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008DC" w14: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00D257"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21518" w14:textId="77777777" w:rsidR="00DA0314" w:rsidRDefault="00000000">
            <w:pPr>
              <w:jc w:val="right"/>
            </w:pPr>
            <w:r>
              <w:rPr>
                <w:color w:val="595959"/>
                <w:sz w:val="20"/>
                <w:szCs w:val="20"/>
              </w:rPr>
              <w:t>−0.359</w:t>
            </w:r>
          </w:p>
        </w:tc>
      </w:tr>
      <w:tr w:rsidR="00DA0314" w14:paraId="38D59E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DD0F6EA" w14: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9D5CEE" w14: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02DBD9" w14: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8CEF3" w14: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8262D" w14: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D8DC0"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3CCD2" w14:textId="77777777" w:rsidR="00DA0314" w:rsidRDefault="00000000">
            <w:pPr>
              <w:jc w:val="right"/>
            </w:pPr>
            <w:r>
              <w:rPr>
                <w:color w:val="595959"/>
                <w:sz w:val="20"/>
                <w:szCs w:val="20"/>
              </w:rPr>
              <w:t>1.221</w:t>
            </w:r>
          </w:p>
        </w:tc>
      </w:tr>
      <w:tr w:rsidR="00DA0314" w14:paraId="309904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63B25AC" w14: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11E96" w14: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F37EF" w14: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1A4B1" w14: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7DE1C" w14: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0C0C5" w14: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D03549" w14:textId="77777777" w:rsidR="00DA0314" w:rsidRDefault="00000000">
            <w:pPr>
              <w:jc w:val="right"/>
            </w:pPr>
            <w:r>
              <w:rPr>
                <w:color w:val="595959"/>
                <w:sz w:val="20"/>
                <w:szCs w:val="20"/>
              </w:rPr>
              <w:t>1.493</w:t>
            </w:r>
          </w:p>
        </w:tc>
      </w:tr>
    </w:tbl>
    <w:p w14:paraId="7958A579" w14: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w14:paraId="58D0FDBB" w14: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w14:paraId="64A2C2A0" w14: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w14:paraId="53117035" w14:textId="77777777" w:rsidR="00DA0314" w:rsidRDefault="00DA0314">
      <w:pPr>
        <w:spacing w:after="80"/>
      </w:pPr>
    </w:p>
    <w:p w14:paraId="5F0A734C" w14:textId="77777777" w:rsidR="00DA0314" w:rsidRDefault="00000000">
      <w:pPr>
        <w:spacing w:before="140" w:after="60"/>
        <w:jc w:val="center"/>
      </w:pPr>
      <w:r>
        <w:rPr>
          <w:noProof/>
        </w:rPr>
        <w:drawing>
          <wp:inline distT="0" distB="0" distL="0" distR="0" wp14:anchorId="34E8FC82" wp14:editId="692BDA9F">
            <wp:extent cx="5762625" cy="3200400"/>
            <wp:effectExtent l="0" t="0" r="0" b="0"/>
            <wp:docPr id="1966190455" name="Picture 196619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200400"/>
                    </a:xfrm>
                    <a:prstGeom prst="rect">
                      <a:avLst/>
                    </a:prstGeom>
                  </pic:spPr>
                </pic:pic>
              </a:graphicData>
            </a:graphic>
          </wp:inline>
        </w:drawing>
      </w:r>
    </w:p>
    <w:p w14:paraId="2EF626D8" w14:textId="77777777" w:rsidR="00DA0314" w:rsidRDefault="00000000">
      <w:pPr>
        <w:spacing w:after="160"/>
        <w:jc w:val="center"/>
      </w:pPr>
      <w:r>
        <w:rPr>
          <w:color w:val="595959"/>
        </w:rPr>
        <w:t>Figure 2: In-sample fit. Solid: actual data. Dashed: posterior mean fitted values.</w:t>
      </w:r>
    </w:p>
    <w:p w14:paraId="343CE617" w14:textId="77777777" w:rsidR="00DA0314" w:rsidRDefault="00000000">
      <w:pPr>
        <w:spacing w:before="140" w:after="60"/>
        <w:jc w:val="center"/>
      </w:pPr>
      <w:r>
        <w:rPr>
          <w:noProof/>
        </w:rPr>
        <w:lastRenderedPageBreak/>
        <w:drawing>
          <wp:inline distT="0" distB="0" distL="0" distR="0" wp14:anchorId="526EE5F8" wp14:editId="03793DA1">
            <wp:extent cx="5943600" cy="3933825"/>
            <wp:effectExtent l="0" t="0" r="0" b="0"/>
            <wp:docPr id="1157431679" name="Picture 115743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33825"/>
                    </a:xfrm>
                    <a:prstGeom prst="rect">
                      <a:avLst/>
                    </a:prstGeom>
                  </pic:spPr>
                </pic:pic>
              </a:graphicData>
            </a:graphic>
          </wp:inline>
        </w:drawing>
      </w:r>
    </w:p>
    <w:p w14:paraId="1F53CDFC" w14: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w14:paraId="6D11F6EA" w14: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w14:paraId="38A83E5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53A5BF4" w14: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AE67DAE" w14: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7702E1D" w14: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5A5E753" w14:textId="77777777" w:rsidR="00DA0314" w:rsidRDefault="00000000">
            <w:r>
              <w:rPr>
                <w:b/>
                <w:bCs/>
                <w:color w:val="1F4E79"/>
                <w:sz w:val="20"/>
                <w:szCs w:val="20"/>
              </w:rPr>
              <w:t>Result</w:t>
            </w:r>
          </w:p>
        </w:tc>
      </w:tr>
      <w:tr w:rsidR="00DA0314" w14:paraId="3492377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96D15C8" w14: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E962A3" w14: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9DDE9" w14: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2ED31" w14:textId="77777777" w:rsidR="00DA0314" w:rsidRDefault="00000000">
            <w:pPr>
              <w:jc w:val="right"/>
            </w:pPr>
            <w:r>
              <w:rPr>
                <w:color w:val="595959"/>
                <w:sz w:val="20"/>
                <w:szCs w:val="20"/>
              </w:rPr>
              <w:t>OK</w:t>
            </w:r>
          </w:p>
        </w:tc>
      </w:tr>
      <w:tr w:rsidR="00DA0314" w14:paraId="70D096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66685B" w14: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E57A1"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49CE6" w14: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3DC20" w14:textId="77777777" w:rsidR="00DA0314" w:rsidRDefault="00000000">
            <w:pPr>
              <w:jc w:val="right"/>
            </w:pPr>
            <w:r>
              <w:rPr>
                <w:color w:val="595959"/>
                <w:sz w:val="20"/>
                <w:szCs w:val="20"/>
              </w:rPr>
              <w:t>OK</w:t>
            </w:r>
          </w:p>
        </w:tc>
      </w:tr>
      <w:tr w:rsidR="00DA0314" w14:paraId="26D0E2B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356AB9" w14: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BFC9E"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72931" w14: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6416F0" w14:textId="77777777" w:rsidR="00DA0314" w:rsidRDefault="00000000">
            <w:pPr>
              <w:jc w:val="right"/>
            </w:pPr>
            <w:r>
              <w:rPr>
                <w:color w:val="595959"/>
                <w:sz w:val="20"/>
                <w:szCs w:val="20"/>
              </w:rPr>
              <w:t>OK</w:t>
            </w:r>
          </w:p>
        </w:tc>
      </w:tr>
      <w:tr w:rsidR="00DA0314" w14:paraId="10C72D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970F5A" w14: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4CD5B"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B6F7D8" w14: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4F06DD" w14:textId="77777777" w:rsidR="00DA0314" w:rsidRDefault="00000000">
            <w:pPr>
              <w:jc w:val="right"/>
            </w:pPr>
            <w:r>
              <w:rPr>
                <w:color w:val="595959"/>
                <w:sz w:val="20"/>
                <w:szCs w:val="20"/>
              </w:rPr>
              <w:t>OK</w:t>
            </w:r>
          </w:p>
        </w:tc>
      </w:tr>
      <w:tr w:rsidR="00DA0314" w14:paraId="776BE3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2DDE5D" w14: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87911" w14: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094E80" w14: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56FB9" w14:textId="77777777" w:rsidR="00DA0314" w:rsidRDefault="00000000">
            <w:pPr>
              <w:jc w:val="right"/>
            </w:pPr>
            <w:r>
              <w:rPr>
                <w:color w:val="595959"/>
                <w:sz w:val="20"/>
                <w:szCs w:val="20"/>
              </w:rPr>
              <w:t>OK</w:t>
            </w:r>
          </w:p>
        </w:tc>
      </w:tr>
      <w:tr w:rsidR="00DA0314" w14:paraId="6B4932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FDB0B1" w14: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702462" w14: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09247" w14: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68887E" w14:textId="77777777" w:rsidR="00DA0314" w:rsidRDefault="00000000">
            <w:pPr>
              <w:jc w:val="right"/>
            </w:pPr>
            <w:r>
              <w:rPr>
                <w:color w:val="595959"/>
                <w:sz w:val="20"/>
                <w:szCs w:val="20"/>
              </w:rPr>
              <w:t>OK</w:t>
            </w:r>
          </w:p>
        </w:tc>
      </w:tr>
      <w:tr w:rsidR="00DA0314" w14:paraId="53CA870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1166C6" w14: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09C2A" w14: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93AFD4" w14: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CD372C" w14:textId="77777777" w:rsidR="00DA0314" w:rsidRDefault="00000000">
            <w:pPr>
              <w:jc w:val="right"/>
            </w:pPr>
            <w:r>
              <w:rPr>
                <w:color w:val="595959"/>
                <w:sz w:val="20"/>
                <w:szCs w:val="20"/>
              </w:rPr>
              <w:t>OK</w:t>
            </w:r>
          </w:p>
        </w:tc>
      </w:tr>
      <w:tr w:rsidR="00DA0314" w14:paraId="1DE721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BABBF10" w14: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D8B47" w14: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4DAB1" w14: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67F1B" w14:textId="77777777" w:rsidR="00DA0314" w:rsidRDefault="00000000">
            <w:pPr>
              <w:jc w:val="right"/>
            </w:pPr>
            <w:r>
              <w:rPr>
                <w:color w:val="595959"/>
                <w:sz w:val="20"/>
                <w:szCs w:val="20"/>
              </w:rPr>
              <w:t>OK</w:t>
            </w:r>
          </w:p>
        </w:tc>
      </w:tr>
      <w:tr w:rsidR="00DA0314" w14:paraId="6A71E68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00CEE9" w14: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EA2CE" w14: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886A5E" w14: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654E1A" w14:textId="77777777" w:rsidR="00DA0314" w:rsidRDefault="00000000">
            <w:pPr>
              <w:jc w:val="right"/>
            </w:pPr>
            <w:r>
              <w:rPr>
                <w:color w:val="595959"/>
                <w:sz w:val="20"/>
                <w:szCs w:val="20"/>
              </w:rPr>
              <w:t>OK</w:t>
            </w:r>
          </w:p>
        </w:tc>
      </w:tr>
    </w:tbl>
    <w:p w14:paraId="2EA5B3E4" w14:textId="77777777" w:rsidR="00DA0314" w:rsidRDefault="00000000">
      <w:pPr>
        <w:spacing w:after="180"/>
        <w:jc w:val="center"/>
      </w:pPr>
      <w:r>
        <w:rPr>
          <w:color w:val="595959"/>
        </w:rPr>
        <w:t>Table 5: Convergence diagnostics. All values from actual output.</w:t>
      </w:r>
    </w:p>
    <w:p w14:paraId="25F30C6B" w14: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w14:paraId="78302F7F" w14:textId="77777777" w:rsidR="00DA0314" w:rsidRDefault="00DA0314">
      <w:pPr>
        <w:spacing w:after="80"/>
      </w:pPr>
    </w:p>
    <w:p w14:paraId="6B9B180A" w14:textId="77777777" w:rsidR="00DA0314" w:rsidRDefault="00000000">
      <w:pPr>
        <w:spacing w:before="140" w:after="60"/>
        <w:jc w:val="center"/>
      </w:pPr>
      <w:r>
        <w:rPr>
          <w:noProof/>
        </w:rPr>
        <w:drawing>
          <wp:inline distT="0" distB="0" distL="0" distR="0" wp14:anchorId="5D3DF77E" wp14:editId="2D4C8AD8">
            <wp:extent cx="5943600" cy="4572000"/>
            <wp:effectExtent l="0" t="0" r="0" b="0"/>
            <wp:docPr id="261973125" name="Picture 26197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572000"/>
                    </a:xfrm>
                    <a:prstGeom prst="rect">
                      <a:avLst/>
                    </a:prstGeom>
                  </pic:spPr>
                </pic:pic>
              </a:graphicData>
            </a:graphic>
          </wp:inline>
        </w:drawing>
      </w:r>
    </w:p>
    <w:p w14:paraId="37F6300B" w14:textId="77777777" w:rsidR="00DA0314" w:rsidRDefault="00000000">
      <w:pPr>
        <w:spacing w:after="160"/>
        <w:jc w:val="center"/>
      </w:pPr>
      <w:r>
        <w:rPr>
          <w:color w:val="595959"/>
        </w:rPr>
        <w:t>Figure 4: Trace plots and ACF. ACF drops to near-zero at lag 1 for all chains.</w:t>
      </w:r>
    </w:p>
    <w:p w14:paraId="7A9DEBF0" w14:textId="77777777" w:rsidR="00DA0314" w:rsidRDefault="00000000">
      <w:pPr>
        <w:spacing w:before="140" w:after="60"/>
        <w:jc w:val="center"/>
      </w:pPr>
      <w:r>
        <w:rPr>
          <w:noProof/>
        </w:rPr>
        <w:drawing>
          <wp:inline distT="0" distB="0" distL="0" distR="0" wp14:anchorId="6C7753C9" wp14:editId="38D645A0">
            <wp:extent cx="5762625" cy="2009775"/>
            <wp:effectExtent l="0" t="0" r="0" b="0"/>
            <wp:docPr id="1161988109" name="Picture 116198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9775"/>
                    </a:xfrm>
                    <a:prstGeom prst="rect">
                      <a:avLst/>
                    </a:prstGeom>
                  </pic:spPr>
                </pic:pic>
              </a:graphicData>
            </a:graphic>
          </wp:inline>
        </w:drawing>
      </w:r>
    </w:p>
    <w:p w14:paraId="17713D24" w14: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w14:paraId="6E4357BB" w14:textId="77777777" w:rsidR="00DA0314" w:rsidRDefault="00000000">
      <w:r>
        <w:br w:type="page"/>
      </w:r>
    </w:p>
    <w:p w14:paraId="28898FFB" w14:textId="77777777" w:rsidR="00DA0314" w:rsidRDefault="00000000">
      <w:pPr>
        <w:pStyle w:val="Heading2"/>
        <w:spacing w:before="340" w:after="120"/>
      </w:pPr>
      <w:r>
        <w:lastRenderedPageBreak/>
        <w:t>4.3 Structural Impulse Response Functions</w:t>
      </w:r>
    </w:p>
    <w:p w14:paraId="40654B27" w14: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w14:paraId="0900EF23" w14:textId="77777777" w:rsidR="00DA0314" w:rsidRDefault="00DA0314">
      <w:pPr>
        <w:spacing w:after="80"/>
      </w:pPr>
    </w:p>
    <w:p w14:paraId="03E2CEA3" w14:textId="77777777" w:rsidR="00DA0314" w:rsidRDefault="00000000">
      <w:pPr>
        <w:spacing w:before="140" w:after="60"/>
        <w:jc w:val="center"/>
      </w:pPr>
      <w:r>
        <w:rPr>
          <w:noProof/>
        </w:rPr>
        <w:drawing>
          <wp:inline distT="0" distB="0" distL="0" distR="0" wp14:anchorId="0F39CB7E" wp14:editId="37405560">
            <wp:extent cx="5943600" cy="2466975"/>
            <wp:effectExtent l="0" t="0" r="0" b="0"/>
            <wp:docPr id="2075919551" name="Picture 207591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466975"/>
                    </a:xfrm>
                    <a:prstGeom prst="rect">
                      <a:avLst/>
                    </a:prstGeom>
                  </pic:spPr>
                </pic:pic>
              </a:graphicData>
            </a:graphic>
          </wp:inline>
        </w:drawing>
      </w:r>
    </w:p>
    <w:p w14:paraId="2F1DEA2E" w14: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w14:paraId="29ADAB92" w14: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w14:paraId="069BD71C" w14:textId="77777777" w:rsidR="00DA0314" w:rsidRDefault="00DA0314">
      <w:pPr>
        <w:spacing w:after="80"/>
      </w:pPr>
    </w:p>
    <w:p w14:paraId="23980332" w14:textId="77777777" w:rsidR="00DA0314" w:rsidRDefault="00000000">
      <w:pPr>
        <w:spacing w:before="140" w:after="60"/>
        <w:jc w:val="center"/>
      </w:pPr>
      <w:r>
        <w:rPr>
          <w:noProof/>
        </w:rPr>
        <w:drawing>
          <wp:inline distT="0" distB="0" distL="0" distR="0" wp14:anchorId="3A180AFC" wp14:editId="476A277C">
            <wp:extent cx="5943600" cy="2466975"/>
            <wp:effectExtent l="0" t="0" r="0" b="0"/>
            <wp:docPr id="466176833" name="Picture 466176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466975"/>
                    </a:xfrm>
                    <a:prstGeom prst="rect">
                      <a:avLst/>
                    </a:prstGeom>
                  </pic:spPr>
                </pic:pic>
              </a:graphicData>
            </a:graphic>
          </wp:inline>
        </w:drawing>
      </w:r>
    </w:p>
    <w:p w14:paraId="19BF6D95" w14: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w14:paraId="5FDBAD7E" w14: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w14:paraId="099B95BD" w14:textId="77777777" w:rsidR="00DA0314" w:rsidRDefault="00DA0314">
      <w:pPr>
        <w:spacing w:after="80"/>
      </w:pPr>
    </w:p>
    <w:p w14:paraId="30CC3AC5" w14:textId="77777777" w:rsidR="00DA0314" w:rsidRDefault="00000000">
      <w:pPr>
        <w:spacing w:before="140" w:after="60"/>
        <w:jc w:val="center"/>
      </w:pPr>
      <w:r>
        <w:rPr>
          <w:noProof/>
        </w:rPr>
        <w:drawing>
          <wp:inline distT="0" distB="0" distL="0" distR="0" wp14:anchorId="4E7993E4" wp14:editId="292B757C">
            <wp:extent cx="5943600" cy="2466975"/>
            <wp:effectExtent l="0" t="0" r="0" b="0"/>
            <wp:docPr id="176017322" name="Picture 176017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466975"/>
                    </a:xfrm>
                    <a:prstGeom prst="rect">
                      <a:avLst/>
                    </a:prstGeom>
                  </pic:spPr>
                </pic:pic>
              </a:graphicData>
            </a:graphic>
          </wp:inline>
        </w:drawing>
      </w:r>
    </w:p>
    <w:p w14:paraId="25F75981" w14:textId="77777777" w:rsidR="00DA0314" w:rsidRDefault="00000000">
      <w:pPr>
        <w:spacing w:after="160"/>
        <w:jc w:val="center"/>
      </w:pPr>
      <w:r>
        <w:rPr>
          <w:color w:val="595959"/>
        </w:rPr>
        <w:t>Figure 8: IRF to PLN/EUR depreciation shock. Modest inflationary pass-through; rate response uncertain.</w:t>
      </w:r>
    </w:p>
    <w:p w14:paraId="1D317DB6" w14:textId="77777777" w:rsidR="00DA0314" w:rsidRDefault="00000000">
      <w:pPr>
        <w:pStyle w:val="Heading2"/>
        <w:spacing w:before="340" w:after="120"/>
      </w:pPr>
      <w:r>
        <w:t>4.4 BVAR vs Classical VAR</w:t>
      </w:r>
    </w:p>
    <w:p w14:paraId="0EB06C69" w14:textId="77777777" w:rsidR="00DA0314" w:rsidRDefault="00000000">
      <w:pPr>
        <w:spacing w:before="140" w:after="60"/>
        <w:jc w:val="center"/>
      </w:pPr>
      <w:r>
        <w:rPr>
          <w:noProof/>
        </w:rPr>
        <w:drawing>
          <wp:inline distT="0" distB="0" distL="0" distR="0" wp14:anchorId="0346DFDB" wp14:editId="510684D0">
            <wp:extent cx="5943600" cy="2466975"/>
            <wp:effectExtent l="0" t="0" r="0" b="0"/>
            <wp:docPr id="1154188748" name="Picture 115418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66975"/>
                    </a:xfrm>
                    <a:prstGeom prst="rect">
                      <a:avLst/>
                    </a:prstGeom>
                  </pic:spPr>
                </pic:pic>
              </a:graphicData>
            </a:graphic>
          </wp:inline>
        </w:drawing>
      </w:r>
    </w:p>
    <w:p w14:paraId="213BC1F3" w14: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w14:paraId="0C8C5DE6" w14: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w14:paraId="7FFAF321" w14:textId="77777777" w:rsidR="00DA0314" w:rsidRDefault="00000000">
      <w:pPr>
        <w:pStyle w:val="Heading2"/>
        <w:spacing w:before="340" w:after="120"/>
      </w:pPr>
      <w:r>
        <w:t>4.5 Forecast</w:t>
      </w:r>
    </w:p>
    <w:p w14:paraId="594E2A21" w14:textId="77777777" w:rsidR="00DA0314" w:rsidRDefault="00000000">
      <w:pPr>
        <w:spacing w:before="140" w:after="60"/>
        <w:jc w:val="center"/>
      </w:pPr>
      <w:r>
        <w:rPr>
          <w:noProof/>
        </w:rPr>
        <w:drawing>
          <wp:inline distT="0" distB="0" distL="0" distR="0" wp14:anchorId="0221F882" wp14:editId="6C474EA4">
            <wp:extent cx="5762625" cy="3476625"/>
            <wp:effectExtent l="0" t="0" r="0" b="0"/>
            <wp:docPr id="1862835444" name="Picture 1862835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476625"/>
                    </a:xfrm>
                    <a:prstGeom prst="rect">
                      <a:avLst/>
                    </a:prstGeom>
                  </pic:spPr>
                </pic:pic>
              </a:graphicData>
            </a:graphic>
          </wp:inline>
        </w:drawing>
      </w:r>
    </w:p>
    <w:p w14:paraId="26B3189E" w14:textId="77777777" w:rsidR="00DA0314" w:rsidRDefault="00000000">
      <w:pPr>
        <w:spacing w:after="160"/>
        <w:jc w:val="center"/>
      </w:pPr>
      <w:r>
        <w:rPr>
          <w:color w:val="595959"/>
        </w:rPr>
        <w:t>Figure 10: 12-month posterior predictive forecast from April 2025. Predictive bands widen correctly over the horizon.</w:t>
      </w:r>
    </w:p>
    <w:p w14:paraId="3FC43D11" w14: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w14:paraId="66677C95" w14:textId="77777777" w:rsidR="00DA0314" w:rsidRDefault="00000000">
      <w:r>
        <w:br w:type="page"/>
      </w:r>
    </w:p>
    <w:p w14:paraId="2B233DF1" w14:textId="77777777" w:rsidR="00DA0314" w:rsidRDefault="00000000">
      <w:pPr>
        <w:pStyle w:val="Heading1"/>
      </w:pPr>
      <w:r>
        <w:lastRenderedPageBreak/>
        <w:t>5. Robustness Analysis</w:t>
      </w:r>
    </w:p>
    <w:p w14:paraId="020C09EA" w14:textId="77777777" w:rsidR="00DA0314" w:rsidRDefault="00000000">
      <w:pPr>
        <w:pStyle w:val="Heading2"/>
        <w:spacing w:before="340" w:after="120"/>
      </w:pPr>
      <w:r>
        <w:t>5.1 Identification Sensitivity</w:t>
      </w:r>
    </w:p>
    <w:p w14:paraId="22E514CD" w14: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w14:paraId="495BB831" w14: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w14:paraId="5EB617BA" w14: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w14:paraId="0AB911F1" w14: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w14:paraId="78F1F615" w14:textId="77777777" w:rsidR="00DA0314" w:rsidRDefault="00DA0314">
      <w:pPr>
        <w:spacing w:after="80"/>
      </w:pPr>
    </w:p>
    <w:p w14:paraId="757A71EC" w14: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w14:paraId="757152F5" w14:textId="77777777" w:rsidR="00DA0314" w:rsidRDefault="00DA0314">
      <w:pPr>
        <w:spacing w:after="80"/>
      </w:pPr>
    </w:p>
    <w:p w14:paraId="17887452" w14:textId="77777777" w:rsidR="00DA0314" w:rsidRDefault="00000000">
      <w:pPr>
        <w:spacing w:before="140" w:after="60"/>
        <w:jc w:val="center"/>
      </w:pPr>
      <w:r>
        <w:rPr>
          <w:noProof/>
        </w:rPr>
        <w:drawing>
          <wp:inline distT="0" distB="0" distL="0" distR="0" wp14:anchorId="06A0EB5C" wp14:editId="6671E3B0">
            <wp:extent cx="5943600" cy="2286000"/>
            <wp:effectExtent l="0" t="0" r="0" b="0"/>
            <wp:docPr id="700786046" name="Picture 70078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286000"/>
                    </a:xfrm>
                    <a:prstGeom prst="rect">
                      <a:avLst/>
                    </a:prstGeom>
                  </pic:spPr>
                </pic:pic>
              </a:graphicData>
            </a:graphic>
          </wp:inline>
        </w:drawing>
      </w:r>
    </w:p>
    <w:p w14:paraId="68E3363E" w14: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w14:paraId="6FA4DB29" w14:textId="77777777" w:rsidR="00DA0314" w:rsidRDefault="00000000">
      <w:pPr>
        <w:pStyle w:val="Heading2"/>
        <w:spacing w:before="340" w:after="120"/>
      </w:pPr>
      <w:r>
        <w:t>5.2 Prior Sensitivity</w:t>
      </w:r>
    </w:p>
    <w:p w14:paraId="2278B0A7" w14: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w14:paraId="0B1DBAC8" w14: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w14:paraId="0E934268" w14: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w14:paraId="426748A7" w14: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w14:paraId="0F5B0357" w14:textId="77777777" w:rsidR="00DA0314" w:rsidRDefault="00000000">
      <w:pPr>
        <w:spacing w:after="100"/>
        <w:jc w:val="both"/>
      </w:pPr>
      <w:r>
        <w:rPr>
          <w:color w:val="595959"/>
        </w:rPr>
        <w:t>All three calibrations converge to the same contractionary long-run response, confirming this is a robust data feature, not a prior artefact.</w:t>
      </w:r>
    </w:p>
    <w:p w14:paraId="319BDDD3" w14:textId="77777777" w:rsidR="00DA0314" w:rsidRDefault="00DA0314">
      <w:pPr>
        <w:spacing w:after="80"/>
      </w:pPr>
    </w:p>
    <w:p w14:paraId="4399AA7D" w14:textId="77777777" w:rsidR="00DA0314" w:rsidRDefault="00000000">
      <w:pPr>
        <w:spacing w:before="140" w:after="60"/>
        <w:jc w:val="center"/>
      </w:pPr>
      <w:r>
        <w:rPr>
          <w:noProof/>
        </w:rPr>
        <w:drawing>
          <wp:inline distT="0" distB="0" distL="0" distR="0" wp14:anchorId="3A38CAC7" wp14:editId="2FC80717">
            <wp:extent cx="5667375" cy="2743200"/>
            <wp:effectExtent l="0" t="0" r="0" b="0"/>
            <wp:docPr id="1890068702" name="Picture 189006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2743200"/>
                    </a:xfrm>
                    <a:prstGeom prst="rect">
                      <a:avLst/>
                    </a:prstGeom>
                  </pic:spPr>
                </pic:pic>
              </a:graphicData>
            </a:graphic>
          </wp:inline>
        </w:drawing>
      </w:r>
    </w:p>
    <w:p w14:paraId="792E5825" w14: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w14:paraId="01F88260" w14:textId="77777777" w:rsidR="00DA0314" w:rsidRDefault="00000000">
      <w:pPr>
        <w:pStyle w:val="Heading2"/>
        <w:spacing w:before="340" w:after="120"/>
      </w:pPr>
      <w:r>
        <w:t>5.3 First-Difference Robustness</w:t>
      </w:r>
    </w:p>
    <w:p w14:paraId="35AE44F6" w14: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w14:paraId="79987206" w14: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w14:paraId="685B4D28" w14: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w14:paraId="11ABF6D6" w14: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w14:paraId="0D293A86" w14:textId="77777777" w:rsidR="00DA0314" w:rsidRDefault="00DA0314">
      <w:pPr>
        <w:spacing w:after="80"/>
      </w:pPr>
    </w:p>
    <w:p w14:paraId="01B6E4CD" w14:textId="77777777" w:rsidR="00DA0314" w:rsidRDefault="00000000">
      <w:pPr>
        <w:spacing w:before="140" w:after="60"/>
        <w:jc w:val="center"/>
      </w:pPr>
      <w:r>
        <w:rPr>
          <w:noProof/>
        </w:rPr>
        <w:drawing>
          <wp:inline distT="0" distB="0" distL="0" distR="0" wp14:anchorId="27C4CC2F" wp14:editId="43D9DDD9">
            <wp:extent cx="5667375" cy="2743200"/>
            <wp:effectExtent l="0" t="0" r="0" b="0"/>
            <wp:docPr id="1001781087" name="Picture 100178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2743200"/>
                    </a:xfrm>
                    <a:prstGeom prst="rect">
                      <a:avLst/>
                    </a:prstGeom>
                  </pic:spPr>
                </pic:pic>
              </a:graphicData>
            </a:graphic>
          </wp:inline>
        </w:drawing>
      </w:r>
    </w:p>
    <w:p w14:paraId="60742FD6" w14: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w14:paraId="645C1AC1" w14:textId="77777777" w:rsidR="00DA0314" w:rsidRDefault="00000000">
      <w:r>
        <w:br w:type="page"/>
      </w:r>
    </w:p>
    <w:p w14:paraId="3C7B522E" w14:textId="77777777" w:rsidR="00DA0314" w:rsidRDefault="00000000">
      <w:pPr>
        <w:pStyle w:val="Heading1"/>
      </w:pPr>
      <w:r>
        <w:lastRenderedPageBreak/>
        <w:t>6. Conclusion</w:t>
      </w:r>
    </w:p>
    <w:p w14:paraId="620C700C"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w14:paraId="12336530" w14: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w14:paraId="58BD9A55" w14: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w14:paraId="7CD69C0C" w14: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w14:paraId="502D6B26" w14: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w14:paraId="79747521" w14:textId="77777777" w:rsidR="00DA0314" w:rsidRDefault="00000000">
      <w:r>
        <w:br w:type="page"/>
      </w:r>
    </w:p>
    <w:p w14:paraId="03BE7B83" w14:textId="77777777" w:rsidR="00DA0314" w:rsidRDefault="00000000">
      <w:pPr>
        <w:pStyle w:val="Heading1"/>
      </w:pPr>
      <w:r>
        <w:lastRenderedPageBreak/>
        <w:t>References</w:t>
      </w:r>
    </w:p>
    <w:p w14:paraId="3D950245" w14: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w14:paraId="1884D4F4" w14: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w14:paraId="3AEA5DD9" w14:textId="77777777" w:rsidR="00DA0314" w:rsidRDefault="00000000">
      <w:pPr>
        <w:spacing w:after="100"/>
        <w:jc w:val="both"/>
      </w:pPr>
      <w:r>
        <w:rPr>
          <w:color w:val="595959"/>
        </w:rPr>
        <w:t>Geweke, J. (1992). Evaluating the accuracy of sampling-based approaches. Bayesian Statistics 4. Oxford.</w:t>
      </w:r>
    </w:p>
    <w:p w14:paraId="4C1F1311" w14:textId="77777777" w:rsidR="00DA0314" w:rsidRDefault="00000000">
      <w:pPr>
        <w:spacing w:after="100"/>
        <w:jc w:val="both"/>
      </w:pPr>
      <w:r>
        <w:rPr>
          <w:color w:val="595959"/>
        </w:rPr>
        <w:t>Hamilton, J. D. (1994). Time Series Analysis. Princeton University Press.</w:t>
      </w:r>
    </w:p>
    <w:p w14:paraId="5F2B46B8" w14: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w14:paraId="1A44EEFE" w14:textId="77777777" w:rsidR="00DA0314" w:rsidRDefault="00000000">
      <w:pPr>
        <w:spacing w:after="100"/>
        <w:jc w:val="both"/>
      </w:pPr>
      <w:r>
        <w:rPr>
          <w:color w:val="595959"/>
        </w:rPr>
        <w:t>Koop, G. (2003). Bayesian Econometrics. Wiley.</w:t>
      </w:r>
    </w:p>
    <w:p w14:paraId="61913A32" w14: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w14:paraId="1B728BA6" w14: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w14:paraId="14641FF9" w14:textId="77777777" w:rsidR="00DA0314" w:rsidRDefault="00000000">
      <w:pPr>
        <w:spacing w:after="100"/>
        <w:jc w:val="both"/>
      </w:pPr>
      <w:r>
        <w:rPr>
          <w:color w:val="595959"/>
        </w:rPr>
        <w:t>OECD (2025). CPI: Total for Poland [POLCPIALLMINMEI]. FRED.</w:t>
      </w:r>
    </w:p>
    <w:p w14:paraId="602B3D91" w14:textId="77777777" w:rsidR="00DA0314" w:rsidRDefault="00000000">
      <w:pPr>
        <w:spacing w:after="100"/>
        <w:jc w:val="both"/>
      </w:pPr>
      <w:r>
        <w:rPr>
          <w:color w:val="595959"/>
        </w:rPr>
        <w:t>OECD (2025). Short-Term Interest Rate for Poland [IRSTCI01PLM156N]. FRED.</w:t>
      </w:r>
    </w:p>
    <w:p w14:paraId="75E5C0A9" w14: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w14:paraId="0A1CFD32" w14:textId="77777777" w:rsidR="00DA0314" w:rsidRDefault="00000000">
      <w:pPr>
        <w:spacing w:after="100"/>
        <w:jc w:val="both"/>
      </w:pPr>
      <w:r>
        <w:rPr>
          <w:color w:val="595959"/>
        </w:rPr>
        <w:t>Sims, C. A. (1992). Interpreting the macroeconomic time series facts. European Economic Review, 36(5), 975–1000.</w:t>
      </w:r>
    </w:p>
    <w:p w14:paraId="152A2CED" w14: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w14:paraId="0E0A37B3" w14:textId="77777777" w:rsidR="00DA0314" w:rsidRDefault="00000000">
      <w:pPr>
        <w:spacing w:after="100"/>
        <w:jc w:val="both"/>
      </w:pPr>
      <w:r>
        <w:rPr>
          <w:color w:val="595959"/>
        </w:rPr>
        <w:t>Zellner, A. (1971). An Introduction to Bayesian Inference in Econometrics. Wiley.</w:t>
      </w:r>
    </w:p>
    <w:p w14:paraId="390778F6" w14:textId="77777777" w:rsidR="00DA0314" w:rsidRDefault="00000000">
      <w:r>
        <w:br w:type="page"/>
      </w:r>
    </w:p>
    <w:p w14:paraId="6EB85247" w14:textId="77777777" w:rsidR="00DA0314" w:rsidRDefault="00000000">
      <w:pPr>
        <w:pStyle w:val="Heading1"/>
      </w:pPr>
      <w:r>
        <w:lastRenderedPageBreak/>
        <w:t>Appendix: Additional IRF Comparisons</w:t>
      </w:r>
    </w:p>
    <w:p w14:paraId="303950A0" w14:textId="77777777" w:rsidR="00DA0314" w:rsidRDefault="00000000">
      <w:pPr>
        <w:spacing w:before="140" w:after="60"/>
        <w:jc w:val="center"/>
      </w:pPr>
      <w:r>
        <w:rPr>
          <w:noProof/>
        </w:rPr>
        <w:drawing>
          <wp:inline distT="0" distB="0" distL="0" distR="0" wp14:anchorId="18209F35" wp14:editId="368871C5">
            <wp:extent cx="5943600" cy="2466975"/>
            <wp:effectExtent l="0" t="0" r="0" b="0"/>
            <wp:docPr id="1571440424" name="Picture 157144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66975"/>
                    </a:xfrm>
                    <a:prstGeom prst="rect">
                      <a:avLst/>
                    </a:prstGeom>
                  </pic:spPr>
                </pic:pic>
              </a:graphicData>
            </a:graphic>
          </wp:inline>
        </w:drawing>
      </w:r>
    </w:p>
    <w:p w14:paraId="21D6D415" w14:textId="77777777" w:rsidR="00DA0314" w:rsidRDefault="00000000">
      <w:pPr>
        <w:spacing w:after="160"/>
        <w:jc w:val="center"/>
      </w:pPr>
      <w:r>
        <w:rPr>
          <w:color w:val="595959"/>
        </w:rPr>
        <w:t>Figure A.1: BVAR vs Classical VAR — CPI shock.</w:t>
      </w:r>
    </w:p>
    <w:p w14:paraId="4992E7D2" w14:textId="77777777" w:rsidR="00DA0314" w:rsidRDefault="00000000">
      <w:pPr>
        <w:spacing w:before="140" w:after="60"/>
        <w:jc w:val="center"/>
      </w:pPr>
      <w:r>
        <w:rPr>
          <w:noProof/>
        </w:rPr>
        <w:drawing>
          <wp:inline distT="0" distB="0" distL="0" distR="0" wp14:anchorId="2B817147" wp14:editId="1FE37B0D">
            <wp:extent cx="5943600" cy="2466975"/>
            <wp:effectExtent l="0" t="0" r="0" b="0"/>
            <wp:docPr id="1555165682" name="Picture 1555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2466975"/>
                    </a:xfrm>
                    <a:prstGeom prst="rect">
                      <a:avLst/>
                    </a:prstGeom>
                  </pic:spPr>
                </pic:pic>
              </a:graphicData>
            </a:graphic>
          </wp:inline>
        </w:drawing>
      </w:r>
    </w:p>
    <w:p w14:paraId="23D433FD" w14:textId="77777777" w:rsidR="00DA0314" w:rsidRDefault="00000000">
      <w:pPr>
        <w:spacing w:after="160"/>
        <w:jc w:val="center"/>
      </w:pPr>
      <w:r>
        <w:rPr>
          <w:color w:val="595959"/>
        </w:rPr>
        <w:t>Figure A.2: BVAR vs Classical VAR — PLN/EUR shock.</w:t>
      </w:r>
    </w:p>
    <w:sectPr w:rsidR="00DA0314">
      <w:headerReference w:type="default" r:id="rId22"/>
      <w:footerReference w:type="default" r: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