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2" w:history="1">
        <w:r w:rsidR="009A6F15" w:rsidRPr="00405560">
          <w:rPr>
            <w:rStyle w:val="Hyperlink"/>
            <w:noProof/>
          </w:rPr>
          <w:t>1.1. Introduction</w:t>
        </w:r>
        <w:r w:rsidR="009A6F15">
          <w:rPr>
            <w:noProof/>
            <w:webHidden/>
          </w:rPr>
          <w:tab/>
        </w:r>
        <w:r w:rsidR="009A6F15">
          <w:rPr>
            <w:noProof/>
            <w:webHidden/>
          </w:rPr>
          <w:fldChar w:fldCharType="begin"/>
        </w:r>
        <w:r w:rsidR="009A6F15">
          <w:rPr>
            <w:noProof/>
            <w:webHidden/>
          </w:rPr>
          <w:instrText xml:space="preserve"> PAGEREF _Toc173834132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A1AA757" w14:textId="52ED2DAC"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3" w:history="1">
        <w:r w:rsidR="009A6F15" w:rsidRPr="00405560">
          <w:rPr>
            <w:rStyle w:val="Hyperlink"/>
            <w:noProof/>
          </w:rPr>
          <w:t>1.2. Sustainment Costs</w:t>
        </w:r>
        <w:r w:rsidR="009A6F15">
          <w:rPr>
            <w:noProof/>
            <w:webHidden/>
          </w:rPr>
          <w:tab/>
        </w:r>
        <w:r w:rsidR="009A6F15">
          <w:rPr>
            <w:noProof/>
            <w:webHidden/>
          </w:rPr>
          <w:fldChar w:fldCharType="begin"/>
        </w:r>
        <w:r w:rsidR="009A6F15">
          <w:rPr>
            <w:noProof/>
            <w:webHidden/>
          </w:rPr>
          <w:instrText xml:space="preserve"> PAGEREF _Toc173834133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4B92ADEA" w14:textId="33744255"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4" w:history="1">
        <w:r w:rsidR="009A6F15" w:rsidRPr="00405560">
          <w:rPr>
            <w:rStyle w:val="Hyperlink"/>
            <w:noProof/>
          </w:rPr>
          <w:t>1.3. Technical Order Authoring and Publishing (TOAP) Migration Plan</w:t>
        </w:r>
        <w:r w:rsidR="009A6F15">
          <w:rPr>
            <w:noProof/>
            <w:webHidden/>
          </w:rPr>
          <w:tab/>
        </w:r>
        <w:r w:rsidR="009A6F15">
          <w:rPr>
            <w:noProof/>
            <w:webHidden/>
          </w:rPr>
          <w:fldChar w:fldCharType="begin"/>
        </w:r>
        <w:r w:rsidR="009A6F15">
          <w:rPr>
            <w:noProof/>
            <w:webHidden/>
          </w:rPr>
          <w:instrText xml:space="preserve"> PAGEREF _Toc173834134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526C6C5" w14:textId="635650B6"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5" w:history="1">
        <w:r w:rsidR="009A6F15" w:rsidRPr="00405560">
          <w:rPr>
            <w:rStyle w:val="Hyperlink"/>
            <w:noProof/>
          </w:rPr>
          <w:t>1.4. S1000D Conversion Plan</w:t>
        </w:r>
        <w:r w:rsidR="009A6F15">
          <w:rPr>
            <w:noProof/>
            <w:webHidden/>
          </w:rPr>
          <w:tab/>
        </w:r>
        <w:r w:rsidR="009A6F15">
          <w:rPr>
            <w:noProof/>
            <w:webHidden/>
          </w:rPr>
          <w:fldChar w:fldCharType="begin"/>
        </w:r>
        <w:r w:rsidR="009A6F15">
          <w:rPr>
            <w:noProof/>
            <w:webHidden/>
          </w:rPr>
          <w:instrText xml:space="preserve"> PAGEREF _Toc173834135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4BA44876" w14:textId="08A01AB4"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6" w:history="1">
        <w:r w:rsidR="009A6F15" w:rsidRPr="00405560">
          <w:rPr>
            <w:rStyle w:val="Hyperlink"/>
            <w:noProof/>
          </w:rPr>
          <w:t>1.5. Acquisition of New TOs</w:t>
        </w:r>
        <w:r w:rsidR="009A6F15">
          <w:rPr>
            <w:noProof/>
            <w:webHidden/>
          </w:rPr>
          <w:tab/>
        </w:r>
        <w:r w:rsidR="009A6F15">
          <w:rPr>
            <w:noProof/>
            <w:webHidden/>
          </w:rPr>
          <w:fldChar w:fldCharType="begin"/>
        </w:r>
        <w:r w:rsidR="009A6F15">
          <w:rPr>
            <w:noProof/>
            <w:webHidden/>
          </w:rPr>
          <w:instrText xml:space="preserve"> PAGEREF _Toc173834136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69DE17BF" w14:textId="210727D4" w:rsidR="0090722C" w:rsidRDefault="0090722C" w:rsidP="00ED7E50">
      <w:bookmarkStart w:id="2" w:name="_Toc173834133"/>
      <w:r w:rsidRPr="00C117C8">
        <w:rPr>
          <w:rStyle w:val="Heading2Char"/>
        </w:rPr>
        <w:t>1.2. Sustainment Costs</w:t>
      </w:r>
      <w:bookmarkEnd w:id="2"/>
      <w:r w:rsidR="00593FA7" w:rsidRPr="00890C36">
        <w:rPr>
          <w:b/>
          <w:bCs/>
        </w:rPr>
        <w:t>:</w:t>
      </w:r>
      <w:r w:rsidRPr="00890C36">
        <w:t xml:space="preserve"> </w:t>
      </w:r>
      <w:r w:rsidR="0003379F">
        <w:t xml:space="preserve">The </w:t>
      </w:r>
      <w:r w:rsidR="00D9032F">
        <w:t>{</w:t>
      </w:r>
      <w:proofErr w:type="spellStart"/>
      <w:r w:rsidR="00D9032F">
        <w:t>Info.ProgramName</w:t>
      </w:r>
      <w:proofErr w:type="spellEnd"/>
      <w:r w:rsidR="00D9032F">
        <w:t>}</w:t>
      </w:r>
      <w:r w:rsidR="0003379F">
        <w:t xml:space="preserve"> </w:t>
      </w:r>
      <w:r w:rsidR="00207F12">
        <w:t>TO</w:t>
      </w:r>
      <w:r>
        <w:t xml:space="preserve"> sus</w:t>
      </w:r>
      <w:r>
        <w:rPr>
          <w:spacing w:val="-1"/>
        </w:rPr>
        <w:t>t</w:t>
      </w:r>
      <w:r>
        <w:t>ain</w:t>
      </w:r>
      <w:r>
        <w:rPr>
          <w:spacing w:val="-2"/>
        </w:rPr>
        <w:t>m</w:t>
      </w:r>
      <w:r>
        <w:rPr>
          <w:spacing w:val="1"/>
        </w:rPr>
        <w:t>e</w:t>
      </w:r>
      <w:r>
        <w:t xml:space="preserve">nt </w:t>
      </w:r>
      <w:r w:rsidR="00D1090B">
        <w:t xml:space="preserve">support </w:t>
      </w:r>
      <w:r>
        <w:t>is provided by AFLCMC/</w:t>
      </w:r>
      <w:r w:rsidR="00182891">
        <w:t>HBZE</w:t>
      </w:r>
      <w:r w:rsidR="0003379F">
        <w:t>.</w:t>
      </w:r>
      <w:r w:rsidR="008C5F91">
        <w:t xml:space="preserve"> </w:t>
      </w:r>
      <w:r w:rsidR="0003379F">
        <w:t xml:space="preserve">Estimates Labor Cost is (Estimate Cost) for the Technical Data Support </w:t>
      </w:r>
      <w:r w:rsidR="006418E6">
        <w:t>Services Enterprise</w:t>
      </w:r>
      <w:r w:rsidR="0003379F">
        <w:t xml:space="preserve"> (</w:t>
      </w:r>
      <w:proofErr w:type="spellStart"/>
      <w:r w:rsidR="0003379F">
        <w:t>TDSSe</w:t>
      </w:r>
      <w:proofErr w:type="spellEnd"/>
      <w:r w:rsidR="0003379F">
        <w:t>)</w:t>
      </w:r>
      <w:r w:rsidR="00E52B01">
        <w:t>, Contract #.</w:t>
      </w:r>
      <w:r w:rsidR="008C5F91">
        <w:t xml:space="preserve"> </w:t>
      </w:r>
      <w:r w:rsidR="006418E6">
        <w:t>This contract will expire on DD MMM YYY.</w:t>
      </w:r>
      <w:r w:rsidR="008C5F91">
        <w:t xml:space="preserve"> </w:t>
      </w:r>
      <w:r w:rsidR="007773D0">
        <w:t xml:space="preserve">There </w:t>
      </w:r>
      <w:r w:rsidR="00207F12">
        <w:t xml:space="preserve">are </w:t>
      </w:r>
      <w:r>
        <w:t>no requirement</w:t>
      </w:r>
      <w:r w:rsidR="004B31AD">
        <w:t>s</w:t>
      </w:r>
      <w:r>
        <w:t xml:space="preserve"> for </w:t>
      </w:r>
      <w:r w:rsidR="007773D0">
        <w:t>distribution all TOs are in digital format and available in ETIMS</w:t>
      </w:r>
      <w:r>
        <w:t>.</w:t>
      </w:r>
      <w:r w:rsidR="008C5F91">
        <w:t xml:space="preserve"> </w:t>
      </w:r>
      <w:r>
        <w:t>The tot</w:t>
      </w:r>
      <w:r>
        <w:rPr>
          <w:spacing w:val="-2"/>
        </w:rPr>
        <w:t>a</w:t>
      </w:r>
      <w:r>
        <w:t>l</w:t>
      </w:r>
      <w:r>
        <w:rPr>
          <w:spacing w:val="1"/>
        </w:rPr>
        <w:t xml:space="preserve"> </w:t>
      </w:r>
      <w:r w:rsidR="007773D0">
        <w:rPr>
          <w:spacing w:val="1"/>
        </w:rPr>
        <w:t xml:space="preserve">distribution </w:t>
      </w:r>
      <w:r>
        <w:t>c</w:t>
      </w:r>
      <w:r>
        <w:rPr>
          <w:spacing w:val="-1"/>
        </w:rPr>
        <w:t>o</w:t>
      </w:r>
      <w:r>
        <w:t>st</w:t>
      </w:r>
      <w:r>
        <w:rPr>
          <w:spacing w:val="1"/>
        </w:rPr>
        <w:t xml:space="preserve"> </w:t>
      </w:r>
      <w:r>
        <w:t>is</w:t>
      </w:r>
      <w:r>
        <w:rPr>
          <w:spacing w:val="1"/>
        </w:rPr>
        <w:t xml:space="preserve"> </w:t>
      </w:r>
      <w:r>
        <w:rPr>
          <w:spacing w:val="-2"/>
        </w:rPr>
        <w:t>m</w:t>
      </w:r>
      <w:r>
        <w:rPr>
          <w:spacing w:val="1"/>
        </w:rPr>
        <w:t>i</w:t>
      </w:r>
      <w:r>
        <w:t>ni</w:t>
      </w:r>
      <w:r>
        <w:rPr>
          <w:spacing w:val="-2"/>
        </w:rPr>
        <w:t>m</w:t>
      </w:r>
      <w:r>
        <w:t>al.</w:t>
      </w:r>
    </w:p>
    <w:p w14:paraId="5A2EF979" w14:textId="77777777" w:rsidR="00A93C8F" w:rsidRDefault="00A93C8F" w:rsidP="00ED7E50"/>
    <w:p w14:paraId="1B57E963" w14:textId="649522E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w:t>
      </w:r>
      <w:r w:rsidR="003F550D">
        <w:t>TotalCount</w:t>
      </w:r>
      <w:proofErr w:type="spellEnd"/>
      <w:r w:rsidR="003F550D">
        <w:t xml:space="preserve">} </w:t>
      </w:r>
      <w:r w:rsidR="00285CBE" w:rsidRPr="00285CBE">
        <w:t>TOs. Of the</w:t>
      </w:r>
      <w:r w:rsidR="003F550D">
        <w:t xml:space="preserve"> </w:t>
      </w:r>
      <w:r w:rsidR="003F550D">
        <w:t>{</w:t>
      </w:r>
      <w:proofErr w:type="spellStart"/>
      <w:r w:rsidR="003F550D">
        <w:t>TechnicalOrders.TotalCount</w:t>
      </w:r>
      <w:proofErr w:type="spellEnd"/>
      <w:r w:rsidR="003F550D">
        <w:t>}</w:t>
      </w:r>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 xml:space="preserve">The </w:t>
      </w:r>
      <w:r w:rsidR="00821B0E" w:rsidRPr="00821B0E">
        <w:lastRenderedPageBreak/>
        <w:t>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3834135"/>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29D8810E"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A93C8F" w:rsidRPr="003B658F">
        <w:t xml:space="preserve">There are currently </w:t>
      </w:r>
      <w:r w:rsidR="009A56CB" w:rsidRPr="003B658F">
        <w:t xml:space="preserve">XX </w:t>
      </w:r>
      <w:r w:rsidR="00A93C8F" w:rsidRPr="003B658F">
        <w:t>TOs in the acquisition process. Effort will be made to ensure that all future TOs acquired will be delivered in digital format.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w:t>
      </w:r>
      <w:proofErr w:type="spellStart"/>
      <w:r w:rsidR="00D9032F">
        <w:t>Info.ProgramName</w:t>
      </w:r>
      <w:proofErr w:type="spellEnd"/>
      <w:r w:rsidR="00D9032F">
        <w:t>}</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w:t>
      </w:r>
      <w:proofErr w:type="spellStart"/>
      <w:r w:rsidR="00D9032F">
        <w:t>Info.ProgramName</w:t>
      </w:r>
      <w:proofErr w:type="spellEnd"/>
      <w:r w:rsidR="00D9032F">
        <w:t>}</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lastRenderedPageBreak/>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w:t>
      </w:r>
      <w:r w:rsidRPr="00C04E24">
        <w:rPr>
          <w:rStyle w:val="Strong"/>
          <w:b w:val="0"/>
          <w:bCs w:val="0"/>
        </w:rPr>
        <w:lastRenderedPageBreak/>
        <w:t>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w:t>
      </w:r>
      <w:r w:rsidR="00B4651D" w:rsidRPr="00CF1927">
        <w:lastRenderedPageBreak/>
        <w:t xml:space="preserve">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BD53FC"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91C7F" w14:textId="77777777" w:rsidR="003C5035" w:rsidRDefault="003C5035" w:rsidP="00ED7E50">
      <w:r>
        <w:separator/>
      </w:r>
    </w:p>
  </w:endnote>
  <w:endnote w:type="continuationSeparator" w:id="0">
    <w:p w14:paraId="33B46D35" w14:textId="77777777" w:rsidR="003C5035" w:rsidRDefault="003C5035"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575C" w14:textId="77777777" w:rsidR="003C5035" w:rsidRDefault="003C5035" w:rsidP="00ED7E50">
      <w:r>
        <w:separator/>
      </w:r>
    </w:p>
  </w:footnote>
  <w:footnote w:type="continuationSeparator" w:id="0">
    <w:p w14:paraId="50BA56A1" w14:textId="77777777" w:rsidR="003C5035" w:rsidRDefault="003C5035"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658F"/>
    <w:rsid w:val="003C5035"/>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20678"/>
    <w:rsid w:val="00821B0E"/>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0A37"/>
    <w:rsid w:val="00D03B3C"/>
    <w:rsid w:val="00D10141"/>
    <w:rsid w:val="00D1090B"/>
    <w:rsid w:val="00D169F7"/>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373</TotalTime>
  <Pages>8</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55</cp:revision>
  <dcterms:created xsi:type="dcterms:W3CDTF">2024-06-24T13:25:00Z</dcterms:created>
  <dcterms:modified xsi:type="dcterms:W3CDTF">2024-08-26T18:55:00Z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