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
    <w:p/>
    <w:p/>
    <w:p>
      <w:pPr>
        <w:jc w:val="center"/>
      </w:pPr>
      <w:r>
        <w:rPr>
          <w:rFonts w:ascii="Times New Roman" w:hAnsi="Times New Roman" w:eastAsia="黑体"/>
          <w:b/>
          <w:color w:val="000000"/>
          <w:sz w:val="56"/>
        </w:rPr>
        <w:t>智能分析化学</w:t>
      </w:r>
    </w:p>
    <w:p>
      <w:pPr>
        <w:jc w:val="center"/>
      </w:pPr>
      <w:r>
        <w:rPr>
          <w:rFonts w:ascii="Times New Roman" w:hAnsi="Times New Roman" w:eastAsia="黑体"/>
          <w:b/>
          <w:color w:val="000000"/>
          <w:sz w:val="40"/>
        </w:rPr>
        <w:t>化学计量学主干章节重写稿</w:t>
      </w:r>
    </w:p>
    <w:p>
      <w:pPr>
        <w:jc w:val="center"/>
      </w:pPr>
      <w:r>
        <w:rPr>
          <w:rFonts w:ascii="Times New Roman" w:hAnsi="Times New Roman" w:eastAsia="黑体"/>
          <w:color w:val="000000"/>
          <w:sz w:val="28"/>
        </w:rPr>
        <w:t>单章审阅稿</w:t>
      </w:r>
    </w:p>
    <w:p/>
    <w:p/>
    <w:p/>
    <w:p/>
    <w:p/>
    <w:p/>
    <w:p/>
    <w:p/>
    <w:p/>
    <w:p/>
    <w:p>
      <w:pPr>
        <w:jc w:val="center"/>
      </w:pPr>
      <w:r>
        <w:rPr>
          <w:rFonts w:ascii="Times New Roman" w:hAnsi="Times New Roman" w:eastAsia="宋体"/>
          <w:color w:val="000000"/>
          <w:sz w:val="21"/>
        </w:rPr>
        <w:t>依据课程课件、授课转译与《化学计量学》《化学测量学》教材体系重写</w:t>
      </w:r>
    </w:p>
    <w:p>
      <w:pPr>
        <w:jc w:val="center"/>
      </w:pPr>
      <w:r>
        <w:rPr>
          <w:rFonts w:ascii="Times New Roman" w:hAnsi="Times New Roman" w:eastAsia="宋体"/>
          <w:color w:val="000000"/>
          <w:sz w:val="21"/>
        </w:rPr>
        <w:t>版本 v2.3 · 供逐章审阅</w:t>
      </w:r>
    </w:p>
    <w:p>
      <w:r>
        <w:br w:type="page"/>
      </w:r>
    </w:p>
    <w:p>
      <w:pPr>
        <w:pStyle w:val="1"/>
      </w:pPr>
      <w:r>
        <w:rPr>
          <w:rFonts w:ascii="Times New Roman" w:hAnsi="Times New Roman" w:eastAsia="宋体"/>
          <w:color w:val="000000"/>
          <w:sz w:val="21"/>
        </w:rPr>
        <w:t>目录</w:t>
      </w:r>
    </w:p>
    <w:p>
      <w:r>
        <w:fldChar w:fldCharType="begin"/>
        <w:instrText xml:space="preserve"> TOC \o "1-3" \h \z \u </w:instrText>
        <w:fldChar w:fldCharType="separate"/>
        <w:fldChar w:fldCharType="end"/>
      </w:r>
      <w:r>
        <w:rPr>
          <w:rFonts w:ascii="Times New Roman" w:hAnsi="Times New Roman" w:eastAsia="宋体"/>
          <w:color w:val="000000"/>
          <w:sz w:val="18"/>
        </w:rPr>
        <w:t>（打开Word后更新域即可刷新目录与页码）</w:t>
      </w:r>
    </w:p>
    <w:p>
      <w:pPr>
        <w:pStyle w:val="1"/>
        <w:keepNext/>
        <w:pageBreakBefore/>
        <w:spacing w:line="288" w:lineRule="auto" w:before="360" w:after="240"/>
      </w:pPr>
      <w:r>
        <w:rPr>
          <w:rFonts w:ascii="Times New Roman" w:hAnsi="Times New Roman" w:eastAsia="黑体"/>
          <w:b/>
          <w:color w:val="000000"/>
          <w:sz w:val="30"/>
        </w:rPr>
        <w:t>第2章 化学数据：从实验记录到可计算对象</w:t>
      </w:r>
    </w:p>
    <w:p>
      <w:pPr>
        <w:pStyle w:val="2"/>
        <w:keepNext/>
        <w:pageBreakBefore w:val="0"/>
        <w:spacing w:line="288" w:lineRule="auto" w:before="240" w:after="120"/>
      </w:pPr>
      <w:r>
        <w:rPr>
          <w:rFonts w:ascii="Times New Roman" w:hAnsi="Times New Roman" w:eastAsia="黑体"/>
          <w:b/>
          <w:color w:val="000000"/>
          <w:sz w:val="28"/>
        </w:rPr>
        <w:t>【章首导引】</w:t>
      </w:r>
    </w:p>
    <w:p>
      <w:pPr>
        <w:widowControl/>
        <w:spacing w:line="288" w:lineRule="auto" w:before="0" w:after="0"/>
        <w:ind w:firstLine="420"/>
        <w:jc w:val="both"/>
      </w:pPr>
      <w:r>
        <w:rPr>
          <w:rFonts w:ascii="Times New Roman" w:hAnsi="Times New Roman" w:eastAsia="宋体"/>
          <w:color w:val="000000"/>
          <w:sz w:val="21"/>
        </w:rPr>
        <w:t>化学数据不是脱离实验过程的一串数字。同样一个强度值，只有在知道波长、单位、积分时间、空白扣除方式、样品批次和仪器状态以后，才具有明确含义。许多建模失败并非算法能力不足，而是数据在进入模型以前已经失去坐标、单位或样品身份。本章建立化学数据的“对象观”：数据由数值、坐标、元数据和误差结构共同构成；预处理不是美化曲线，而是对测量过程作出可检验的校正。</w:t>
      </w:r>
    </w:p>
    <w:p>
      <w:pPr>
        <w:jc w:val="center"/>
      </w:pPr>
      <w:r>
        <w:drawing>
          <wp:inline xmlns:a="http://schemas.openxmlformats.org/drawingml/2006/main" xmlns:pic="http://schemas.openxmlformats.org/drawingml/2006/picture">
            <wp:extent cx="5120640" cy="5120640"/>
            <wp:docPr id="1" name="Picture 1"/>
            <wp:cNvGraphicFramePr>
              <a:graphicFrameLocks noChangeAspect="1"/>
            </wp:cNvGraphicFramePr>
            <a:graphic>
              <a:graphicData uri="http://schemas.openxmlformats.org/drawingml/2006/picture">
                <pic:pic>
                  <pic:nvPicPr>
                    <pic:cNvPr id="0" name="第02章_知识图谱.svg.png"/>
                    <pic:cNvPicPr/>
                  </pic:nvPicPr>
                  <pic:blipFill>
                    <a:blip r:embed="rId13"/>
                    <a:stretch>
                      <a:fillRect/>
                    </a:stretch>
                  </pic:blipFill>
                  <pic:spPr>
                    <a:xfrm>
                      <a:off x="0" y="0"/>
                      <a:ext cx="5120640" cy="5120640"/>
                    </a:xfrm>
                    <a:prstGeom prst="rect"/>
                  </pic:spPr>
                </pic:pic>
              </a:graphicData>
            </a:graphic>
          </wp:inline>
        </w:drawing>
      </w:r>
    </w:p>
    <w:p>
      <w:pPr>
        <w:jc w:val="center"/>
      </w:pPr>
      <w:r>
        <w:rPr>
          <w:rFonts w:ascii="Times New Roman" w:hAnsi="Times New Roman" w:eastAsia="宋体"/>
          <w:color w:val="000000"/>
          <w:sz w:val="18"/>
        </w:rPr>
        <w:t>图　本章知识结构（矢量原图见本章 figures 文件夹）</w:t>
      </w:r>
    </w:p>
    <w:p>
      <w:pPr>
        <w:pStyle w:val="2"/>
        <w:keepNext/>
        <w:pageBreakBefore w:val="0"/>
        <w:spacing w:line="288" w:lineRule="auto" w:before="240" w:after="120"/>
      </w:pPr>
      <w:r>
        <w:rPr>
          <w:rFonts w:ascii="Times New Roman" w:hAnsi="Times New Roman" w:eastAsia="黑体"/>
          <w:b/>
          <w:color w:val="000000"/>
          <w:sz w:val="28"/>
        </w:rPr>
        <w:t>2.1 化学数据的结构</w:t>
      </w:r>
    </w:p>
    <w:p>
      <w:pPr>
        <w:pStyle w:val="3"/>
        <w:keepNext/>
        <w:pageBreakBefore w:val="0"/>
        <w:spacing w:line="288" w:lineRule="auto" w:before="120" w:after="60"/>
      </w:pPr>
      <w:r>
        <w:rPr>
          <w:rFonts w:ascii="Times New Roman" w:hAnsi="Times New Roman" w:eastAsia="黑体"/>
          <w:b/>
          <w:color w:val="000000"/>
          <w:sz w:val="24"/>
        </w:rPr>
        <w:t>2.1.1 样品、变量和观测</w:t>
      </w:r>
    </w:p>
    <w:p>
      <w:pPr>
        <w:widowControl/>
        <w:spacing w:line="288" w:lineRule="auto" w:before="0" w:after="0"/>
        <w:ind w:firstLine="420"/>
        <w:jc w:val="both"/>
      </w:pPr>
      <w:r>
        <w:rPr>
          <w:rFonts w:ascii="Times New Roman" w:hAnsi="Times New Roman" w:eastAsia="宋体"/>
          <w:color w:val="000000"/>
          <w:sz w:val="21"/>
        </w:rPr>
        <w:t xml:space="preserve">表格数据通常写为 </w:t>
      </w:r>
      <w:r>
        <w:rPr>
          <w:rFonts w:ascii="Cambria Math" w:hAnsi="Cambria Math" w:eastAsia="宋体"/>
          <w:i/>
          <w:color w:val="000000"/>
          <w:sz w:val="21"/>
        </w:rPr>
        <w:t>X\in\mathbbR^n\times p</w:t>
      </w:r>
      <w:r>
        <w:rPr>
          <w:rFonts w:ascii="Times New Roman" w:hAnsi="Times New Roman" w:eastAsia="宋体"/>
          <w:color w:val="000000"/>
          <w:sz w:val="21"/>
        </w:rPr>
        <w:t xml:space="preserve">，行代表观测，列代表变量。但“一个观测”必须依据问题定义。若同一样品测量5次，这5行可以是仪器重复、制样重复或独立取样，三者对应不同误差层级，不能不加区分地作为5个独立样本。数据表中应有稳定的 </w:t>
      </w:r>
      <w:r>
        <w:rPr>
          <w:rFonts w:ascii="Menlo" w:hAnsi="Menlo" w:eastAsia="等线"/>
          <w:color w:val="000000"/>
          <w:sz w:val="19"/>
        </w:rPr>
        <w:t>sample_id</w:t>
      </w:r>
      <w:r>
        <w:rPr>
          <w:rFonts w:ascii="Times New Roman" w:hAnsi="Times New Roman" w:eastAsia="宋体"/>
          <w:color w:val="000000"/>
          <w:sz w:val="21"/>
        </w:rPr>
        <w:t>、</w:t>
      </w:r>
      <w:r>
        <w:rPr>
          <w:rFonts w:ascii="Menlo" w:hAnsi="Menlo" w:eastAsia="等线"/>
          <w:color w:val="000000"/>
          <w:sz w:val="19"/>
        </w:rPr>
        <w:t>batch_id</w:t>
      </w:r>
      <w:r>
        <w:rPr>
          <w:rFonts w:ascii="Times New Roman" w:hAnsi="Times New Roman" w:eastAsia="宋体"/>
          <w:color w:val="000000"/>
          <w:sz w:val="21"/>
        </w:rPr>
        <w:t>、</w:t>
      </w:r>
      <w:r>
        <w:rPr>
          <w:rFonts w:ascii="Menlo" w:hAnsi="Menlo" w:eastAsia="等线"/>
          <w:color w:val="000000"/>
          <w:sz w:val="19"/>
        </w:rPr>
        <w:t>replicate_type</w:t>
      </w:r>
      <w:r>
        <w:rPr>
          <w:rFonts w:ascii="Times New Roman" w:hAnsi="Times New Roman" w:eastAsia="宋体"/>
          <w:color w:val="000000"/>
          <w:sz w:val="21"/>
        </w:rPr>
        <w:t>、</w:t>
      </w:r>
      <w:r>
        <w:rPr>
          <w:rFonts w:ascii="Menlo" w:hAnsi="Menlo" w:eastAsia="等线"/>
          <w:color w:val="000000"/>
          <w:sz w:val="19"/>
        </w:rPr>
        <w:t>instrument_id</w:t>
      </w:r>
      <w:r>
        <w:rPr>
          <w:rFonts w:ascii="Times New Roman" w:hAnsi="Times New Roman" w:eastAsia="宋体"/>
          <w:color w:val="000000"/>
          <w:sz w:val="21"/>
        </w:rPr>
        <w:t xml:space="preserve"> 和 </w:t>
      </w:r>
      <w:r>
        <w:rPr>
          <w:rFonts w:ascii="Menlo" w:hAnsi="Menlo" w:eastAsia="等线"/>
          <w:color w:val="000000"/>
          <w:sz w:val="19"/>
        </w:rPr>
        <w:t>acquisition_time</w:t>
      </w:r>
      <w:r>
        <w:rPr>
          <w:rFonts w:ascii="Times New Roman" w:hAnsi="Times New Roman" w:eastAsia="宋体"/>
          <w:color w:val="000000"/>
          <w:sz w:val="21"/>
        </w:rPr>
        <w:t>，使后续能够按真实独立单位划分数据。</w:t>
      </w:r>
    </w:p>
    <w:p>
      <w:pPr>
        <w:widowControl/>
        <w:spacing w:line="288" w:lineRule="auto" w:before="0" w:after="0"/>
        <w:ind w:firstLine="420"/>
        <w:jc w:val="both"/>
      </w:pPr>
      <w:r>
        <w:rPr>
          <w:rFonts w:ascii="Times New Roman" w:hAnsi="Times New Roman" w:eastAsia="宋体"/>
          <w:color w:val="000000"/>
          <w:sz w:val="21"/>
        </w:rPr>
        <w:t>光谱、色谱和电化学曲线还必须保留坐标轴。只有强度数组而没有波长、保留时间或电位，无法判断不同文件是否在同一网格上。将多条曲线拼成矩阵前，应检查坐标范围、间隔、升降序、重复坐标和单位。插值对齐会引入相关误差，因此原始坐标和插值后的坐标都应保存。</w:t>
      </w:r>
    </w:p>
    <w:p>
      <w:pPr>
        <w:pStyle w:val="3"/>
        <w:keepNext/>
        <w:pageBreakBefore w:val="0"/>
        <w:spacing w:line="288" w:lineRule="auto" w:before="120" w:after="60"/>
      </w:pPr>
      <w:r>
        <w:rPr>
          <w:rFonts w:ascii="Times New Roman" w:hAnsi="Times New Roman" w:eastAsia="黑体"/>
          <w:b/>
          <w:color w:val="000000"/>
          <w:sz w:val="24"/>
        </w:rPr>
        <w:t>2.1.2 一阶、二阶与高阶数据</w:t>
      </w:r>
    </w:p>
    <w:p>
      <w:pPr>
        <w:widowControl/>
        <w:spacing w:line="288" w:lineRule="auto" w:before="0" w:after="0"/>
        <w:ind w:firstLine="420"/>
        <w:jc w:val="both"/>
      </w:pPr>
      <w:r>
        <w:rPr>
          <w:rFonts w:ascii="Times New Roman" w:hAnsi="Times New Roman" w:eastAsia="宋体"/>
          <w:color w:val="000000"/>
          <w:sz w:val="21"/>
        </w:rPr>
        <w:t xml:space="preserve">单个标量结果属于零阶数据；一条光谱或色谱是一阶数据；激发—发射矩阵、二维核磁谱或单个样品的高光谱图像属于二阶或更高阶数据。若每个样品对应矩阵 </w:t>
      </w:r>
      <w:r>
        <w:rPr>
          <w:rFonts w:ascii="Cambria Math" w:hAnsi="Cambria Math" w:eastAsia="宋体"/>
          <w:i/>
          <w:color w:val="000000"/>
          <w:sz w:val="21"/>
        </w:rPr>
        <w:t>X_i</w:t>
      </w:r>
      <w:r>
        <w:rPr>
          <w:rFonts w:ascii="Times New Roman" w:hAnsi="Times New Roman" w:eastAsia="宋体"/>
          <w:color w:val="000000"/>
          <w:sz w:val="21"/>
        </w:rPr>
        <w:t>，把所有矩阵简单展平为长向量会破坏相邻波长、空间位置或两个谱轴之间的结构。是否展平取决于方法：传统PCA可处理展开矩阵，多路PCA、PARAFAC或张量模型则保留多维结构。</w:t>
      </w:r>
    </w:p>
    <w:p>
      <w:pPr>
        <w:widowControl/>
        <w:spacing w:line="288" w:lineRule="auto" w:before="0" w:after="0"/>
        <w:ind w:firstLine="420"/>
        <w:jc w:val="both"/>
      </w:pPr>
      <w:r>
        <w:rPr>
          <w:rFonts w:ascii="Times New Roman" w:hAnsi="Times New Roman" w:eastAsia="宋体"/>
          <w:color w:val="000000"/>
          <w:sz w:val="21"/>
        </w:rPr>
        <w:t>数据阶数与化学选择性有关。二阶校准在一定条件下能够利用双线性结构分离未进入校准集的干扰，这被称为“二阶优势”。但该优势依赖组分轮廓近似双线性、因子数可辨和不同样品间轮廓可对应，不能只因为数据是三维数组就自动获得。</w:t>
      </w:r>
    </w:p>
    <w:p>
      <w:pPr>
        <w:pStyle w:val="3"/>
        <w:keepNext/>
        <w:pageBreakBefore w:val="0"/>
        <w:spacing w:line="288" w:lineRule="auto" w:before="120" w:after="60"/>
      </w:pPr>
      <w:r>
        <w:rPr>
          <w:rFonts w:ascii="Times New Roman" w:hAnsi="Times New Roman" w:eastAsia="黑体"/>
          <w:b/>
          <w:color w:val="000000"/>
          <w:sz w:val="24"/>
        </w:rPr>
        <w:t>2.1.3 元数据是模型变量的边界条件</w:t>
      </w:r>
    </w:p>
    <w:p>
      <w:pPr>
        <w:widowControl/>
        <w:spacing w:line="288" w:lineRule="auto" w:before="0" w:after="0"/>
        <w:ind w:firstLine="420"/>
        <w:jc w:val="both"/>
      </w:pPr>
      <w:r>
        <w:rPr>
          <w:rFonts w:ascii="Times New Roman" w:hAnsi="Times New Roman" w:eastAsia="宋体"/>
          <w:color w:val="000000"/>
          <w:sz w:val="21"/>
        </w:rPr>
        <w:t>元数据至少包括样品来源和处理、仪器型号与序列号、采集参数、校准状态、操作者、日期、环境条件、参考方法和数据处理版本。元数据有两个作用。第一，它使结果可追溯；第二，它能暴露混杂。例如类别与测量日期高度重合时，日期不是可有可无的记录，而是必须纳入数据划分和误差分析的变量。</w:t>
      </w:r>
    </w:p>
    <w:p>
      <w:pPr>
        <w:widowControl/>
        <w:spacing w:line="288" w:lineRule="auto" w:before="0" w:after="0"/>
        <w:ind w:firstLine="420"/>
        <w:jc w:val="both"/>
      </w:pPr>
      <w:r>
        <w:rPr>
          <w:rFonts w:ascii="Times New Roman" w:hAnsi="Times New Roman" w:eastAsia="宋体"/>
          <w:color w:val="000000"/>
          <w:sz w:val="21"/>
        </w:rPr>
        <w:t xml:space="preserve">建议把原始信号设为只读，任何处理都形成新数据层，并记录参数与软件版本。一个可追溯的数据对象可概括为：原始数据 </w:t>
      </w:r>
      <w:r>
        <w:rPr>
          <w:rFonts w:ascii="Menlo" w:hAnsi="Menlo" w:eastAsia="等线"/>
          <w:color w:val="000000"/>
          <w:sz w:val="19"/>
        </w:rPr>
        <w:t>raw</w:t>
      </w:r>
      <w:r>
        <w:rPr>
          <w:rFonts w:ascii="Times New Roman" w:hAnsi="Times New Roman" w:eastAsia="宋体"/>
          <w:color w:val="000000"/>
          <w:sz w:val="21"/>
        </w:rPr>
        <w:t xml:space="preserve">、坐标 </w:t>
      </w:r>
      <w:r>
        <w:rPr>
          <w:rFonts w:ascii="Menlo" w:hAnsi="Menlo" w:eastAsia="等线"/>
          <w:color w:val="000000"/>
          <w:sz w:val="19"/>
        </w:rPr>
        <w:t>axis</w:t>
      </w:r>
      <w:r>
        <w:rPr>
          <w:rFonts w:ascii="Times New Roman" w:hAnsi="Times New Roman" w:eastAsia="宋体"/>
          <w:color w:val="000000"/>
          <w:sz w:val="21"/>
        </w:rPr>
        <w:t xml:space="preserve">、样品表 </w:t>
      </w:r>
      <w:r>
        <w:rPr>
          <w:rFonts w:ascii="Menlo" w:hAnsi="Menlo" w:eastAsia="等线"/>
          <w:color w:val="000000"/>
          <w:sz w:val="19"/>
        </w:rPr>
        <w:t>sample_table</w:t>
      </w:r>
      <w:r>
        <w:rPr>
          <w:rFonts w:ascii="Times New Roman" w:hAnsi="Times New Roman" w:eastAsia="宋体"/>
          <w:color w:val="000000"/>
          <w:sz w:val="21"/>
        </w:rPr>
        <w:t xml:space="preserve">、变量表 </w:t>
      </w:r>
      <w:r>
        <w:rPr>
          <w:rFonts w:ascii="Menlo" w:hAnsi="Menlo" w:eastAsia="等线"/>
          <w:color w:val="000000"/>
          <w:sz w:val="19"/>
        </w:rPr>
        <w:t>variable_table</w:t>
      </w:r>
      <w:r>
        <w:rPr>
          <w:rFonts w:ascii="Times New Roman" w:hAnsi="Times New Roman" w:eastAsia="宋体"/>
          <w:color w:val="000000"/>
          <w:sz w:val="21"/>
        </w:rPr>
        <w:t xml:space="preserve">、处理历史 </w:t>
      </w:r>
      <w:r>
        <w:rPr>
          <w:rFonts w:ascii="Menlo" w:hAnsi="Menlo" w:eastAsia="等线"/>
          <w:color w:val="000000"/>
          <w:sz w:val="19"/>
        </w:rPr>
        <w:t>history</w:t>
      </w:r>
      <w:r>
        <w:rPr>
          <w:rFonts w:ascii="Times New Roman" w:hAnsi="Times New Roman" w:eastAsia="宋体"/>
          <w:color w:val="000000"/>
          <w:sz w:val="21"/>
        </w:rPr>
        <w:t xml:space="preserve"> 和质量标记 </w:t>
      </w:r>
      <w:r>
        <w:rPr>
          <w:rFonts w:ascii="Menlo" w:hAnsi="Menlo" w:eastAsia="等线"/>
          <w:color w:val="000000"/>
          <w:sz w:val="19"/>
        </w:rPr>
        <w:t>quality_flag</w:t>
      </w:r>
      <w:r>
        <w:rPr>
          <w:rFonts w:ascii="Times New Roman" w:hAnsi="Times New Roman" w:eastAsia="宋体"/>
          <w:color w:val="000000"/>
          <w:sz w:val="21"/>
        </w:rPr>
        <w:t>。CSV适合简单表格，但复杂光谱或图像更适合HDF5、NetCDF等能同时保存数组与元数据的格式。</w:t>
      </w:r>
    </w:p>
    <w:p>
      <w:pPr>
        <w:pStyle w:val="3"/>
        <w:keepNext/>
        <w:pageBreakBefore w:val="0"/>
        <w:spacing w:line="288" w:lineRule="auto" w:before="120" w:after="60"/>
      </w:pPr>
      <w:r>
        <w:rPr>
          <w:rFonts w:ascii="Times New Roman" w:hAnsi="Times New Roman" w:eastAsia="黑体"/>
          <w:b/>
          <w:color w:val="000000"/>
          <w:sz w:val="24"/>
        </w:rPr>
        <w:t>2.1.4 参照值也是一次测量</w:t>
      </w:r>
    </w:p>
    <w:p>
      <w:pPr>
        <w:widowControl/>
        <w:spacing w:line="288" w:lineRule="auto" w:before="0" w:after="0"/>
        <w:ind w:firstLine="420"/>
        <w:jc w:val="both"/>
      </w:pPr>
      <w:r>
        <w:rPr>
          <w:rFonts w:ascii="Times New Roman" w:hAnsi="Times New Roman" w:eastAsia="宋体"/>
          <w:color w:val="000000"/>
          <w:sz w:val="21"/>
        </w:rPr>
        <w:t xml:space="preserve">监督模型中的标签常被称为“真实值”，但分析化学中的浓度、活性、纯度和类别通常来自另一种分析方法。标签因此不是无误差常数，而是带有偏倚、重复性和检出能力的参照测量。若参照方法的标准差为 </w:t>
      </w:r>
      <w:r>
        <w:rPr>
          <w:rFonts w:ascii="Cambria Math" w:hAnsi="Cambria Math" w:eastAsia="宋体"/>
          <w:i/>
          <w:color w:val="000000"/>
          <w:sz w:val="21"/>
        </w:rPr>
        <w:t>s_y</w:t>
      </w:r>
      <w:r>
        <w:rPr>
          <w:rFonts w:ascii="Times New Roman" w:hAnsi="Times New Roman" w:eastAsia="宋体"/>
          <w:color w:val="000000"/>
          <w:sz w:val="21"/>
        </w:rPr>
        <w:t>，模型即使完美恢复了样品真实状态，其相对于标签的均方误差也不可能任意趋近于零。用一个误差很大的参照方法训练高精度模型，最终得到的往往只是对参照方法噪声的拟合。</w:t>
      </w:r>
    </w:p>
    <w:p>
      <w:pPr>
        <w:widowControl/>
        <w:spacing w:line="288" w:lineRule="auto" w:before="0" w:after="0"/>
        <w:ind w:firstLine="420"/>
        <w:jc w:val="both"/>
      </w:pPr>
      <w:r>
        <w:rPr>
          <w:rFonts w:ascii="Times New Roman" w:hAnsi="Times New Roman" w:eastAsia="宋体"/>
          <w:color w:val="000000"/>
          <w:sz w:val="21"/>
        </w:rPr>
        <w:t>校准数据应同时保存参照方法名称、前处理、校准物质、测量日期、平行次数及不确定度。参照值由多次平行测量平均得到时，要保留每次结果，而不只保留均值；这样才能区分参考方法的随机误差与候选模型的预测误差。当不同批次使用了不同参照实验室或方法版本时，批次间截距和斜率差异可能被模型错误解释为样品化学差异。</w:t>
      </w:r>
    </w:p>
    <w:p>
      <w:pPr>
        <w:widowControl/>
        <w:spacing w:line="288" w:lineRule="auto" w:before="0" w:after="0"/>
        <w:ind w:firstLine="420"/>
        <w:jc w:val="both"/>
      </w:pPr>
      <w:r>
        <w:rPr>
          <w:rFonts w:ascii="Times New Roman" w:hAnsi="Times New Roman" w:eastAsia="宋体"/>
          <w:color w:val="000000"/>
          <w:sz w:val="21"/>
        </w:rPr>
        <w:t>标签误差还可能具有结构。低于检出限的结果是区间信息而不是精确的零；人工谱峰归属可能存在类别混淆；病理诊断可能由多名专家给出不同判断。对这类数据，应使用删失似然、软标签、共识标签或带测量误差的回归，而不是把不确定标签强制写成确定数字。模型性能上限必须结合参照方法的重复性解释：预测误差只比参照重复性略高，可能已经接近可实现极限。</w:t>
      </w:r>
    </w:p>
    <w:p>
      <w:pPr>
        <w:pStyle w:val="3"/>
        <w:keepNext/>
        <w:pageBreakBefore w:val="0"/>
        <w:spacing w:line="288" w:lineRule="auto" w:before="120" w:after="60"/>
      </w:pPr>
      <w:r>
        <w:rPr>
          <w:rFonts w:ascii="Times New Roman" w:hAnsi="Times New Roman" w:eastAsia="黑体"/>
          <w:b/>
          <w:color w:val="000000"/>
          <w:sz w:val="24"/>
        </w:rPr>
        <w:t>2.1.5 坐标变换会改变误差结构</w:t>
      </w:r>
    </w:p>
    <w:p>
      <w:pPr>
        <w:widowControl/>
        <w:spacing w:line="288" w:lineRule="auto" w:before="0" w:after="0"/>
        <w:ind w:firstLine="420"/>
        <w:jc w:val="both"/>
      </w:pPr>
      <w:r>
        <w:rPr>
          <w:rFonts w:ascii="Times New Roman" w:hAnsi="Times New Roman" w:eastAsia="宋体"/>
          <w:color w:val="000000"/>
          <w:sz w:val="21"/>
        </w:rPr>
        <w:t xml:space="preserve">不同仪器的光谱常需插值到共同波数网格。设原始强度向量为 </w:t>
      </w:r>
      <w:r>
        <w:rPr>
          <w:rFonts w:ascii="Cambria Math" w:hAnsi="Cambria Math" w:eastAsia="宋体"/>
          <w:i/>
          <w:color w:val="000000"/>
          <w:sz w:val="21"/>
        </w:rPr>
        <w:t>x</w:t>
      </w:r>
      <w:r>
        <w:rPr>
          <w:rFonts w:ascii="Times New Roman" w:hAnsi="Times New Roman" w:eastAsia="宋体"/>
          <w:color w:val="000000"/>
          <w:sz w:val="21"/>
        </w:rPr>
        <w:t xml:space="preserve">，线性插值可写为 </w:t>
      </w:r>
      <w:r>
        <w:rPr>
          <w:rFonts w:ascii="Cambria Math" w:hAnsi="Cambria Math" w:eastAsia="宋体"/>
          <w:i/>
          <w:color w:val="000000"/>
          <w:sz w:val="21"/>
        </w:rPr>
        <w:t>x^\ast=Ax</w:t>
      </w:r>
      <w:r>
        <w:rPr>
          <w:rFonts w:ascii="Times New Roman" w:hAnsi="Times New Roman" w:eastAsia="宋体"/>
          <w:color w:val="000000"/>
          <w:sz w:val="21"/>
        </w:rPr>
        <w:t xml:space="preserve">，其中 </w:t>
      </w:r>
      <w:r>
        <w:rPr>
          <w:rFonts w:ascii="Cambria Math" w:hAnsi="Cambria Math" w:eastAsia="宋体"/>
          <w:i/>
          <w:color w:val="000000"/>
          <w:sz w:val="21"/>
        </w:rPr>
        <w:t>A</w:t>
      </w:r>
      <w:r>
        <w:rPr>
          <w:rFonts w:ascii="Times New Roman" w:hAnsi="Times New Roman" w:eastAsia="宋体"/>
          <w:color w:val="000000"/>
          <w:sz w:val="21"/>
        </w:rPr>
        <w:t xml:space="preserve"> 为插值矩阵。若原始噪声协方差为 </w:t>
      </w:r>
      <w:r>
        <w:rPr>
          <w:rFonts w:ascii="Cambria Math" w:hAnsi="Cambria Math" w:eastAsia="宋体"/>
          <w:i/>
          <w:color w:val="000000"/>
          <w:sz w:val="21"/>
        </w:rPr>
        <w:t>\Sigma</w:t>
      </w:r>
      <w:r>
        <w:rPr>
          <w:rFonts w:ascii="Times New Roman" w:hAnsi="Times New Roman" w:eastAsia="宋体"/>
          <w:color w:val="000000"/>
          <w:sz w:val="21"/>
        </w:rPr>
        <w:t>，插值后协方差变为</w:t>
      </w:r>
    </w:p>
    <w:p>
      <w:pPr>
        <w:spacing w:before="80" w:after="80"/>
        <w:jc w:val="center"/>
      </w:pPr>
      <w:r>
        <w:rPr>
          <w:rFonts w:ascii="Cambria Math" w:hAnsi="Cambria Math" w:eastAsia="宋体"/>
          <w:i/>
          <w:color w:val="000000"/>
          <w:sz w:val="21"/>
        </w:rPr>
        <w:t>\Sigma^{\ast}=A\Sigma A^T$$</w:t>
        <w:br/>
        <w:br/>
        <w:t>即使原始噪声近似独立，插值后的相邻变量也会相关。重复插值、平滑和重采样会进一步改变有效分辨率，不能把得到的点数误认为独立信息量。对于峰位敏感任务，最好先用标准物质估计仪器的波数偏差和分辨率函数，再在物理坐标层面校准；对于只做相似性检索的任务，则可采用容许小范围偏移的距离函数，避免过度插值。</w:t>
        <w:br/>
        <w:br/>
        <w:t>多模态融合也存在坐标问题。色谱—质谱数据需要保留时间与 $m/z$ 两个轴，显微光谱需要把空间坐标与谱轴共同登记。若不同模态只按样品编号粗略拼接，而采样位置或时间不一致，融合矩阵中的同一行并不代表同一化学状态。数据融合前应明确配对尺度：同一分子、同一样品、同一位置还是同一时间窗；配对误差本身应作为不确定度来源。</w:t>
        <w:br/>
        <w:br/>
        <w:t>## 2.2 数据质量审计</w:t>
        <w:br/>
        <w:br/>
        <w:t>### 2.2.1 缺失值不是一个统一问题</w:t>
        <w:br/>
        <w:br/>
        <w:t>缺失可能来自随机通信错误、低于检测限、样品不足或仪器量程外。若低浓度样品更易缺失，缺失机制与目标变量有关，把缺失值用列均值填充会系统性抬高低值并缩小方差。低于检测限的数据应保留删失信息，可采用删失模型或区间表达；偶发的单点坏值可在相邻结构支持下插值；整段缺失通常需要重测或将该波段排除。</w:t>
        <w:br/>
        <w:br/>
        <w:t>任何插补模型都只能在训练数据上拟合，再应用到验证和测试数据。先用全数据均值或KNN填补，再划分训练测试，会把测试分布泄漏到训练过程。</w:t>
        <w:br/>
        <w:br/>
        <w:t>### 2.2.2 异常值要先定位来源</w:t>
        <w:br/>
        <w:br/>
        <w:t>单变量箱线图适合发现明显越界值，但高维异常往往只在变量组合中出现。PCA得分、Hotelling $T^2$、Q残差和稳健马氏距离可以提供多变量诊断。异常处理遵循“标记—回查—解释—决定”的顺序：核对样品身份、原始文件、仪器日志和重复测量；能确认录入或设备错误时修正或剔除；若是稀有但真实样品，应保留并判断是否扩大校准域。</w:t>
        <w:br/>
        <w:br/>
        <w:t>把所有降低交叉验证性能的样品都称为异常值并删除，会把困难样品从问题定义中移走。删除标准必须在看到测试结果以前确定，并报告删除数量、原因和对结果的影响。</w:t>
        <w:br/>
        <w:br/>
        <w:t>### 2.2.3 重复测量用于分解方差</w:t>
        <w:br/>
        <w:br/>
        <w:t>技术重复描述仪器或同一制样的重复性，生物/批次重复描述总体差异。若有层级重复，可用随机效应模型表示</w:t>
      </w:r>
    </w:p>
    <w:p>
      <w:pPr>
        <w:widowControl/>
        <w:spacing w:line="288" w:lineRule="auto" w:before="0" w:after="0"/>
        <w:ind w:firstLine="420"/>
        <w:jc w:val="both"/>
      </w:pPr>
      <w:r>
        <w:rPr>
          <w:rFonts w:ascii="Times New Roman" w:hAnsi="Times New Roman" w:eastAsia="宋体"/>
          <w:color w:val="000000"/>
          <w:sz w:val="21"/>
        </w:rPr>
        <w:t xml:space="preserve">其中 </w:t>
      </w:r>
      <w:r>
        <w:rPr>
          <w:rFonts w:ascii="Cambria Math" w:hAnsi="Cambria Math" w:eastAsia="宋体"/>
          <w:i/>
          <w:color w:val="000000"/>
          <w:sz w:val="21"/>
        </w:rPr>
        <w:t>b_i</w:t>
      </w:r>
      <w:r>
        <w:rPr>
          <w:rFonts w:ascii="Times New Roman" w:hAnsi="Times New Roman" w:eastAsia="宋体"/>
          <w:color w:val="000000"/>
          <w:sz w:val="21"/>
        </w:rPr>
        <w:t xml:space="preserve"> 为批次效应，</w:t>
      </w:r>
      <w:r>
        <w:rPr>
          <w:rFonts w:ascii="Cambria Math" w:hAnsi="Cambria Math" w:eastAsia="宋体"/>
          <w:i/>
          <w:color w:val="000000"/>
          <w:sz w:val="21"/>
        </w:rPr>
        <w:t>s_j(i)</w:t>
      </w:r>
      <w:r>
        <w:rPr>
          <w:rFonts w:ascii="Times New Roman" w:hAnsi="Times New Roman" w:eastAsia="宋体"/>
          <w:color w:val="000000"/>
          <w:sz w:val="21"/>
        </w:rPr>
        <w:t xml:space="preserve"> 为批次内样品效应，</w:t>
      </w:r>
      <w:r>
        <w:rPr>
          <w:rFonts w:ascii="Cambria Math" w:hAnsi="Cambria Math" w:eastAsia="宋体"/>
          <w:i/>
          <w:color w:val="000000"/>
          <w:sz w:val="21"/>
        </w:rPr>
        <w:t>e_k(ij)</w:t>
      </w:r>
      <w:r>
        <w:rPr>
          <w:rFonts w:ascii="Times New Roman" w:hAnsi="Times New Roman" w:eastAsia="宋体"/>
          <w:color w:val="000000"/>
          <w:sz w:val="21"/>
        </w:rPr>
        <w:t xml:space="preserve"> 为重复测量误差。即使不正式拟合混合模型，也应通过方差分量判断重复扫描是否仍值得增加。若样品间方差远大于扫描误差，资源应投入更多独立样品；若扫描误差占主导，则应改善仪器条件或增加平均次数。</w:t>
      </w:r>
    </w:p>
    <w:p>
      <w:pPr>
        <w:pStyle w:val="3"/>
        <w:keepNext/>
        <w:pageBreakBefore w:val="0"/>
        <w:spacing w:line="288" w:lineRule="auto" w:before="120" w:after="60"/>
      </w:pPr>
      <w:r>
        <w:rPr>
          <w:rFonts w:ascii="Times New Roman" w:hAnsi="Times New Roman" w:eastAsia="黑体"/>
          <w:b/>
          <w:color w:val="000000"/>
          <w:sz w:val="24"/>
        </w:rPr>
        <w:t>2.2.4 质量控制样品用于观察时间维度</w:t>
      </w:r>
    </w:p>
    <w:p>
      <w:pPr>
        <w:widowControl/>
        <w:spacing w:line="288" w:lineRule="auto" w:before="0" w:after="0"/>
        <w:ind w:firstLine="420"/>
        <w:jc w:val="both"/>
      </w:pPr>
      <w:r>
        <w:rPr>
          <w:rFonts w:ascii="Times New Roman" w:hAnsi="Times New Roman" w:eastAsia="宋体"/>
          <w:color w:val="000000"/>
          <w:sz w:val="21"/>
        </w:rPr>
        <w:t xml:space="preserve">建模数据常被当作静态矩阵，实际仪器却随时间变化。固定质量控制样品、空白、标准物质和系统适用性样品可将时间维度重新带回数据。对质量控制响应 </w:t>
      </w:r>
      <w:r>
        <w:rPr>
          <w:rFonts w:ascii="Cambria Math" w:hAnsi="Cambria Math" w:eastAsia="宋体"/>
          <w:i/>
          <w:color w:val="000000"/>
          <w:sz w:val="21"/>
        </w:rPr>
        <w:t>q_t</w:t>
      </w:r>
      <w:r>
        <w:rPr>
          <w:rFonts w:ascii="Times New Roman" w:hAnsi="Times New Roman" w:eastAsia="宋体"/>
          <w:color w:val="000000"/>
          <w:sz w:val="21"/>
        </w:rPr>
        <w:t xml:space="preserve"> 绘制控制图时，首先建立稳定期均值 </w:t>
      </w:r>
      <w:r>
        <w:rPr>
          <w:rFonts w:ascii="Cambria Math" w:hAnsi="Cambria Math" w:eastAsia="宋体"/>
          <w:i/>
          <w:color w:val="000000"/>
          <w:sz w:val="21"/>
        </w:rPr>
        <w:t>\bar q</w:t>
      </w:r>
      <w:r>
        <w:rPr>
          <w:rFonts w:ascii="Times New Roman" w:hAnsi="Times New Roman" w:eastAsia="宋体"/>
          <w:color w:val="000000"/>
          <w:sz w:val="21"/>
        </w:rPr>
        <w:t xml:space="preserve"> 和标准差 </w:t>
      </w:r>
      <w:r>
        <w:rPr>
          <w:rFonts w:ascii="Cambria Math" w:hAnsi="Cambria Math" w:eastAsia="宋体"/>
          <w:i/>
          <w:color w:val="000000"/>
          <w:sz w:val="21"/>
        </w:rPr>
        <w:t>s_q</w:t>
      </w:r>
      <w:r>
        <w:rPr>
          <w:rFonts w:ascii="Times New Roman" w:hAnsi="Times New Roman" w:eastAsia="宋体"/>
          <w:color w:val="000000"/>
          <w:sz w:val="21"/>
        </w:rPr>
        <w:t xml:space="preserve">；传统Shewhart界限可写为 </w:t>
      </w:r>
      <w:r>
        <w:rPr>
          <w:rFonts w:ascii="Cambria Math" w:hAnsi="Cambria Math" w:eastAsia="宋体"/>
          <w:i/>
          <w:color w:val="000000"/>
          <w:sz w:val="21"/>
        </w:rPr>
        <w:t>\bar q\pm3s_q</w:t>
      </w:r>
      <w:r>
        <w:rPr>
          <w:rFonts w:ascii="Times New Roman" w:hAnsi="Times New Roman" w:eastAsia="宋体"/>
          <w:color w:val="000000"/>
          <w:sz w:val="21"/>
        </w:rPr>
        <w:t>。连续偏在均值一侧、缓慢趋势或周期波动，即使尚未越界，也可能意味着光源老化、色谱柱状态变化或环境影响。</w:t>
      </w:r>
    </w:p>
    <w:p>
      <w:pPr>
        <w:widowControl/>
        <w:spacing w:line="288" w:lineRule="auto" w:before="0" w:after="0"/>
        <w:ind w:firstLine="420"/>
        <w:jc w:val="both"/>
      </w:pPr>
      <w:r>
        <w:rPr>
          <w:rFonts w:ascii="Times New Roman" w:hAnsi="Times New Roman" w:eastAsia="宋体"/>
          <w:color w:val="000000"/>
          <w:sz w:val="21"/>
        </w:rPr>
        <w:t>控制图的目的不是机械删除越界数据，而是触发原因调查。若内标峰面积下降而保留时间稳定，可能是离子源或检测灵敏度变化；若所有峰整体平移，首先检查时间轴或温控；若只在特定基质出现漂移，则可能是污染或基质效应。把质量控制样品随机穿插在未知样品之间，比只在每日开始测一次更能识别批内漂移。</w:t>
      </w:r>
    </w:p>
    <w:p>
      <w:pPr>
        <w:widowControl/>
        <w:spacing w:line="288" w:lineRule="auto" w:before="0" w:after="0"/>
        <w:ind w:firstLine="420"/>
        <w:jc w:val="both"/>
      </w:pPr>
      <w:r>
        <w:rPr>
          <w:rFonts w:ascii="Times New Roman" w:hAnsi="Times New Roman" w:eastAsia="宋体"/>
          <w:color w:val="000000"/>
          <w:sz w:val="21"/>
        </w:rPr>
        <w:t>质量控制信息还决定模型维护策略。若原始信号变化但校准模型残差稳定，模型暂时仍可用；若质量控制落在仪器界限内而预测残差持续偏移，说明样品总体或参照方法发生了变化。因而应分别监控仪器状态、输入分布和预测性能，不能用单一准确率概括系统健康状态。</w:t>
      </w:r>
    </w:p>
    <w:p>
      <w:pPr>
        <w:pStyle w:val="2"/>
        <w:keepNext/>
        <w:pageBreakBefore w:val="0"/>
        <w:spacing w:line="288" w:lineRule="auto" w:before="240" w:after="120"/>
      </w:pPr>
      <w:r>
        <w:rPr>
          <w:rFonts w:ascii="Times New Roman" w:hAnsi="Times New Roman" w:eastAsia="黑体"/>
          <w:b/>
          <w:color w:val="000000"/>
          <w:sz w:val="28"/>
        </w:rPr>
        <w:t>2.3 信号预处理的机制与边界</w:t>
      </w:r>
    </w:p>
    <w:p>
      <w:pPr>
        <w:pStyle w:val="3"/>
        <w:keepNext/>
        <w:pageBreakBefore w:val="0"/>
        <w:spacing w:line="288" w:lineRule="auto" w:before="120" w:after="60"/>
      </w:pPr>
      <w:r>
        <w:rPr>
          <w:rFonts w:ascii="Times New Roman" w:hAnsi="Times New Roman" w:eastAsia="黑体"/>
          <w:b/>
          <w:color w:val="000000"/>
          <w:sz w:val="24"/>
        </w:rPr>
        <w:t>2.3.1 空白、基线和漂移</w:t>
      </w:r>
    </w:p>
    <w:p>
      <w:pPr>
        <w:widowControl/>
        <w:spacing w:line="288" w:lineRule="auto" w:before="0" w:after="0"/>
        <w:ind w:firstLine="420"/>
        <w:jc w:val="both"/>
      </w:pPr>
      <w:r>
        <w:rPr>
          <w:rFonts w:ascii="Times New Roman" w:hAnsi="Times New Roman" w:eastAsia="宋体"/>
          <w:color w:val="000000"/>
          <w:sz w:val="21"/>
        </w:rPr>
        <w:t>空白扣除假定空白响应能代表样品测量中的非目标背景。若空白与样品的基质、光路或时间不同，直接相减会产生负峰或残余结构。基线校正常见方法包括局部多项式、非对称最小二乘和形态学方法。参数应根据基线变化尺度而非峰高选择：惩罚过强会把宽峰当作基线，过弱则留下背景。</w:t>
      </w:r>
    </w:p>
    <w:p>
      <w:pPr>
        <w:widowControl/>
        <w:spacing w:line="288" w:lineRule="auto" w:before="0" w:after="0"/>
        <w:ind w:firstLine="420"/>
        <w:jc w:val="both"/>
      </w:pPr>
      <w:r>
        <w:rPr>
          <w:rFonts w:ascii="Times New Roman" w:hAnsi="Times New Roman" w:eastAsia="宋体"/>
          <w:color w:val="000000"/>
          <w:sz w:val="21"/>
        </w:rPr>
        <w:t>波长或峰位漂移与强度漂移不同。强度标准化不能修复横轴错位。应先用标准物质或稳定内标校准坐标轴，再做强度处理。若峰位移动本身反映温度、应力或构象变化，则“对齐”可能删除目标信息；是否对齐取决于峰位是干扰还是分析量。</w:t>
      </w:r>
    </w:p>
    <w:p>
      <w:pPr>
        <w:pStyle w:val="3"/>
        <w:keepNext/>
        <w:pageBreakBefore w:val="0"/>
        <w:spacing w:line="288" w:lineRule="auto" w:before="120" w:after="60"/>
      </w:pPr>
      <w:r>
        <w:rPr>
          <w:rFonts w:ascii="Times New Roman" w:hAnsi="Times New Roman" w:eastAsia="黑体"/>
          <w:b/>
          <w:color w:val="000000"/>
          <w:sz w:val="24"/>
        </w:rPr>
        <w:t>2.3.2 平滑的偏差—方差交换</w:t>
      </w:r>
    </w:p>
    <w:p>
      <w:pPr>
        <w:widowControl/>
        <w:spacing w:line="288" w:lineRule="auto" w:before="0" w:after="0"/>
        <w:ind w:firstLine="420"/>
        <w:jc w:val="both"/>
      </w:pPr>
      <w:r>
        <w:rPr>
          <w:rFonts w:ascii="Times New Roman" w:hAnsi="Times New Roman" w:eastAsia="宋体"/>
          <w:color w:val="000000"/>
          <w:sz w:val="21"/>
        </w:rPr>
        <w:t xml:space="preserve">对零均值且相互独立的噪声，平均 </w:t>
      </w:r>
      <w:r>
        <w:rPr>
          <w:rFonts w:ascii="Cambria Math" w:hAnsi="Cambria Math" w:eastAsia="宋体"/>
          <w:i/>
          <w:color w:val="000000"/>
          <w:sz w:val="21"/>
        </w:rPr>
        <w:t>m</w:t>
      </w:r>
      <w:r>
        <w:rPr>
          <w:rFonts w:ascii="Times New Roman" w:hAnsi="Times New Roman" w:eastAsia="宋体"/>
          <w:color w:val="000000"/>
          <w:sz w:val="21"/>
        </w:rPr>
        <w:t xml:space="preserve"> 次测量可使标准差近似降低为原来的 </w:t>
      </w:r>
      <w:r>
        <w:rPr>
          <w:rFonts w:ascii="Cambria Math" w:hAnsi="Cambria Math" w:eastAsia="宋体"/>
          <w:i/>
          <w:color w:val="000000"/>
          <w:sz w:val="21"/>
        </w:rPr>
        <w:t>1/\sqrt m</w:t>
      </w:r>
      <w:r>
        <w:rPr>
          <w:rFonts w:ascii="Times New Roman" w:hAnsi="Times New Roman" w:eastAsia="宋体"/>
          <w:color w:val="000000"/>
          <w:sz w:val="21"/>
        </w:rPr>
        <w:t>，但对慢漂移和相关噪声无效。移动平均、Savitzky–Golay和频域滤波都在降低方差的同时引入偏差。评估平滑不能只看信噪比，还应比较峰位偏差、峰面积保持率、半峰宽变化和下游模型误差。</w:t>
      </w:r>
    </w:p>
    <w:p>
      <w:pPr>
        <w:widowControl/>
        <w:spacing w:line="288" w:lineRule="auto" w:before="0" w:after="0"/>
        <w:ind w:firstLine="420"/>
        <w:jc w:val="both"/>
      </w:pPr>
      <w:r>
        <w:rPr>
          <w:rFonts w:ascii="Times New Roman" w:hAnsi="Times New Roman" w:eastAsia="宋体"/>
          <w:color w:val="000000"/>
          <w:sz w:val="21"/>
        </w:rPr>
        <w:t>Savitzky–Golay滤波本质上是在局部窗口内拟合多项式。它能保留低阶多项式形状，不等于“不会改变峰”。当峰宽接近窗口长度时，滤波仍会降低峰高。导数阶数越高，对高频噪声越敏感，通常应先在同一局部拟合中同时完成平滑和求导。</w:t>
      </w:r>
    </w:p>
    <w:p>
      <w:pPr>
        <w:pStyle w:val="3"/>
        <w:keepNext/>
        <w:pageBreakBefore w:val="0"/>
        <w:spacing w:line="288" w:lineRule="auto" w:before="120" w:after="60"/>
      </w:pPr>
      <w:r>
        <w:rPr>
          <w:rFonts w:ascii="Times New Roman" w:hAnsi="Times New Roman" w:eastAsia="黑体"/>
          <w:b/>
          <w:color w:val="000000"/>
          <w:sz w:val="24"/>
        </w:rPr>
        <w:t>2.3.3 归一化是否删除浓度信息</w:t>
      </w:r>
    </w:p>
    <w:p>
      <w:pPr>
        <w:widowControl/>
        <w:spacing w:line="288" w:lineRule="auto" w:before="0" w:after="0"/>
        <w:ind w:firstLine="420"/>
        <w:jc w:val="both"/>
      </w:pPr>
      <w:r>
        <w:rPr>
          <w:rFonts w:ascii="Times New Roman" w:hAnsi="Times New Roman" w:eastAsia="宋体"/>
          <w:color w:val="000000"/>
          <w:sz w:val="21"/>
        </w:rPr>
        <w:t>面积归一化、最大值归一化和向量归一化都把强度尺度转为相对组成。它们适合总量无关、只关心相对谱形的任务；若目标浓度主要通过整体强度体现，则会删除关键信息。SNV和MSC用于减弱散射，也可能削弱与粒径或密度相关的真实性质。选择预处理前要明确：模型要对哪些变化不变，又必须对哪些变化敏感。</w:t>
      </w:r>
    </w:p>
    <w:p>
      <w:pPr>
        <w:pStyle w:val="3"/>
        <w:keepNext/>
        <w:pageBreakBefore w:val="0"/>
        <w:spacing w:line="288" w:lineRule="auto" w:before="120" w:after="60"/>
      </w:pPr>
      <w:r>
        <w:rPr>
          <w:rFonts w:ascii="Times New Roman" w:hAnsi="Times New Roman" w:eastAsia="黑体"/>
          <w:b/>
          <w:color w:val="000000"/>
          <w:sz w:val="24"/>
        </w:rPr>
        <w:t>2.3.4 峰参数与全谱表示</w:t>
      </w:r>
    </w:p>
    <w:p>
      <w:pPr>
        <w:widowControl/>
        <w:spacing w:line="288" w:lineRule="auto" w:before="0" w:after="0"/>
        <w:ind w:firstLine="420"/>
        <w:jc w:val="both"/>
      </w:pPr>
      <w:r>
        <w:rPr>
          <w:rFonts w:ascii="Times New Roman" w:hAnsi="Times New Roman" w:eastAsia="宋体"/>
          <w:color w:val="000000"/>
          <w:sz w:val="21"/>
        </w:rPr>
        <w:t>把信号转化为峰位、峰高、面积、半峰宽和峰形参数，是经典分析中常用的特征提取。其优势是维数低、含义明确，并能直接接入校准和显著性检验；缺点是峰检测、基线和积分边界都会引入离散决策误差。对强重叠峰，单峰拟合常出现多组参数都能解释数据的情况，参数协方差很大，此时报告一个小数很多的峰位并不意味着高确定性。</w:t>
      </w:r>
    </w:p>
    <w:p>
      <w:pPr>
        <w:widowControl/>
        <w:spacing w:line="288" w:lineRule="auto" w:before="0" w:after="0"/>
        <w:ind w:firstLine="420"/>
        <w:jc w:val="both"/>
      </w:pPr>
      <w:r>
        <w:rPr>
          <w:rFonts w:ascii="Times New Roman" w:hAnsi="Times New Roman" w:eastAsia="宋体"/>
          <w:color w:val="000000"/>
          <w:sz w:val="21"/>
        </w:rPr>
        <w:t>全谱建模不要求先把每个峰完全分开，可利用弱而分散的组分信息，特别适合近红外和复杂基质。但它也更容易利用背景、容器和仪器差异。峰参数法与全谱法并非二选一：可先用物理模型提取稳定的峰组参数，再把拟合残差或未归属谱段交给多变量模型；也可以用全谱模型定位重要波段，再回到峰形和化学归属进行验证。</w:t>
      </w:r>
    </w:p>
    <w:p>
      <w:pPr>
        <w:widowControl/>
        <w:spacing w:line="288" w:lineRule="auto" w:before="0" w:after="0"/>
        <w:ind w:firstLine="420"/>
        <w:jc w:val="both"/>
      </w:pPr>
      <w:r>
        <w:rPr>
          <w:rFonts w:ascii="Times New Roman" w:hAnsi="Times New Roman" w:eastAsia="宋体"/>
          <w:color w:val="000000"/>
          <w:sz w:val="21"/>
        </w:rPr>
        <w:t>峰拟合常写为多个组分函数之和，例如高斯峰</w:t>
      </w:r>
    </w:p>
    <w:p>
      <w:pPr>
        <w:spacing w:before="80" w:after="80"/>
        <w:jc w:val="center"/>
      </w:pPr>
      <w:r>
        <w:rPr>
          <w:rFonts w:ascii="Cambria Math" w:hAnsi="Cambria Math" w:eastAsia="宋体"/>
          <w:i/>
          <w:color w:val="000000"/>
          <w:sz w:val="21"/>
        </w:rPr>
        <w:t>g(\nu)=A\exp\left[-\frac{(\nu-\nu_0)^2}{2\sigma^2}\right]$$</w:t>
        <w:br/>
        <w:br/>
        <w:t>其中面积为 $A\sigma\sqrt{2\pi}$。真实谱峰可能更接近Lorentz或Voigt形状，仪器分辨率还会与真实峰卷积。模型选择应看残差是否仍含系统结构、参数是否稳定以及是否符合已知分辨率，而不是单纯比较拟合优度。</w:t>
        <w:br/>
        <w:br/>
        <w:t>### 2.3.5 预处理是一组候选测量模型</w:t>
        <w:br/>
        <w:br/>
        <w:t>“先做SG平滑、再求导、再SNV”不应成为默认流水线。每一种处理都隐含一个假设：平滑假设高频主要是噪声；导数假设缓慢变化是背景；SNV假设样品间乘性和加性差异无关；对齐假设峰位变化不是目标信息。串联处理意味着同时接受这些假设，并可能放大前一步产生的伪影。</w:t>
        <w:br/>
        <w:br/>
        <w:t>更可靠的做法是预先定义少量有机制依据的候选管线，在训练数据内部比较，并把“无预处理”作为基线。比较结果不只看交叉验证RMSE，还应检查处理后信号的峰位、面积和重复性，观察所选管线在不同折中是否稳定。若某一复杂管线只比简单管线改善极少，却显著增加参数和维护成本，应优先选择简单管线。</w:t>
        <w:br/>
        <w:br/>
        <w:t>当预处理参数需要优化时，窗口宽度、基线惩罚和导数阶数必须置于内层交叉验证。选择完毕后，应把算法、参数、拟合样本和输出单位固化为可执行对象，使新样品接受完全相同的变换。预处理不是建模前的一次性手工修图，而是最终分析方法的一部分。</w:t>
        <w:br/>
        <w:br/>
        <w:t>## 2.4 可视化作为诊断工具</w:t>
        <w:br/>
        <w:br/>
        <w:t>### 2.4.1 先看原始信号，再看低维投影</w:t>
        <w:br/>
        <w:br/>
        <w:t>光谱叠图应先显示全部样品，再按批次、类别、浓度或时间着色。均值曲线和置信带能显示总体差异，但均值会掩盖亚群和离群点。差谱适合定位相对变化，前提是坐标已校准且基线处理合理。热图能呈现大量样品的整体结构，但颜色范围和行列排序会显著影响视觉结论。</w:t>
        <w:br/>
        <w:br/>
        <w:t>PCA、t-SNE和UMAP图只能作为结构线索。t-SNE和UMAP强调局部邻域，坐标轴没有直接化学意义，簇间距离也不等同于原空间距离。调参直到类别分离，再把图作为证据，会产生视觉过拟合。低维图应与原始变量、批次元数据和外部验证配合。</w:t>
        <w:br/>
        <w:br/>
        <w:t>### 2.4.2 残差图比拟合图更能暴露问题</w:t>
        <w:br/>
        <w:br/>
        <w:t>回归中，预测值—实测值图容易被宽范围和高 $R^2$ 迷惑。残差对预测值、浓度、批次和时间的图更能发现异方差、非线性和漂移。低浓度处相对误差较大可能来自加性噪声；高浓度处残差系统弯曲可能是饱和或Beer–Lambert偏离；按日期逐渐偏移说明模型需要维护，而非增加模型复杂度。</w:t>
        <w:br/>
        <w:br/>
        <w:t>## 2.5 从数据文件到建模矩阵的推荐流程</w:t>
        <w:br/>
        <w:br/>
        <w:t>一个可靠流程依次完成：建立样品主表和唯一标识；验证文件与样品的一一对应；检查坐标、单位、范围和仪器参数；标记缺失、饱和、坏点和重复；划分训练、验证和测试的独立单位；只在训练数据内拟合插补、缩放、基线和特征选择；保存处理参数；最后形成可供第3章建模的矩阵和审计报告。</w:t>
        <w:br/>
        <w:br/>
        <w:t>其中最容易被忽略的是顺序。数据划分应先于任何利用总体分布的学习型预处理；仪器校准应先于数学对齐；原始异常回查应先于算法剔除。流程的目的不是把数据变得整齐，而是让每一步改变都能追溯到一个明确的测量假设。</w:t>
        <w:br/>
        <w:br/>
        <w:t>## 【本章小结】</w:t>
        <w:br/>
        <w:br/>
        <w:t>化学数据由数值、坐标、元数据和误差层级组成。一个矩阵是否可用于建模，取决于行是否代表正确的独立单位、列是否具有一致坐标与单位、数据划分是否符合未来使用场景，以及预处理是否只去除了任务定义中的无关变化。数据清洗不是把异常和缺失隐藏起来，而是保留其来源并决定它们对推断边界的影响。</w:t>
        <w:br/>
        <w:br/>
        <w:t>## 【思考题与习题】</w:t>
        <w:br/>
        <w:br/>
        <w:t>### 基础题（60%）</w:t>
        <w:br/>
        <w:br/>
        <w:t>1. 区分独立取样、制样重复和仪器重复，并说明三者能估计哪些方差。</w:t>
        <w:br/>
        <w:t>2. 为什么光谱强度数组必须与坐标轴和单位共同保存？</w:t>
        <w:br/>
        <w:t>3. 举例说明低于检出限的缺失为什么不能简单用均值填补。</w:t>
        <w:br/>
        <w:t>4. 比较SNV、MSC和向量归一化的目的与风险。</w:t>
        <w:br/>
        <w:br/>
        <w:t>### 进阶题（30%）</w:t>
        <w:br/>
        <w:br/>
        <w:t>5. 为一批跨两台仪器、三个月采集的光谱设计样品表字段和数据划分方案。</w:t>
        <w:br/>
        <w:t>6. 设计一个实验，定量比较移动平均与Savitzky–Golay对峰高、半峰宽和预测误差的影响。</w:t>
        <w:br/>
        <w:br/>
        <w:t>### 开放题（10%）</w:t>
        <w:br/>
        <w:br/>
        <w:t>7. 选择一份自己的仪器数据，画出从原始文件到建模矩阵的数据谱系，指出当前无法追溯的环节。</w:t>
        <w:br/>
        <w:br/>
        <w:t>## 【代码实践】</w:t>
        <w:br/>
        <w:br/>
        <w:t>代码文件 `01_data_audit.py` 读取带有样品元数据的光谱表，检查重复标识、坐标不一致、缺失和饱和；`02_spectral_preprocessing.py` 比较SNV、MSC、Savitzky–Golay与基线校正；`03_variance_components.py` 用重复数据估计样品间、制样和扫描方差。所有处理均输出参数日志，禁止覆盖原始文件。</w:t>
      </w:r>
    </w:p>
    <w:sectPr w:rsidR="00DF2813">
      <w:headerReference w:type="default" r:id="rId9"/>
      <w:footerReference w:type="default" r:id="rId10"/>
      <w:pgSz w:w="10411" w:h="14746"/>
      <w:pgMar w:top="1411" w:right="1253" w:bottom="1411" w:left="125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41C9A" w14:textId="77777777" w:rsidR="000B6296" w:rsidRDefault="000B6296">
      <w:pPr>
        <w:spacing w:after="0"/>
      </w:pPr>
      <w:r>
        <w:separator/>
      </w:r>
    </w:p>
  </w:endnote>
  <w:endnote w:type="continuationSeparator" w:id="0">
    <w:p w14:paraId="02E66D36" w14:textId="77777777" w:rsidR="000B6296" w:rsidRDefault="000B6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E3B54" w14:textId="77777777" w:rsidR="00DF2813" w:rsidRDefault="00DF28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AC7C5" w14:textId="486F403A" w:rsidR="00DF2813" w:rsidRDefault="000B6296">
    <w:pPr>
      <w:jc w:val="center"/>
    </w:pPr>
    <w: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71DDB" w14:textId="77777777" w:rsidR="000B6296" w:rsidRDefault="000B6296">
      <w:pPr>
        <w:spacing w:after="0"/>
      </w:pPr>
      <w:r>
        <w:separator/>
      </w:r>
    </w:p>
  </w:footnote>
  <w:footnote w:type="continuationSeparator" w:id="0">
    <w:p w14:paraId="10E87919" w14:textId="77777777" w:rsidR="000B6296" w:rsidRDefault="000B6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A9FA5" w14:textId="77777777" w:rsidR="00DF2813" w:rsidRDefault="00DF281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B503F" w14:textId="77777777" w:rsidR="00DF2813" w:rsidRDefault="000B6296">
    <w:pPr>
      <w:jc w:val="center"/>
    </w:pPr>
    <w:r>
      <w:rPr>
        <w:rFonts w:ascii="Times New Roman" w:hAnsi="Times New Roman" w:eastAsia="宋体"/>
        <w:color w:val="000000"/>
        <w:sz w:val="18"/>
      </w:rPr>
      <w:t>智能分析化学：化学计量学主干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000A991"/>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00A99411"/>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2"/>
    <w:multiLevelType w:val="multilevel"/>
    <w:tmpl w:val="00A99412"/>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3" w15:restartNumberingAfterBreak="0">
    <w:nsid w:val="00A99413"/>
    <w:multiLevelType w:val="multilevel"/>
    <w:tmpl w:val="00A99413"/>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4" w15:restartNumberingAfterBreak="0">
    <w:nsid w:val="00A99416"/>
    <w:multiLevelType w:val="multilevel"/>
    <w:tmpl w:val="00A99416"/>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5" w15:restartNumberingAfterBreak="0">
    <w:nsid w:val="00A99417"/>
    <w:multiLevelType w:val="multilevel"/>
    <w:tmpl w:val="00A99417"/>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6" w15:restartNumberingAfterBreak="0">
    <w:nsid w:val="00A99419"/>
    <w:multiLevelType w:val="multilevel"/>
    <w:tmpl w:val="00A99419"/>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7" w15:restartNumberingAfterBreak="0">
    <w:nsid w:val="0A994110"/>
    <w:multiLevelType w:val="multilevel"/>
    <w:tmpl w:val="0A994110"/>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8" w15:restartNumberingAfterBreak="0">
    <w:nsid w:val="0A994111"/>
    <w:multiLevelType w:val="multilevel"/>
    <w:tmpl w:val="0A994111"/>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 w15:restartNumberingAfterBreak="0">
    <w:nsid w:val="0A994113"/>
    <w:multiLevelType w:val="multilevel"/>
    <w:tmpl w:val="0A994113"/>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0">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64">
    <w:abstractNumId w:val="9"/>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0">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5">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9">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DF2813"/>
    <w:rsid w:val="000B6296"/>
    <w:rsid w:val="003208BF"/>
    <w:rsid w:val="00DF2813"/>
    <w:rsid w:val="06A724A7"/>
    <w:rsid w:val="192E7DCB"/>
    <w:rsid w:val="3C4076A1"/>
    <w:rsid w:val="60143417"/>
    <w:rsid w:val="629F2D68"/>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B6579"/>
  <w15:docId w15:val="{205839D2-68C0-46F1-AD46-0C8BD5521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footnote reference"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eastAsiaTheme="minorHAnsi"/>
      <w:sz w:val="24"/>
      <w:szCs w:val="24"/>
      <w:lang w:eastAsia="en-US"/>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pPr>
      <w:spacing w:after="120"/>
    </w:pPr>
    <w:rPr>
      <w:i/>
    </w:rPr>
  </w:style>
  <w:style w:type="paragraph" w:styleId="a6">
    <w:name w:val="Block Text"/>
    <w:basedOn w:val="a0"/>
    <w:next w:val="a0"/>
    <w:uiPriority w:val="9"/>
    <w:unhideWhenUsed/>
    <w:qFormat/>
    <w:pPr>
      <w:spacing w:before="100" w:after="100"/>
      <w:ind w:left="480" w:right="480"/>
    </w:pPr>
  </w:style>
  <w:style w:type="paragraph" w:styleId="a7">
    <w:name w:val="Date"/>
    <w:next w:val="a0"/>
    <w:qFormat/>
    <w:pPr>
      <w:keepNext/>
      <w:keepLines/>
      <w:spacing w:after="200"/>
      <w:jc w:val="center"/>
    </w:pPr>
    <w:rPr>
      <w:rFonts w:eastAsiaTheme="minorHAnsi"/>
      <w:sz w:val="24"/>
      <w:szCs w:val="24"/>
      <w:lang w:eastAsia="en-US"/>
    </w:rPr>
  </w:style>
  <w:style w:type="paragraph" w:styleId="a8">
    <w:name w:val="Subtitle"/>
    <w:basedOn w:val="a9"/>
    <w:next w:val="a0"/>
    <w:qFormat/>
    <w:pPr>
      <w:spacing w:before="240"/>
    </w:pPr>
    <w:rPr>
      <w:sz w:val="30"/>
      <w:szCs w:val="30"/>
    </w:rPr>
  </w:style>
  <w:style w:type="paragraph" w:styleId="a9">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a">
    <w:name w:val="footnote text"/>
    <w:basedOn w:val="a"/>
    <w:uiPriority w:val="9"/>
    <w:unhideWhenUsed/>
    <w:qFormat/>
  </w:style>
  <w:style w:type="character" w:styleId="ab">
    <w:name w:val="Hyperlink"/>
    <w:basedOn w:val="a4"/>
    <w:qFormat/>
    <w:rPr>
      <w:color w:val="4F81BD" w:themeColor="accent1"/>
    </w:rPr>
  </w:style>
  <w:style w:type="character" w:customStyle="1" w:styleId="a4">
    <w:name w:val="正文文本 字符"/>
    <w:basedOn w:val="a1"/>
    <w:link w:val="a0"/>
    <w:qFormat/>
  </w:style>
  <w:style w:type="character" w:styleId="ac">
    <w:name w:val="footnote reference"/>
    <w:basedOn w:val="a4"/>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customStyle="1" w:styleId="Author">
    <w:name w:val="Author"/>
    <w:next w:val="a0"/>
    <w:qFormat/>
    <w:pPr>
      <w:keepNext/>
      <w:keepLines/>
      <w:spacing w:after="200"/>
      <w:jc w:val="center"/>
    </w:pPr>
    <w:rPr>
      <w:rFonts w:eastAsiaTheme="minorHAnsi"/>
      <w:sz w:val="24"/>
      <w:szCs w:val="24"/>
      <w:lang w:eastAsia="en-US"/>
    </w:rPr>
  </w:style>
  <w:style w:type="paragraph" w:customStyle="1" w:styleId="Abstract">
    <w:name w:val="Abstract"/>
    <w:basedOn w:val="a"/>
    <w:next w:val="a0"/>
    <w:qFormat/>
    <w:pPr>
      <w:keepNext/>
      <w:keepLines/>
      <w:spacing w:before="300" w:after="300"/>
    </w:pPr>
    <w:rPr>
      <w:sz w:val="20"/>
      <w:szCs w:val="20"/>
    </w:rPr>
  </w:style>
  <w:style w:type="paragraph" w:customStyle="1" w:styleId="10">
    <w:name w:val="书目1"/>
    <w:basedOn w:val="a"/>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character" w:customStyle="1" w:styleId="VerbatimChar">
    <w:name w:val="Verbatim Char"/>
    <w:basedOn w:val="a4"/>
    <w:link w:val="SourceCode"/>
    <w:qFormat/>
    <w:rPr>
      <w:rFonts w:ascii="Consolas" w:hAnsi="Consolas"/>
      <w:sz w:val="22"/>
    </w:rPr>
  </w:style>
  <w:style w:type="paragraph" w:customStyle="1" w:styleId="SourceCode">
    <w:name w:val="Source Code"/>
    <w:basedOn w:val="a"/>
    <w:link w:val="VerbatimChar"/>
    <w:qFormat/>
    <w:pPr>
      <w:shd w:val="clear" w:color="auto" w:fill="F8F8F8"/>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qFormat/>
    <w:rPr>
      <w:rFonts w:ascii="Consolas" w:hAnsi="Consolas"/>
      <w:b/>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000000"/>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color w:val="0000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b/>
      <w:i/>
      <w:color w:val="8F5902"/>
      <w:sz w:val="22"/>
      <w:shd w:val="clear" w:color="auto" w:fill="F8F8F8"/>
    </w:rPr>
  </w:style>
  <w:style w:type="character" w:customStyle="1" w:styleId="AnnotationTok">
    <w:name w:val="AnnotationTok"/>
    <w:basedOn w:val="VerbatimChar"/>
    <w:qFormat/>
    <w:rPr>
      <w:rFonts w:ascii="Consolas" w:hAnsi="Consolas"/>
      <w:b/>
      <w:i/>
      <w:color w:val="8F5902"/>
      <w:sz w:val="22"/>
      <w:shd w:val="clear" w:color="auto" w:fill="F8F8F8"/>
    </w:rPr>
  </w:style>
  <w:style w:type="character" w:customStyle="1" w:styleId="CommentVarTok">
    <w:name w:val="CommentVarTok"/>
    <w:basedOn w:val="VerbatimChar"/>
    <w:qFormat/>
    <w:rPr>
      <w:rFonts w:ascii="Consolas" w:hAnsi="Consolas"/>
      <w:b/>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color w:val="000000"/>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b/>
      <w:color w:val="204A87"/>
      <w:sz w:val="22"/>
      <w:shd w:val="clear" w:color="auto" w:fill="F8F8F8"/>
    </w:rPr>
  </w:style>
  <w:style w:type="character" w:customStyle="1" w:styleId="OperatorTok">
    <w:name w:val="OperatorTok"/>
    <w:basedOn w:val="VerbatimChar"/>
    <w:qFormat/>
    <w:rPr>
      <w:rFonts w:ascii="Consolas" w:hAnsi="Consolas"/>
      <w:b/>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C4A000"/>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b/>
      <w:i/>
      <w:color w:val="8F5902"/>
      <w:sz w:val="22"/>
      <w:shd w:val="clear" w:color="auto" w:fill="F8F8F8"/>
    </w:rPr>
  </w:style>
  <w:style w:type="character" w:customStyle="1" w:styleId="WarningTok">
    <w:name w:val="WarningTok"/>
    <w:basedOn w:val="VerbatimChar"/>
    <w:qFormat/>
    <w:rPr>
      <w:rFonts w:ascii="Consolas" w:hAnsi="Consolas"/>
      <w:b/>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b/>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497</Pages>
  <Words>78486</Words>
  <Characters>447373</Characters>
  <Application>Microsoft Office Word</Application>
  <DocSecurity>0</DocSecurity>
  <Lines>3728</Lines>
  <Paragraphs>1049</Paragraphs>
  <ScaleCrop>false</ScaleCrop>
  <Company/>
  <LinksUpToDate>false</LinksUpToDate>
  <CharactersWithSpaces>524810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傅钢</dc:creator>
  <cp:lastModifiedBy>Bin Ren</cp:lastModifiedBy>
  <cp:revision>2</cp:revision>
  <dcterms:created xsi:type="dcterms:W3CDTF">2026-05-06T14:15:00Z</dcterms:created>
  <dcterms:modified xsi:type="dcterms:W3CDTF">2026-05-07T01:22:00Z</dcterms:modified>
  <dc:title>智能分析化学：化学计量学主干章节重写稿</dc:title>
  <dc:subject>第2—5章出版内容审阅稿</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eyJoZGlkIjoiMDljYzUzMWQ4OWI0YzBkYjYzMDRhZTY5ZjZkYmFmYTgiLCJ1c2VySWQiOiIzNDY3ODI5MDMifQ==</vt:lpwstr>
  </property>
  <property fmtid="{D5CDD505-2E9C-101B-9397-08002B2CF9AE}" pid="3" name="KSOProductBuildVer">
    <vt:lpwstr>2052-12.1.0.25865</vt:lpwstr>
  </property>
  <property fmtid="{D5CDD505-2E9C-101B-9397-08002B2CF9AE}" pid="4" name="ICV">
    <vt:lpwstr>74DB65D882BD4BF7A9A58B5557D771E8_12</vt:lpwstr>
  </property>
</Properties>
</file>