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/>
    <w:p/>
    <w:p/>
    <w:p/>
    <w:p>
      <w:pPr>
        <w:jc w:val="center"/>
      </w:pPr>
      <w:r>
        <w:rPr>
          <w:rFonts w:ascii="Times New Roman" w:hAnsi="Times New Roman" w:eastAsia="黑体"/>
          <w:b/>
          <w:color w:val="000000"/>
          <w:sz w:val="56"/>
        </w:rPr>
        <w:t>智能分析化学</w:t>
      </w:r>
    </w:p>
    <w:p>
      <w:pPr>
        <w:jc w:val="center"/>
      </w:pPr>
      <w:r>
        <w:rPr>
          <w:rFonts w:ascii="Times New Roman" w:hAnsi="Times New Roman" w:eastAsia="黑体"/>
          <w:b/>
          <w:color w:val="000000"/>
          <w:sz w:val="40"/>
        </w:rPr>
        <w:t>化学计量学主干章节重写稿</w:t>
      </w:r>
    </w:p>
    <w:p>
      <w:pPr>
        <w:jc w:val="center"/>
      </w:pPr>
      <w:r>
        <w:rPr>
          <w:rFonts w:ascii="Times New Roman" w:hAnsi="Times New Roman" w:eastAsia="黑体"/>
          <w:color w:val="000000"/>
          <w:sz w:val="28"/>
        </w:rPr>
        <w:t>单章审阅稿</w:t>
      </w:r>
    </w:p>
    <w:p/>
    <w:p/>
    <w:p/>
    <w:p/>
    <w:p/>
    <w:p/>
    <w:p/>
    <w:p/>
    <w:p/>
    <w:p/>
    <w:p>
      <w:pPr>
        <w:jc w:val="center"/>
      </w:pPr>
      <w:r>
        <w:rPr>
          <w:rFonts w:ascii="Times New Roman" w:hAnsi="Times New Roman" w:eastAsia="宋体"/>
          <w:color w:val="000000"/>
          <w:sz w:val="21"/>
        </w:rPr>
        <w:t>依据课程课件、授课转译与《化学计量学》《化学测量学》教材体系重写</w:t>
      </w:r>
    </w:p>
    <w:p>
      <w:pPr>
        <w:jc w:val="center"/>
      </w:pPr>
      <w:r>
        <w:rPr>
          <w:rFonts w:ascii="Times New Roman" w:hAnsi="Times New Roman" w:eastAsia="宋体"/>
          <w:color w:val="000000"/>
          <w:sz w:val="21"/>
        </w:rPr>
        <w:t>版本 v2.3 · 供逐章审阅</w:t>
      </w:r>
    </w:p>
    <w:p>
      <w:r>
        <w:br w:type="page"/>
      </w:r>
    </w:p>
    <w:p>
      <w:pPr>
        <w:pStyle w:val="1"/>
      </w:pPr>
      <w:r>
        <w:rPr>
          <w:rFonts w:ascii="Times New Roman" w:hAnsi="Times New Roman" w:eastAsia="宋体"/>
          <w:color w:val="000000"/>
          <w:sz w:val="21"/>
        </w:rPr>
        <w:t>目录</w:t>
      </w:r>
    </w:p>
    <w:p>
      <w:r>
        <w:fldChar w:fldCharType="begin"/>
        <w:instrText xml:space="preserve"> TOC \o "1-3" \h \z \u </w:instrText>
        <w:fldChar w:fldCharType="separate"/>
        <w:fldChar w:fldCharType="end"/>
      </w:r>
      <w:r>
        <w:rPr>
          <w:rFonts w:ascii="Times New Roman" w:hAnsi="Times New Roman" w:eastAsia="宋体"/>
          <w:color w:val="000000"/>
          <w:sz w:val="18"/>
        </w:rPr>
        <w:t>（打开Word后更新域即可刷新目录与页码）</w:t>
      </w:r>
    </w:p>
    <w:p>
      <w:pPr>
        <w:pStyle w:val="1"/>
        <w:keepNext/>
        <w:pageBreakBefore/>
        <w:spacing w:line="288" w:lineRule="auto" w:before="360" w:after="240"/>
      </w:pPr>
      <w:r>
        <w:rPr>
          <w:rFonts w:ascii="Times New Roman" w:hAnsi="Times New Roman" w:eastAsia="黑体"/>
          <w:b/>
          <w:color w:val="000000"/>
          <w:sz w:val="30"/>
        </w:rPr>
        <w:t>第3章 化学计量学：从测量信号到化学信息</w:t>
      </w:r>
    </w:p>
    <w:p>
      <w:pPr>
        <w:pStyle w:val="2"/>
        <w:keepNext/>
        <w:pageBreakBefore w:val="0"/>
        <w:spacing w:line="288" w:lineRule="auto"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【章首导引】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一张光谱并不是一幅供人观看的曲线，而是一组按波长或波数排列的测量值；一批样品的光谱也不只是许多曲线的叠加，而是一个具有行、列、秩、相关结构和误差结构的数据矩阵。把曲线改写成矩阵，并不只是为了让计算机能够读取。更重要的变化是：样品之间的差异、变量之间的共线性、组分的线性叠加、噪声所占的子空间，以及浓度与信号之间的对应关系，都可以转化为能够检验的数学问题。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化学计量学研究的正是这种转化。它并非某一种算法的名称，也不是在实验结束以后附加的一步“统计处理”，而是贯穿采样、试验设计、信号获取、校准、识别和决策的测量方法学。它要回答三个相互关联的问题：所得样品能否代表研究对象；测得的信号中哪些变化来自化学组成，哪些来自仪器、环境和随机误差；在未知样品上，模型给出的数值或类别能否继续成立。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本章从一个统一的测量模型出发，依次讨论样品代表性、信号矩阵、主成分分析、多元校正、模式识别和模型验证。重点不在于背诵算法步骤，而在于建立一种分析习惯：每做一次数学变换，都要说清它改变了什么量、保留了什么信息、可能丢失什么化学意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5120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第03章_知识图谱.sv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120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color w:val="000000"/>
          <w:sz w:val="18"/>
        </w:rPr>
        <w:t>图　本章知识结构（矢量原图见本章 figures 文件夹）</w:t>
      </w:r>
    </w:p>
    <w:p>
      <w:pPr>
        <w:pStyle w:val="2"/>
        <w:keepNext/>
        <w:pageBreakBefore w:val="0"/>
        <w:spacing w:line="288" w:lineRule="auto"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3.1 化学计量学的对象：测量链而不是算法表</w:t>
      </w:r>
    </w:p>
    <w:p>
      <w:pPr>
        <w:pStyle w:val="3"/>
        <w:keepNext/>
        <w:pageBreakBefore w:val="0"/>
        <w:spacing w:line="288" w:lineRule="auto" w:before="120" w:after="60"/>
      </w:pPr>
      <w:r>
        <w:rPr>
          <w:rFonts w:ascii="Times New Roman" w:hAnsi="Times New Roman" w:eastAsia="黑体"/>
          <w:b/>
          <w:color w:val="000000"/>
          <w:sz w:val="24"/>
        </w:rPr>
        <w:t>3.1.1 从单变量标定到多变量测量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 xml:space="preserve">经典定量分析最熟悉的形式是单变量校准。若某一波长处的吸光度 </w:t>
      </w:r>
      <w:r>
        <w:rPr>
          <w:rFonts w:ascii="Cambria Math" w:hAnsi="Cambria Math" w:eastAsia="宋体"/>
          <w:i/>
          <w:color w:val="000000"/>
          <w:sz w:val="21"/>
        </w:rPr>
        <w:t>a</w:t>
      </w:r>
      <w:r>
        <w:rPr>
          <w:rFonts w:ascii="Times New Roman" w:hAnsi="Times New Roman" w:eastAsia="宋体"/>
          <w:color w:val="000000"/>
          <w:sz w:val="21"/>
        </w:rPr>
        <w:t xml:space="preserve"> 与待测组分浓度 </w:t>
      </w:r>
      <w:r>
        <w:rPr>
          <w:rFonts w:ascii="Cambria Math" w:hAnsi="Cambria Math" w:eastAsia="宋体"/>
          <w:i/>
          <w:color w:val="000000"/>
          <w:sz w:val="21"/>
        </w:rPr>
        <w:t>c</w:t>
      </w:r>
      <w:r>
        <w:rPr>
          <w:rFonts w:ascii="Times New Roman" w:hAnsi="Times New Roman" w:eastAsia="宋体"/>
          <w:color w:val="000000"/>
          <w:sz w:val="21"/>
        </w:rPr>
        <w:t xml:space="preserve"> 在给定条件下满足线性关系，可写为</w:t>
      </w:r>
    </w:p>
    <w:p>
      <w:pPr>
        <w:spacing w:before="80" w:after="80"/>
        <w:jc w:val="center"/>
      </w:pPr>
      <w:r>
        <w:rPr>
          <w:rFonts w:ascii="Cambria Math" w:hAnsi="Cambria Math" w:eastAsia="宋体"/>
          <w:i/>
          <w:color w:val="000000"/>
          <w:sz w:val="21"/>
        </w:rPr>
        <w:t>a=b_0+b_1c+e$$</w:t>
        <w:br/>
        <w:br/>
        <w:t>其中 $b_0$ 表示空白、背景或仪器零点造成的截距，$b_1$ 是灵敏度，$e$ 汇集无法由模型解释的误差。单变量方法成立，隐含了几个很强的条件：所选波长对待测物有足够响应；共存物在该处没有显著吸收，或其影响已经被分离和校正；光程、温度和样品物态足够稳定；浓度范围内没有明显非线性。</w:t>
        <w:br/>
        <w:br/>
        <w:t>复杂样品往往不满足这些条件。近红外光谱的谱带宽而重叠，拉曼光谱可能叠加荧光背景，色谱峰会发生共洗脱，电化学响应同时受浓度、传质和电极表面状态影响。此时只选择一个峰高或单一波长，相当于主动丢弃其余测量通道。多变量方法把每个样品在 $p$ 个测量通道上的响应写成行向量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 xml:space="preserve">把 </w:t>
      </w:r>
      <w:r>
        <w:rPr>
          <w:rFonts w:ascii="Cambria Math" w:hAnsi="Cambria Math" w:eastAsia="宋体"/>
          <w:i/>
          <w:color w:val="000000"/>
          <w:sz w:val="21"/>
        </w:rPr>
        <w:t>n</w:t>
      </w:r>
      <w:r>
        <w:rPr>
          <w:rFonts w:ascii="Times New Roman" w:hAnsi="Times New Roman" w:eastAsia="宋体"/>
          <w:color w:val="000000"/>
          <w:sz w:val="21"/>
        </w:rPr>
        <w:t xml:space="preserve"> 个样品堆叠后得到矩阵 </w:t>
      </w:r>
      <w:r>
        <w:rPr>
          <w:rFonts w:ascii="Cambria Math" w:hAnsi="Cambria Math" w:eastAsia="宋体"/>
          <w:i/>
          <w:color w:val="000000"/>
          <w:sz w:val="21"/>
        </w:rPr>
        <w:t>X\in\mathbbR^n\times p</w:t>
      </w:r>
      <w:r>
        <w:rPr>
          <w:rFonts w:ascii="Times New Roman" w:hAnsi="Times New Roman" w:eastAsia="宋体"/>
          <w:color w:val="000000"/>
          <w:sz w:val="21"/>
        </w:rPr>
        <w:t xml:space="preserve">。若要预测一个性质或浓度，响应写成 </w:t>
      </w:r>
      <w:r>
        <w:rPr>
          <w:rFonts w:ascii="Cambria Math" w:hAnsi="Cambria Math" w:eastAsia="宋体"/>
          <w:i/>
          <w:color w:val="000000"/>
          <w:sz w:val="21"/>
        </w:rPr>
        <w:t>y\in\mathbbR^n</w:t>
      </w:r>
      <w:r>
        <w:rPr>
          <w:rFonts w:ascii="Times New Roman" w:hAnsi="Times New Roman" w:eastAsia="宋体"/>
          <w:color w:val="000000"/>
          <w:sz w:val="21"/>
        </w:rPr>
        <w:t xml:space="preserve">；若同时预测多个组分，则写成 </w:t>
      </w:r>
      <w:r>
        <w:rPr>
          <w:rFonts w:ascii="Cambria Math" w:hAnsi="Cambria Math" w:eastAsia="宋体"/>
          <w:i/>
          <w:color w:val="000000"/>
          <w:sz w:val="21"/>
        </w:rPr>
        <w:t>Y\in\mathbbR^n\times q</w:t>
      </w:r>
      <w:r>
        <w:rPr>
          <w:rFonts w:ascii="Times New Roman" w:hAnsi="Times New Roman" w:eastAsia="宋体"/>
          <w:color w:val="000000"/>
          <w:sz w:val="21"/>
        </w:rPr>
        <w:t xml:space="preserve">。化学计量学的基本任务由此变为：从 </w:t>
      </w:r>
      <w:r>
        <w:rPr>
          <w:rFonts w:ascii="Cambria Math" w:hAnsi="Cambria Math" w:eastAsia="宋体"/>
          <w:i/>
          <w:color w:val="000000"/>
          <w:sz w:val="21"/>
        </w:rPr>
        <w:t>X</w:t>
      </w:r>
      <w:r>
        <w:rPr>
          <w:rFonts w:ascii="Times New Roman" w:hAnsi="Times New Roman" w:eastAsia="宋体"/>
          <w:color w:val="000000"/>
          <w:sz w:val="21"/>
        </w:rPr>
        <w:t xml:space="preserve"> 的相关结构中提取与 </w:t>
      </w:r>
      <w:r>
        <w:rPr>
          <w:rFonts w:ascii="Cambria Math" w:hAnsi="Cambria Math" w:eastAsia="宋体"/>
          <w:i/>
          <w:color w:val="000000"/>
          <w:sz w:val="21"/>
        </w:rPr>
        <w:t>y</w:t>
      </w:r>
      <w:r>
        <w:rPr>
          <w:rFonts w:ascii="Times New Roman" w:hAnsi="Times New Roman" w:eastAsia="宋体"/>
          <w:color w:val="000000"/>
          <w:sz w:val="21"/>
        </w:rPr>
        <w:t xml:space="preserve"> 或 </w:t>
      </w:r>
      <w:r>
        <w:rPr>
          <w:rFonts w:ascii="Cambria Math" w:hAnsi="Cambria Math" w:eastAsia="宋体"/>
          <w:i/>
          <w:color w:val="000000"/>
          <w:sz w:val="21"/>
        </w:rPr>
        <w:t>Y</w:t>
      </w:r>
      <w:r>
        <w:rPr>
          <w:rFonts w:ascii="Times New Roman" w:hAnsi="Times New Roman" w:eastAsia="宋体"/>
          <w:color w:val="000000"/>
          <w:sz w:val="21"/>
        </w:rPr>
        <w:t xml:space="preserve"> 有关、且能在新样品上重复出现的信息。</w:t>
      </w:r>
    </w:p>
    <w:p>
      <w:pPr>
        <w:pStyle w:val="3"/>
        <w:keepNext/>
        <w:pageBreakBefore w:val="0"/>
        <w:spacing w:line="288" w:lineRule="auto" w:before="120" w:after="60"/>
      </w:pPr>
      <w:r>
        <w:rPr>
          <w:rFonts w:ascii="Times New Roman" w:hAnsi="Times New Roman" w:eastAsia="黑体"/>
          <w:b/>
          <w:color w:val="000000"/>
          <w:sz w:val="24"/>
        </w:rPr>
        <w:t>3.1.2 矩阵运算的化学含义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 xml:space="preserve">在光谱具有近似线性叠加性质时，混合物光谱可表示为若干纯组分光谱的线性组合。设 </w:t>
      </w:r>
      <w:r>
        <w:rPr>
          <w:rFonts w:ascii="Cambria Math" w:hAnsi="Cambria Math" w:eastAsia="宋体"/>
          <w:i/>
          <w:color w:val="000000"/>
          <w:sz w:val="21"/>
        </w:rPr>
        <w:t>k</w:t>
      </w:r>
      <w:r>
        <w:rPr>
          <w:rFonts w:ascii="Times New Roman" w:hAnsi="Times New Roman" w:eastAsia="宋体"/>
          <w:color w:val="000000"/>
          <w:sz w:val="21"/>
        </w:rPr>
        <w:t xml:space="preserve"> 个组分的浓度组成矩阵 </w:t>
      </w:r>
      <w:r>
        <w:rPr>
          <w:rFonts w:ascii="Cambria Math" w:hAnsi="Cambria Math" w:eastAsia="宋体"/>
          <w:i/>
          <w:color w:val="000000"/>
          <w:sz w:val="21"/>
        </w:rPr>
        <w:t>C\in\mathbbR^n\times k</w:t>
      </w:r>
      <w:r>
        <w:rPr>
          <w:rFonts w:ascii="Times New Roman" w:hAnsi="Times New Roman" w:eastAsia="宋体"/>
          <w:color w:val="000000"/>
          <w:sz w:val="21"/>
        </w:rPr>
        <w:t xml:space="preserve">，纯组分光谱组成矩阵 </w:t>
      </w:r>
      <w:r>
        <w:rPr>
          <w:rFonts w:ascii="Cambria Math" w:hAnsi="Cambria Math" w:eastAsia="宋体"/>
          <w:i/>
          <w:color w:val="000000"/>
          <w:sz w:val="21"/>
        </w:rPr>
        <w:t>S\in\mathbbR^p\times k</w:t>
      </w:r>
      <w:r>
        <w:rPr>
          <w:rFonts w:ascii="Times New Roman" w:hAnsi="Times New Roman" w:eastAsia="宋体"/>
          <w:color w:val="000000"/>
          <w:sz w:val="21"/>
        </w:rPr>
        <w:t>，则</w:t>
      </w:r>
    </w:p>
    <w:p>
      <w:pPr>
        <w:spacing w:before="80" w:after="80"/>
        <w:jc w:val="center"/>
      </w:pPr>
      <w:r>
        <w:rPr>
          <w:rFonts w:ascii="Cambria Math" w:hAnsi="Cambria Math" w:eastAsia="宋体"/>
          <w:i/>
          <w:color w:val="000000"/>
          <w:sz w:val="21"/>
        </w:rPr>
        <w:t>\mathbf{X}=\mathbf{C}\mathbf{S}^{\mathrm T}+\mathbf{E}$$</w:t>
        <w:br/>
        <w:br/>
        <w:t>$\mathbf{E}$ 包括噪声、背景、未建模组分和非线性偏差。这个简单表达式揭示了几种常用运算的化学意义。向量相加可以对应物质混合后的信号叠加；标量乘法可以对应浓度或光程变化；内积衡量一个信号沿另一方向的投影，可用于相似度或组分贡献的估计；矩阵求逆或广义逆对应由混合信号反推组分，但只有当组成方向足够独立且矩阵条件良好时，这种反演才稳定；矩阵分解则试图把共同变化与残差分开。</w:t>
        <w:br/>
        <w:br/>
        <w:t>因此，线性代数不是脱离化学的形式工具。它给出了“混合—投影—分解—重构”的共同语言。不过，Beer–Lambert偏离、散射、反应平衡变化、峰位漂移和饱和响应都会破坏简单线性模型。任何线性分解的化学解释，都必须先检查线性叠加是否在研究范围内近似成立。</w:t>
        <w:br/>
        <w:br/>
        <w:t>### 3.1.3 测量模型与误差分层</w:t>
        <w:br/>
        <w:br/>
        <w:t>一个更接近实验实际的测量表达式是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 xml:space="preserve">其中 </w:t>
      </w:r>
      <w:r>
        <w:rPr>
          <w:rFonts w:ascii="Cambria Math" w:hAnsi="Cambria Math" w:eastAsia="宋体"/>
          <w:i/>
          <w:color w:val="000000"/>
          <w:sz w:val="21"/>
        </w:rPr>
        <w:t>c</w:t>
      </w:r>
      <w:r>
        <w:rPr>
          <w:rFonts w:ascii="Times New Roman" w:hAnsi="Times New Roman" w:eastAsia="宋体"/>
          <w:color w:val="000000"/>
          <w:sz w:val="21"/>
        </w:rPr>
        <w:t xml:space="preserve"> 是关注的化学组成，</w:t>
      </w:r>
      <w:r>
        <w:rPr>
          <w:rFonts w:ascii="Cambria Math" w:hAnsi="Cambria Math" w:eastAsia="宋体"/>
          <w:i/>
          <w:color w:val="000000"/>
          <w:sz w:val="21"/>
        </w:rPr>
        <w:t>z</w:t>
      </w:r>
      <w:r>
        <w:rPr>
          <w:rFonts w:ascii="Times New Roman" w:hAnsi="Times New Roman" w:eastAsia="宋体"/>
          <w:color w:val="000000"/>
          <w:sz w:val="21"/>
        </w:rPr>
        <w:t xml:space="preserve"> 是基质、温度、粒径、含水量等伴随状态，</w:t>
      </w:r>
      <w:r>
        <w:rPr>
          <w:rFonts w:ascii="Cambria Math" w:hAnsi="Cambria Math" w:eastAsia="宋体"/>
          <w:i/>
          <w:color w:val="000000"/>
          <w:sz w:val="21"/>
        </w:rPr>
        <w:t>\boldsymbol\theta</w:t>
      </w:r>
      <w:r>
        <w:rPr>
          <w:rFonts w:ascii="Times New Roman" w:hAnsi="Times New Roman" w:eastAsia="宋体"/>
          <w:color w:val="000000"/>
          <w:sz w:val="21"/>
        </w:rPr>
        <w:t xml:space="preserve"> 表示仪器分辨率、光源强度、波长轴和检测器响应等仪器参数，</w:t>
      </w:r>
      <w:r>
        <w:rPr>
          <w:rFonts w:ascii="Cambria Math" w:hAnsi="Cambria Math" w:eastAsia="宋体"/>
          <w:i/>
          <w:color w:val="000000"/>
          <w:sz w:val="21"/>
        </w:rPr>
        <w:t>\boldsymbol\varepsilon</w:t>
      </w:r>
      <w:r>
        <w:rPr>
          <w:rFonts w:ascii="Times New Roman" w:hAnsi="Times New Roman" w:eastAsia="宋体"/>
          <w:color w:val="000000"/>
          <w:sz w:val="21"/>
        </w:rPr>
        <w:t xml:space="preserve"> 是随机误差。建模时最危险的情形不是误差大，而是模型把 </w:t>
      </w:r>
      <w:r>
        <w:rPr>
          <w:rFonts w:ascii="Cambria Math" w:hAnsi="Cambria Math" w:eastAsia="宋体"/>
          <w:i/>
          <w:color w:val="000000"/>
          <w:sz w:val="21"/>
        </w:rPr>
        <w:t>z</w:t>
      </w:r>
      <w:r>
        <w:rPr>
          <w:rFonts w:ascii="Times New Roman" w:hAnsi="Times New Roman" w:eastAsia="宋体"/>
          <w:color w:val="000000"/>
          <w:sz w:val="21"/>
        </w:rPr>
        <w:t xml:space="preserve"> 或 </w:t>
      </w:r>
      <w:r>
        <w:rPr>
          <w:rFonts w:ascii="Cambria Math" w:hAnsi="Cambria Math" w:eastAsia="宋体"/>
          <w:i/>
          <w:color w:val="000000"/>
          <w:sz w:val="21"/>
        </w:rPr>
        <w:t>\boldsymbol\theta</w:t>
      </w:r>
      <w:r>
        <w:rPr>
          <w:rFonts w:ascii="Times New Roman" w:hAnsi="Times New Roman" w:eastAsia="宋体"/>
          <w:color w:val="000000"/>
          <w:sz w:val="21"/>
        </w:rPr>
        <w:t xml:space="preserve"> 的变化当作 </w:t>
      </w:r>
      <w:r>
        <w:rPr>
          <w:rFonts w:ascii="Cambria Math" w:hAnsi="Cambria Math" w:eastAsia="宋体"/>
          <w:i/>
          <w:color w:val="000000"/>
          <w:sz w:val="21"/>
        </w:rPr>
        <w:t>c</w:t>
      </w:r>
      <w:r>
        <w:rPr>
          <w:rFonts w:ascii="Times New Roman" w:hAnsi="Times New Roman" w:eastAsia="宋体"/>
          <w:color w:val="000000"/>
          <w:sz w:val="21"/>
        </w:rPr>
        <w:t xml:space="preserve"> 的证据。例如，某批阳性样品全部在A仪器测量，阴性样品全部在B仪器测量，即使分类准确率接近100%，模型也可能只学会了仪器差异。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所以，化学计量学首先是一套误差管理思想。采样误差决定被测部分是否代表总体；参考方法误差限制校准模型能达到的上限；仪器误差影响信号的可比性；建模误差反映模型形式和参数选择；部署误差则来自未来样品与建模样品之间的分布变化。后续每一种方法，都应放回这五层误差中理解。</w:t>
      </w:r>
    </w:p>
    <w:p>
      <w:pPr>
        <w:pStyle w:val="2"/>
        <w:keepNext/>
        <w:pageBreakBefore w:val="0"/>
        <w:spacing w:line="288" w:lineRule="auto"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3.2 采样与校准集合：模型从哪里获得适用范围</w:t>
      </w:r>
    </w:p>
    <w:p>
      <w:pPr>
        <w:pStyle w:val="3"/>
        <w:keepNext/>
        <w:pageBreakBefore w:val="0"/>
        <w:spacing w:line="288" w:lineRule="auto" w:before="120" w:after="60"/>
      </w:pPr>
      <w:r>
        <w:rPr>
          <w:rFonts w:ascii="Times New Roman" w:hAnsi="Times New Roman" w:eastAsia="黑体"/>
          <w:b/>
          <w:color w:val="000000"/>
          <w:sz w:val="24"/>
        </w:rPr>
        <w:t>3.2.1 代表性不是“样品数量足够多”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分析结果试图描述的通常是一个总体、一个批次、一段过程或一类未来样品，而实际测量的只是其中很小一部分。代表性要求抽取的样品保留总体中与目标问题有关的主要变异。它既是空间问题，也是时间问题和状态问题。对粮食近红外模型而言，产地、品种、年份、含水量、粒径和储藏条件都可能改变光谱；对在线过程监测而言，原料批次、温度、压力、流量和催化剂状态共同决定未来数据范围。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随机采样能减小主观选择，但并不自动保证小样本覆盖稀有状态；系统采样适合连续过程，却可能与周期变化发生混叠；分层采样先按已知影响因素划分层，再在层内抽取，常比完全随机抽样更有效；代表性采样则要求结合对象知识，确保极端值、边界状态和关键干扰因素进入样本集合。真正的代表性不是总体分布的机械缩小版，而是相对于任务定义的覆盖。</w:t>
      </w:r>
    </w:p>
    <w:p>
      <w:pPr>
        <w:pStyle w:val="3"/>
        <w:keepNext/>
        <w:pageBreakBefore w:val="0"/>
        <w:spacing w:line="288" w:lineRule="auto" w:before="120" w:after="60"/>
      </w:pPr>
      <w:r>
        <w:rPr>
          <w:rFonts w:ascii="Times New Roman" w:hAnsi="Times New Roman" w:eastAsia="黑体"/>
          <w:b/>
          <w:color w:val="000000"/>
          <w:sz w:val="24"/>
        </w:rPr>
        <w:t>3.2.2 采样误差与测量误差不可互相补偿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对于非均匀固体，大颗粒、组分团聚和空间分层会使取样方差远大于仪器重复测量方差。此时反复扫描同一份样品只能降低仪器噪声，不能纠正取样偏差。设总方差近似分解为</w:t>
      </w:r>
    </w:p>
    <w:p>
      <w:pPr>
        <w:spacing w:before="80" w:after="80"/>
        <w:jc w:val="center"/>
      </w:pPr>
      <w:r>
        <w:rPr>
          <w:rFonts w:ascii="Cambria Math" w:hAnsi="Cambria Math" w:eastAsia="宋体"/>
          <w:i/>
          <w:color w:val="000000"/>
          <w:sz w:val="21"/>
        </w:rPr>
        <w:t>s^2_{\mathrm{total}}=s^2_{\mathrm{sampling}}+s^2_{\mathrm{preparation}}+s^2_{\mathrm{instrument}}+s^2_{\mathrm{reference}}$$</w:t>
        <w:br/>
        <w:br/>
        <w:t>如果 $s^2_{\mathrm{sampling}}$ 占主导，应增加独立取样、改善混匀和缩分流程，而不是继续增加同一样品的扫描次数。这个方差预算思想比笼统追求“高精度”更有操作性：先找出误差的主导层级，再决定把实验资源投入哪里。</w:t>
        <w:br/>
        <w:br/>
        <w:t>### 3.2.3 校准集、验证集与未知集</w:t>
        <w:br/>
        <w:br/>
        <w:t>校准集负责建立信号—性质关系；验证集用于选择潜变量数、预处理和超参数；测试集只用于在所有选择完成以后给出一次独立评价。若样本较少，可在校准集内部使用交叉验证，但最终性能仍应由外部测试集评估。三者不能只按随机比例机械切分。当同一原始样品的重复光谱被分到训练和测试两侧时，测试结果衡量的是重复测量的一致性，而不是对新样品的泛化能力。</w:t>
        <w:br/>
        <w:br/>
        <w:t>合理的划分单位应与未来使用场景一致。未来要预测新批次，就按批次分组；要跨仪器使用，就把某台仪器或某段时间留作外部测试；要外推到新结构，就按结构骨架或化学类别划分。数据划分不是计算步骤，而是对“未来未知样品是什么”的实验化表达。</w:t>
        <w:br/>
        <w:br/>
        <w:t>### 3.2.4 Kennard–Stone与SPXY</w:t>
        <w:br/>
        <w:br/>
        <w:t>当已有大量候选样品但参考测定昂贵时，可先根据光谱空间选择覆盖广的校准样品。Kennard–Stone方法先选取距离最远的两个样品，再迭代加入与已选集合的最小距离最大的样品。若 $D(i,j)$ 表示样品 $i$ 与 $j$ 的距离，则下一样品为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 xml:space="preserve">这种“最远点填充”能覆盖 </w:t>
      </w:r>
      <w:r>
        <w:rPr>
          <w:rFonts w:ascii="Cambria Math" w:hAnsi="Cambria Math" w:eastAsia="宋体"/>
          <w:i/>
          <w:color w:val="000000"/>
          <w:sz w:val="21"/>
        </w:rPr>
        <w:t>X</w:t>
      </w:r>
      <w:r>
        <w:rPr>
          <w:rFonts w:ascii="Times New Roman" w:hAnsi="Times New Roman" w:eastAsia="宋体"/>
          <w:color w:val="000000"/>
          <w:sz w:val="21"/>
        </w:rPr>
        <w:t xml:space="preserve"> 空间边界，但完全不知道目标变量 </w:t>
      </w:r>
      <w:r>
        <w:rPr>
          <w:rFonts w:ascii="Cambria Math" w:hAnsi="Cambria Math" w:eastAsia="宋体"/>
          <w:i/>
          <w:color w:val="000000"/>
          <w:sz w:val="21"/>
        </w:rPr>
        <w:t>y</w:t>
      </w:r>
      <w:r>
        <w:rPr>
          <w:rFonts w:ascii="Times New Roman" w:hAnsi="Times New Roman" w:eastAsia="宋体"/>
          <w:color w:val="000000"/>
          <w:sz w:val="21"/>
        </w:rPr>
        <w:t xml:space="preserve">。SPXY把标准化后的 </w:t>
      </w:r>
      <w:r>
        <w:rPr>
          <w:rFonts w:ascii="Cambria Math" w:hAnsi="Cambria Math" w:eastAsia="宋体"/>
          <w:i/>
          <w:color w:val="000000"/>
          <w:sz w:val="21"/>
        </w:rPr>
        <w:t>X</w:t>
      </w:r>
      <w:r>
        <w:rPr>
          <w:rFonts w:ascii="Times New Roman" w:hAnsi="Times New Roman" w:eastAsia="宋体"/>
          <w:color w:val="000000"/>
          <w:sz w:val="21"/>
        </w:rPr>
        <w:t xml:space="preserve"> 距离和 </w:t>
      </w:r>
      <w:r>
        <w:rPr>
          <w:rFonts w:ascii="Cambria Math" w:hAnsi="Cambria Math" w:eastAsia="宋体"/>
          <w:i/>
          <w:color w:val="000000"/>
          <w:sz w:val="21"/>
        </w:rPr>
        <w:t>y</w:t>
      </w:r>
      <w:r>
        <w:rPr>
          <w:rFonts w:ascii="Times New Roman" w:hAnsi="Times New Roman" w:eastAsia="宋体"/>
          <w:color w:val="000000"/>
          <w:sz w:val="21"/>
        </w:rPr>
        <w:t xml:space="preserve"> 距离合并，使校准集同时覆盖信号和性质范围。两种方法都不是代表性的替代品：若候选库本身缺少某类样品，任何空间算法都无法凭空补足。</w:t>
      </w:r>
    </w:p>
    <w:p>
      <w:pPr>
        <w:pStyle w:val="2"/>
        <w:keepNext/>
        <w:pageBreakBefore w:val="0"/>
        <w:spacing w:line="288" w:lineRule="auto"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3.3 从原始信号到可建模矩阵</w:t>
      </w:r>
    </w:p>
    <w:p>
      <w:pPr>
        <w:pStyle w:val="3"/>
        <w:keepNext/>
        <w:pageBreakBefore w:val="0"/>
        <w:spacing w:line="288" w:lineRule="auto" w:before="120" w:after="60"/>
      </w:pPr>
      <w:r>
        <w:rPr>
          <w:rFonts w:ascii="Times New Roman" w:hAnsi="Times New Roman" w:eastAsia="黑体"/>
          <w:b/>
          <w:color w:val="000000"/>
          <w:sz w:val="24"/>
        </w:rPr>
        <w:t>3.3.1 检出限是概率判决，不是“最小看见的峰”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 xml:space="preserve">分析信号是否“可检出”，本质上是对空白假设与含有分析物假设的判决。设空白响应均值和标准差分别为 </w:t>
      </w:r>
      <w:r>
        <w:rPr>
          <w:rFonts w:ascii="Cambria Math" w:hAnsi="Cambria Math" w:eastAsia="宋体"/>
          <w:i/>
          <w:color w:val="000000"/>
          <w:sz w:val="21"/>
        </w:rPr>
        <w:t>\bar y_B</w:t>
      </w:r>
      <w:r>
        <w:rPr>
          <w:rFonts w:ascii="Times New Roman" w:hAnsi="Times New Roman" w:eastAsia="宋体"/>
          <w:color w:val="000000"/>
          <w:sz w:val="21"/>
        </w:rPr>
        <w:t xml:space="preserve"> 与 </w:t>
      </w:r>
      <w:r>
        <w:rPr>
          <w:rFonts w:ascii="Cambria Math" w:hAnsi="Cambria Math" w:eastAsia="宋体"/>
          <w:i/>
          <w:color w:val="000000"/>
          <w:sz w:val="21"/>
        </w:rPr>
        <w:t>s_B</w:t>
      </w:r>
      <w:r>
        <w:rPr>
          <w:rFonts w:ascii="Times New Roman" w:hAnsi="Times New Roman" w:eastAsia="宋体"/>
          <w:color w:val="000000"/>
          <w:sz w:val="21"/>
        </w:rPr>
        <w:t xml:space="preserve">，常见的经验检出信号写为 </w:t>
      </w:r>
      <w:r>
        <w:rPr>
          <w:rFonts w:ascii="Cambria Math" w:hAnsi="Cambria Math" w:eastAsia="宋体"/>
          <w:i/>
          <w:color w:val="000000"/>
          <w:sz w:val="21"/>
        </w:rPr>
        <w:t>y_D=\bar y_B+k s_B</w:t>
      </w:r>
      <w:r>
        <w:rPr>
          <w:rFonts w:ascii="Times New Roman" w:hAnsi="Times New Roman" w:eastAsia="宋体"/>
          <w:color w:val="000000"/>
          <w:sz w:val="21"/>
        </w:rPr>
        <w:t xml:space="preserve">。若校准曲线局部斜率为 </w:t>
      </w:r>
      <w:r>
        <w:rPr>
          <w:rFonts w:ascii="Cambria Math" w:hAnsi="Cambria Math" w:eastAsia="宋体"/>
          <w:i/>
          <w:color w:val="000000"/>
          <w:sz w:val="21"/>
        </w:rPr>
        <w:t>b</w:t>
      </w:r>
      <w:r>
        <w:rPr>
          <w:rFonts w:ascii="Times New Roman" w:hAnsi="Times New Roman" w:eastAsia="宋体"/>
          <w:color w:val="000000"/>
          <w:sz w:val="21"/>
        </w:rPr>
        <w:t>，浓度检出限可近似为</w:t>
      </w:r>
    </w:p>
    <w:p>
      <w:pPr>
        <w:spacing w:before="80" w:after="80"/>
        <w:jc w:val="center"/>
      </w:pPr>
      <w:r>
        <w:rPr>
          <w:rFonts w:ascii="Cambria Math" w:hAnsi="Cambria Math" w:eastAsia="宋体"/>
          <w:i/>
          <w:color w:val="000000"/>
          <w:sz w:val="21"/>
        </w:rPr>
        <w:t>c_D=\frac{k s_B}{b}$$</w:t>
        <w:br/>
        <w:br/>
        <w:t>式中 $k$ 的选择对应允许的假阳性和假阴性风险。只用一次空白的标准差、只在高浓度区拟合斜率，或在完成所有预处理后选择最有利波长，都会低估检出限。多变量模型的检出能力还与校准样品分布、杠杆值和背景协方差有关，不能把单波长公式机械套到PLS预测上。</w:t>
        <w:br/>
        <w:br/>
        <w:t>检出限、定量限和最低报告限也不相同。检出限回答能否与空白区分；定量限要求误差达到预定水平；最低报告限还包含实验室流程、稀释倍数和法规要求。智能模型输出高置信类别并不等于达到分析方法的检出限，因为分类置信度可能未校准，且训练集中未必包含真实空白和近阈值样品。</w:t>
        <w:br/>
        <w:br/>
        <w:t>### 3.3.2 噪声的频谱与相关性</w:t>
        <w:br/>
        <w:br/>
        <w:t>白噪声在频率上近似均匀，重复平均能有效降低；闪烁噪声在低频增强，长时间漂移不能靠简单平均消除；周期噪声可能来自电源、机械振动或扫描系统；散粒噪声随信号强度变化，常呈异方差。识别噪声类型可比较空白谱、重复谱差值、自相关函数和功率谱密度。若残差具有显著自相关，普通最小二乘的独立误差假设不成立，置信区间也会过窄。</w:t>
        <w:br/>
        <w:br/>
        <w:t>去噪应以独立重复估计噪声，而不是把一条曲线中所有快速变化都当作噪声。窄峰本身也含高频成分；阶跃信号在傅里叶域具有广泛频率分量。一个滤波器若只根据频率高低删除成分，可能同时删除最有选择性的峰形信息。</w:t>
        <w:br/>
        <w:br/>
        <w:t>### 3.3.3 预处理是测量模型的一部分</w:t>
        <w:br/>
        <w:br/>
        <w:t>预处理常被误解为“让曲线更好看”。事实上，每一种预处理都隐含了对非化学变异来源的判断。均值中心化假定变量的绝对基准不如相对偏离重要；标准化赋予不同尺度变量相近权重；归一化假定总强度或向量长度主要受无关乘性因素影响；导数试图削弱缓慢变化的基线并突出局部形状；多元散射校正假定谱图与参考谱之间主要存在加性和乘性散射差异。</w:t>
        <w:br/>
        <w:br/>
        <w:t>如果这些假定错误，预处理会删除目标信息。例如，浓度本来主要体现在整体强度上，向量归一化可能把定量信息除掉；窄峰上使用过宽的Savitzky–Golay窗口会降低峰高并改变半峰宽；高阶导数在增强分辨率的同时也会放大高频噪声。预处理必须在交叉验证的训练折内拟合，并由任务性能和残差结构共同评价，不能根据全数据上“分群更漂亮”来选择。</w:t>
        <w:br/>
        <w:br/>
        <w:t>### 3.3.4 中心化、尺度变换与散射校正</w:t>
        <w:br/>
        <w:br/>
        <w:t>对矩阵 $\mathbf{X}$ 的第 $j$ 列，均值中心化为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 xml:space="preserve">自动标准化进一步除以标准差 </w:t>
      </w:r>
      <w:r>
        <w:rPr>
          <w:rFonts w:ascii="Cambria Math" w:hAnsi="Cambria Math" w:eastAsia="宋体"/>
          <w:i/>
          <w:color w:val="000000"/>
          <w:sz w:val="21"/>
        </w:rPr>
        <w:t>s_j</w:t>
      </w:r>
      <w:r>
        <w:rPr>
          <w:rFonts w:ascii="Times New Roman" w:hAnsi="Times New Roman" w:eastAsia="宋体"/>
          <w:color w:val="000000"/>
          <w:sz w:val="21"/>
        </w:rPr>
        <w:t>：</w:t>
      </w:r>
    </w:p>
    <w:p>
      <w:pPr>
        <w:spacing w:before="80" w:after="80"/>
        <w:jc w:val="center"/>
      </w:pPr>
      <w:r>
        <w:rPr>
          <w:rFonts w:ascii="Cambria Math" w:hAnsi="Cambria Math" w:eastAsia="宋体"/>
          <w:i/>
          <w:color w:val="000000"/>
          <w:sz w:val="21"/>
        </w:rPr>
        <w:t>x''_{ij}=\frac{x_{ij}-\bar{x}_j}{s_j}$$</w:t>
        <w:br/>
        <w:br/>
        <w:t>中心化改变坐标原点但不改变变量单位，适合波长点单位相同、方差本身包含化学意义的光谱数据。自动标准化会显著提高低方差变量的权重，适合变量量纲不同的表格数据，但可能把弱噪声波段放大到与强吸收带相同的重要程度。</w:t>
        <w:br/>
        <w:br/>
        <w:t>标准正态变量变换（SNV）对每一条谱分别中心化并按该谱的标准差缩放：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 xml:space="preserve">它常用于减弱颗粒散射带来的加性和乘性变化。多元散射校正（MSC）则把每条谱对参考谱回归，估计截距 </w:t>
      </w:r>
      <w:r>
        <w:rPr>
          <w:rFonts w:ascii="Cambria Math" w:hAnsi="Cambria Math" w:eastAsia="宋体"/>
          <w:i/>
          <w:color w:val="000000"/>
          <w:sz w:val="21"/>
        </w:rPr>
        <w:t>a_i</w:t>
      </w:r>
      <w:r>
        <w:rPr>
          <w:rFonts w:ascii="Times New Roman" w:hAnsi="Times New Roman" w:eastAsia="宋体"/>
          <w:color w:val="000000"/>
          <w:sz w:val="21"/>
        </w:rPr>
        <w:t xml:space="preserve"> 和斜率 </w:t>
      </w:r>
      <w:r>
        <w:rPr>
          <w:rFonts w:ascii="Cambria Math" w:hAnsi="Cambria Math" w:eastAsia="宋体"/>
          <w:i/>
          <w:color w:val="000000"/>
          <w:sz w:val="21"/>
        </w:rPr>
        <w:t>b_i</w:t>
      </w:r>
      <w:r>
        <w:rPr>
          <w:rFonts w:ascii="Times New Roman" w:hAnsi="Times New Roman" w:eastAsia="宋体"/>
          <w:color w:val="000000"/>
          <w:sz w:val="21"/>
        </w:rPr>
        <w:t>，再计算</w:t>
      </w:r>
    </w:p>
    <w:p>
      <w:pPr>
        <w:spacing w:before="80" w:after="80"/>
        <w:jc w:val="center"/>
      </w:pPr>
      <w:r>
        <w:rPr>
          <w:rFonts w:ascii="Cambria Math" w:hAnsi="Cambria Math" w:eastAsia="宋体"/>
          <w:i/>
          <w:color w:val="000000"/>
          <w:sz w:val="21"/>
        </w:rPr>
        <w:t>\mathbf{x}'_i=\frac{\mathbf{x}_i-a_i}{b_i}$$</w:t>
        <w:br/>
        <w:br/>
        <w:t>SNV与MSC可能得到相近效果，但二者的参照对象不同：SNV使用单条谱自身的均值和标准差，MSC显式依赖参考谱。</w:t>
        <w:br/>
        <w:br/>
        <w:t>### 3.3.5 平滑、导数与频域方法</w:t>
        <w:br/>
        <w:br/>
        <w:t>移动平均用窗口内均值替代中心点，能够降低零均值高频噪声，但会使尖峰变宽。Savitzky–Golay方法在滑动窗口内做低阶多项式最小二乘拟合，因此能较好保留峰形，并可直接求拟合多项式的导数。窗口长度、阶数和导数阶数共同决定偏差—方差权衡：窗口太短时降噪不足，太长时局部化学结构被抹平；多项式阶数过高则重新追随噪声。</w:t>
        <w:br/>
        <w:br/>
        <w:t>傅里叶变换把信号表示为不同频率正弦分量的叠加，适合频率成分相对稳定的信号。简单低通滤波通过删除高频系数实现平滑，但骤然截断会产生振铃。小波变换同时保留位置和尺度信息，更适合含有局部峰和突变的非平稳信号；其代价是小波基、分解层数和阈值的选择会影响结果。频域或小波降噪仍应由保峰能力、重构误差和下游预测共同验证，而不能只比较曲线光滑程度。</w:t>
        <w:br/>
        <w:br/>
        <w:t>## 3.4 主成分分析：寻找数据变化的低维骨架</w:t>
        <w:br/>
        <w:br/>
        <w:t>### 3.4.1 方差最大化的几何问题</w:t>
        <w:br/>
        <w:br/>
        <w:t>设中心化后的数据矩阵为 $\mathbf{X}$。第一主成分寻找一个单位方向 $\mathbf{p}_1$，使样品投影 $\mathbf{t}_1=\mathbf{X}\mathbf{p}_1$ 的方差最大：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\quad \text{s.t. }\mathbf{p}_1^{\mathrm T}\mathbf{p}_1=1$$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拉格朗日求解得到</w:t>
      </w:r>
    </w:p>
    <w:p>
      <w:pPr>
        <w:spacing w:before="80" w:after="80"/>
        <w:jc w:val="center"/>
      </w:pPr>
      <w:r>
        <w:rPr>
          <w:rFonts w:ascii="Cambria Math" w:hAnsi="Cambria Math" w:eastAsia="宋体"/>
          <w:i/>
          <w:color w:val="000000"/>
          <w:sz w:val="21"/>
        </w:rPr>
        <w:t>\mathbf{X}^{\mathrm T}\mathbf{X}\mathbf{p}_1=\lambda_1\mathbf{p}_1$$</w:t>
        <w:br/>
        <w:br/>
        <w:t>即载荷向量是协方差矩阵的特征向量，特征值 $\lambda_1$ 表示该方向解释的变异。后续主成分在与前面方向正交的约束下依次最大化剩余方差。保留 $A$ 个主成分后，数据写为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Cambria Math" w:hAnsi="Cambria Math" w:eastAsia="宋体"/>
          <w:i/>
          <w:color w:val="000000"/>
          <w:sz w:val="21"/>
        </w:rPr>
        <w:t>T_A</w:t>
      </w:r>
      <w:r>
        <w:rPr>
          <w:rFonts w:ascii="Times New Roman" w:hAnsi="Times New Roman" w:eastAsia="宋体"/>
          <w:color w:val="000000"/>
          <w:sz w:val="21"/>
        </w:rPr>
        <w:t xml:space="preserve"> 是得分矩阵，描述样品在低维坐标中的位置；</w:t>
      </w:r>
      <w:r>
        <w:rPr>
          <w:rFonts w:ascii="Cambria Math" w:hAnsi="Cambria Math" w:eastAsia="宋体"/>
          <w:i/>
          <w:color w:val="000000"/>
          <w:sz w:val="21"/>
        </w:rPr>
        <w:t>P_A</w:t>
      </w:r>
      <w:r>
        <w:rPr>
          <w:rFonts w:ascii="Times New Roman" w:hAnsi="Times New Roman" w:eastAsia="宋体"/>
          <w:color w:val="000000"/>
          <w:sz w:val="21"/>
        </w:rPr>
        <w:t xml:space="preserve"> 是载荷矩阵，描述原始变量如何组成各主成分；</w:t>
      </w:r>
      <w:r>
        <w:rPr>
          <w:rFonts w:ascii="Cambria Math" w:hAnsi="Cambria Math" w:eastAsia="宋体"/>
          <w:i/>
          <w:color w:val="000000"/>
          <w:sz w:val="21"/>
        </w:rPr>
        <w:t>E_A</w:t>
      </w:r>
      <w:r>
        <w:rPr>
          <w:rFonts w:ascii="Times New Roman" w:hAnsi="Times New Roman" w:eastAsia="宋体"/>
          <w:color w:val="000000"/>
          <w:sz w:val="21"/>
        </w:rPr>
        <w:t xml:space="preserve"> 是未被保留成分解释的残差。</w:t>
      </w:r>
    </w:p>
    <w:p>
      <w:pPr>
        <w:pStyle w:val="3"/>
        <w:keepNext/>
        <w:pageBreakBefore w:val="0"/>
        <w:spacing w:line="288" w:lineRule="auto" w:before="120" w:after="60"/>
      </w:pPr>
      <w:r>
        <w:rPr>
          <w:rFonts w:ascii="Times New Roman" w:hAnsi="Times New Roman" w:eastAsia="黑体"/>
          <w:b/>
          <w:color w:val="000000"/>
          <w:sz w:val="24"/>
        </w:rPr>
        <w:t>3.4.2 奇异值分解与秩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对中心化矩阵作奇异值分解</w:t>
      </w:r>
    </w:p>
    <w:p>
      <w:pPr>
        <w:spacing w:before="80" w:after="80"/>
        <w:jc w:val="center"/>
      </w:pPr>
      <w:r>
        <w:rPr>
          <w:rFonts w:ascii="Cambria Math" w:hAnsi="Cambria Math" w:eastAsia="宋体"/>
          <w:i/>
          <w:color w:val="000000"/>
          <w:sz w:val="21"/>
        </w:rPr>
        <w:t>\mathbf{X}=\mathbf{U}\boldsymbol{\Sigma}\mathbf{V}^{\mathrm T}$$</w:t>
        <w:br/>
        <w:br/>
        <w:t>可得 $\mathbf{P}=\mathbf{V}$，$\mathbf{T}=\mathbf{U}\boldsymbol{\Sigma}$。奇异值按从大到小排列，其平方与各主成分解释的平方和相对应。若理想线性混合物只含 $k$ 个独立组分，且没有背景和噪声，则信号矩阵的秩不超过 $k$。真实数据中噪声会使矩阵通常满秩，但前几个奇异值与后部噪声平台之间可能出现明显间隔。因此，秩估计可以为组分数和有效维数提供线索，但不能机械地把“主成分数”等同于“化学组分数”：温度漂移、散射和反应平衡也会形成独立变化方向。</w:t>
        <w:br/>
        <w:br/>
        <w:t>### 3.4.3 得分图、载荷图和共同解释</w:t>
        <w:br/>
        <w:br/>
        <w:t>得分图用于观察样品的相对位置、趋势、分群和异常。若PC1得分随浓度单调变化，说明第一变化方向可能与浓度有关；若样品按测量日期而非化学类别分开，则应优先怀疑仪器漂移或批次效应。载荷图显示哪些波长对该方向贡献较大。峰附近出现同号载荷，可能意味着相应吸收带协同增强；正负相间的导数形载荷常提示峰位移动，而不一定是两个组分此消彼长。</w:t>
        <w:br/>
        <w:br/>
        <w:t>得分与载荷必须一起解释。只凭得分图看到两团样品，并不能说明存在两种化学机制；还需检查载荷是否落在有物理意义的谱段、分群是否与批次重合，以及该结构在外部样品中是否重现。PCA最大化的是 $X$ 的方差，而不是类别差异或与目标浓度的相关性。方差最大的方向可能只是水分或温度变化，真正与目标有关的弱谱带可能位于后续主成分。</w:t>
        <w:br/>
        <w:br/>
        <w:t>### 3.4.4 主成分数、Hotelling $T^2$与Q残差</w:t>
        <w:br/>
        <w:br/>
        <w:t>累计解释方差可作为主成分数的初步参考，但“达到95%”不是普适规则。高信噪比、强相关光谱可能用很少成分解释绝大多数方差；若弱目标信号恰好位于低方差方向，按累计方差截断会丢失预测信息。用于探索时，应结合碎石图、重复测量噪声和重构残差；用于回归时，应以交叉验证误差选择潜变量数。</w:t>
        <w:br/>
        <w:br/>
        <w:t>Hotelling $T^2$ 衡量样品在模型子空间内离中心的距离，Q残差（也称平方预测误差）衡量样品到模型子空间的正交距离。高 $T^2$、低Q的样品位于已知变化方向的极端；低 $T^2$、高Q的样品包含模型没有表示的新结构；两者都高则既极端又不符合模型。异常值不应被自动删除。它可能是录入错误、仪器故障，也可能是最有价值的新化学状态。正确顺序是定位原因、回查原始实验，再决定修正、保留或将其定义为适用域外样品。</w:t>
        <w:br/>
        <w:br/>
        <w:t>## 3.5 多元校正：从MLR到PCR和PLS</w:t>
        <w:br/>
        <w:br/>
        <w:t>### 3.5.1 多元线性回归及其病态性</w:t>
        <w:br/>
        <w:br/>
        <w:t>多元线性回归写为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最小二乘解为</w:t>
      </w:r>
    </w:p>
    <w:p>
      <w:pPr>
        <w:spacing w:before="80" w:after="80"/>
        <w:jc w:val="center"/>
      </w:pPr>
      <w:r>
        <w:rPr>
          <w:rFonts w:ascii="Cambria Math" w:hAnsi="Cambria Math" w:eastAsia="宋体"/>
          <w:i/>
          <w:color w:val="000000"/>
          <w:sz w:val="21"/>
        </w:rPr>
        <w:t>\hat{\boldsymbol{\beta}}=(\mathbf{X}^{\mathrm T}\mathbf{X})^{-1}\mathbf{X}^{\mathrm T}\mathbf{y}$$</w:t>
        <w:br/>
        <w:br/>
        <w:t>当波长数 $p$ 大于样品数 $n$，或相邻波长高度相关时，$\mathbf{X}^{\mathrm T}\mathbf{X}$ 不可逆或接近奇异。此时很小的测量噪声就可能引起回归系数剧烈变化。条件数可用于描述这种病态程度。系数曲线出现高频振荡、符号对微小数据扰动敏感，往往是共线性和过拟合的表现，而不是复杂的化学选择性。</w:t>
        <w:br/>
        <w:br/>
        <w:t>岭回归通过惩罚系数大小稳定求解：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Cambria Math" w:hAnsi="Cambria Math" w:eastAsia="宋体"/>
          <w:i/>
          <w:color w:val="000000"/>
          <w:sz w:val="21"/>
        </w:rPr>
        <w:t>\lambda</w:t>
      </w:r>
      <w:r>
        <w:rPr>
          <w:rFonts w:ascii="Times New Roman" w:hAnsi="Times New Roman" w:eastAsia="宋体"/>
          <w:color w:val="000000"/>
          <w:sz w:val="21"/>
        </w:rPr>
        <w:t xml:space="preserve"> 越大，方差越小但偏差越大。这是一个明确的偏差—方差交换，而非“消除误差”。</w:t>
      </w:r>
    </w:p>
    <w:p>
      <w:pPr>
        <w:pStyle w:val="3"/>
        <w:keepNext/>
        <w:pageBreakBefore w:val="0"/>
        <w:spacing w:line="288" w:lineRule="auto" w:before="120" w:after="60"/>
      </w:pPr>
      <w:r>
        <w:rPr>
          <w:rFonts w:ascii="Times New Roman" w:hAnsi="Times New Roman" w:eastAsia="黑体"/>
          <w:b/>
          <w:color w:val="000000"/>
          <w:sz w:val="24"/>
        </w:rPr>
        <w:t>3.5.2 主成分回归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 xml:space="preserve">PCR先对 </w:t>
      </w:r>
      <w:r>
        <w:rPr>
          <w:rFonts w:ascii="Cambria Math" w:hAnsi="Cambria Math" w:eastAsia="宋体"/>
          <w:i/>
          <w:color w:val="000000"/>
          <w:sz w:val="21"/>
        </w:rPr>
        <w:t>X</w:t>
      </w:r>
      <w:r>
        <w:rPr>
          <w:rFonts w:ascii="Times New Roman" w:hAnsi="Times New Roman" w:eastAsia="宋体"/>
          <w:color w:val="000000"/>
          <w:sz w:val="21"/>
        </w:rPr>
        <w:t xml:space="preserve"> 做PCA，保留 </w:t>
      </w:r>
      <w:r>
        <w:rPr>
          <w:rFonts w:ascii="Cambria Math" w:hAnsi="Cambria Math" w:eastAsia="宋体"/>
          <w:i/>
          <w:color w:val="000000"/>
          <w:sz w:val="21"/>
        </w:rPr>
        <w:t>A</w:t>
      </w:r>
      <w:r>
        <w:rPr>
          <w:rFonts w:ascii="Times New Roman" w:hAnsi="Times New Roman" w:eastAsia="宋体"/>
          <w:color w:val="000000"/>
          <w:sz w:val="21"/>
        </w:rPr>
        <w:t xml:space="preserve"> 个得分，再回归</w:t>
      </w:r>
    </w:p>
    <w:p>
      <w:pPr>
        <w:spacing w:before="80" w:after="80"/>
        <w:jc w:val="center"/>
      </w:pPr>
      <w:r>
        <w:rPr>
          <w:rFonts w:ascii="Cambria Math" w:hAnsi="Cambria Math" w:eastAsia="宋体"/>
          <w:i/>
          <w:color w:val="000000"/>
          <w:sz w:val="21"/>
        </w:rPr>
        <w:t>\mathbf{y}=\mathbf{T}_A\mathbf{b}+\boldsymbol{\varepsilon}$$</w:t>
        <w:br/>
        <w:br/>
        <w:t>由于得分彼此正交，回归不再受到原始变量严重共线性的影响；舍弃低方差成分还可能过滤噪声。但PCR选择的方向只追求解释 $X$ 的方差，不保证与 $y$ 有关。若样品浓度引起的变化很弱，而温度或散射贡献很大，PCR可能先用多个潜变量描述干扰，才捕获目标信号。</w:t>
        <w:br/>
        <w:br/>
        <w:t>### 3.5.3 偏最小二乘回归</w:t>
        <w:br/>
        <w:br/>
        <w:t>PLS同时考虑 $X$ 的结构和与 $y$ 的协方差。单响应PLS的每个潜变量寻找权重 $\mathbf{w}$，使得得分 $\mathbf{t}=\mathbf{X}\mathbf{w}$ 与 $\mathbf{y}$ 尽可能协变。提取一个成分后，从 $X$ 和 $y$ 中扣除该成分解释的部分，再处理残差。最终可写为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 xml:space="preserve">PLS常比PCR用更少潜变量获得较低预测误差，尤其适合全谱、多波长共线数据。但“监督地利用 </w:t>
      </w:r>
      <w:r>
        <w:rPr>
          <w:rFonts w:ascii="Cambria Math" w:hAnsi="Cambria Math" w:eastAsia="宋体"/>
          <w:i/>
          <w:color w:val="000000"/>
          <w:sz w:val="21"/>
        </w:rPr>
        <w:t>y</w:t>
      </w:r>
      <w:r>
        <w:rPr>
          <w:rFonts w:ascii="Times New Roman" w:hAnsi="Times New Roman" w:eastAsia="宋体"/>
          <w:color w:val="000000"/>
          <w:sz w:val="21"/>
        </w:rPr>
        <w:t>”也意味着更容易把偶然相关带入模型，因此潜变量数必须在训练数据内部交叉验证，不能根据测试集误差选择。</w:t>
      </w:r>
    </w:p>
    <w:p>
      <w:pPr>
        <w:pStyle w:val="3"/>
        <w:keepNext/>
        <w:pageBreakBefore w:val="0"/>
        <w:spacing w:line="288" w:lineRule="auto" w:before="120" w:after="60"/>
      </w:pPr>
      <w:r>
        <w:rPr>
          <w:rFonts w:ascii="Times New Roman" w:hAnsi="Times New Roman" w:eastAsia="黑体"/>
          <w:b/>
          <w:color w:val="000000"/>
          <w:sz w:val="24"/>
        </w:rPr>
        <w:t>3.5.4 潜变量数与嵌套选择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潜变量太少时，校准关系尚未被充分表示，校准误差和验证误差都较高；潜变量继续增加，训练误差通常单调下降，而验证误差在某一点以后回升。最佳点不是固定规则，而取决于样本量、信噪比和数据划分。实践中可选择交叉验证误差最小的模型，或采用“一倍标准误差规则”选择性能相近但更简单的模型。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只要预处理、波段、异常样品阈值或潜变量数是根据数据选择的，就必须把这些选择放入交叉验证循环。先用全数据挑波长，再交叉验证回归，会使验证样品的信息提前进入特征选择，得到乐观误差。</w:t>
      </w:r>
    </w:p>
    <w:p>
      <w:pPr>
        <w:pStyle w:val="3"/>
        <w:keepNext/>
        <w:pageBreakBefore w:val="0"/>
        <w:spacing w:line="288" w:lineRule="auto" w:before="120" w:after="60"/>
      </w:pPr>
      <w:r>
        <w:rPr>
          <w:rFonts w:ascii="Times New Roman" w:hAnsi="Times New Roman" w:eastAsia="黑体"/>
          <w:b/>
          <w:color w:val="000000"/>
          <w:sz w:val="24"/>
        </w:rPr>
        <w:t>3.5.5 校准性能指标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常用回归指标包括</w:t>
      </w:r>
    </w:p>
    <w:p>
      <w:pPr>
        <w:spacing w:before="80" w:after="80"/>
        <w:jc w:val="center"/>
      </w:pPr>
      <w:r>
        <w:rPr>
          <w:rFonts w:ascii="Cambria Math" w:hAnsi="Cambria Math" w:eastAsia="宋体"/>
          <w:i/>
          <w:color w:val="000000"/>
          <w:sz w:val="21"/>
        </w:rPr>
        <w:t>\mathrm{RMSEC}=\sqrt{\frac{1}{n_c}\sum_{i=1}^{n_c}(y_i-\hat y_i)^2}$$</w:t>
      </w:r>
    </w:p>
    <w:p>
      <w:pPr>
        <w:spacing w:before="80" w:after="80"/>
        <w:jc w:val="center"/>
      </w:pPr>
      <w:r>
        <w:rPr>
          <w:rFonts w:ascii="Cambria Math" w:hAnsi="Cambria Math" w:eastAsia="宋体"/>
          <w:i/>
          <w:color w:val="000000"/>
          <w:sz w:val="21"/>
        </w:rPr>
        <w:t>\mathrm{RMSEP}=\sqrt{\frac{1}{n_p}\sum_{i=1}^{n_p}(y_i-\hat y_i)^2}$$</w:t>
        <w:br/>
        <w:br/>
        <w:t>三者分别描述校准拟合、交叉验证和外部预测。$R^2$ 高只说明解释了较多总体变异；当浓度范围很宽时，即使绝对误差不可接受，$R^2$ 仍可能很高。Bias描述系统偏差，SEP在去除Bias后描述随机预测误差。RPD常定义为测试集参考值标准差与RMSEP之比，但它强烈依赖测试集浓度分布，不能跨数据集脱离背景比较。</w:t>
        <w:br/>
        <w:br/>
        <w:t>更重要的是把RMSEP与参考方法重复性、允许误差和应用决策联系起来。若参考方法自身的不确定度为 $u_{\mathrm{ref}}$，模型误差不可能被解释为纯粹的算法误差。一个预测模型的目标不是超过不可能的“真值”，而是在明确的不确定度预算下满足用途要求。</w:t>
        <w:br/>
        <w:br/>
        <w:t>### 3.5.6 直接校正、逆校正与多组分体系</w:t>
        <w:br/>
        <w:br/>
        <w:t>若已知纯组分响应矩阵 $S$，直接校正从 $X=CS^T$ 出发求浓度 $C$。它具有明确物理含义，但要求所有重要组分的纯谱已知、线性叠加成立且响应矩阵条件良好。逆校正则直接拟合 $y=X\beta$，不要求显式知道所有干扰物，PCR和PLS属于这一路线。逆模型更适合复杂自然样品，却把选择性转移到校准集：未来干扰若没有在校准数据中变化，模型无法学到如何区分它。</w:t>
        <w:br/>
        <w:br/>
        <w:t>多组分同时定量可为每个组分分别建立PLS1模型，也可用PLS2同时处理响应矩阵 $Y$。PLS2利用多个响应之间的共同结构，计算效率高，但当组分相关关系在部署数据中改变时，可能把一个组分的信息借给另一个组分。分别建模更易诊断各目标误差。选择哪一种取决于组分之间的稳定关系，而不是软件默认。</w:t>
        <w:br/>
        <w:br/>
        <w:t>### 3.5.7 多元曲线分辨：从混合数据恢复轮廓</w:t>
        <w:br/>
        <w:br/>
        <w:t>校准问题已知目标性质，曲线分辨则试图从混合矩阵中同时恢复浓度轮廓和纯信号。对一组随时间变化的光谱，可写为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 xml:space="preserve">交替最小二乘多元曲线分辨（MCR-ALS）在给定初始 </w:t>
      </w:r>
      <w:r>
        <w:rPr>
          <w:rFonts w:ascii="Cambria Math" w:hAnsi="Cambria Math" w:eastAsia="宋体"/>
          <w:i/>
          <w:color w:val="000000"/>
          <w:sz w:val="21"/>
        </w:rPr>
        <w:t>S</w:t>
      </w:r>
      <w:r>
        <w:rPr>
          <w:rFonts w:ascii="Times New Roman" w:hAnsi="Times New Roman" w:eastAsia="宋体"/>
          <w:color w:val="000000"/>
          <w:sz w:val="21"/>
        </w:rPr>
        <w:t xml:space="preserve"> 时求 </w:t>
      </w:r>
      <w:r>
        <w:rPr>
          <w:rFonts w:ascii="Cambria Math" w:hAnsi="Cambria Math" w:eastAsia="宋体"/>
          <w:i/>
          <w:color w:val="000000"/>
          <w:sz w:val="21"/>
        </w:rPr>
        <w:t>C</w:t>
      </w:r>
      <w:r>
        <w:rPr>
          <w:rFonts w:ascii="Times New Roman" w:hAnsi="Times New Roman" w:eastAsia="宋体"/>
          <w:color w:val="000000"/>
          <w:sz w:val="21"/>
        </w:rPr>
        <w:t xml:space="preserve">，再固定 </w:t>
      </w:r>
      <w:r>
        <w:rPr>
          <w:rFonts w:ascii="Cambria Math" w:hAnsi="Cambria Math" w:eastAsia="宋体"/>
          <w:i/>
          <w:color w:val="000000"/>
          <w:sz w:val="21"/>
        </w:rPr>
        <w:t>C</w:t>
      </w:r>
      <w:r>
        <w:rPr>
          <w:rFonts w:ascii="Times New Roman" w:hAnsi="Times New Roman" w:eastAsia="宋体"/>
          <w:color w:val="000000"/>
          <w:sz w:val="21"/>
        </w:rPr>
        <w:t xml:space="preserve"> 求 </w:t>
      </w:r>
      <w:r>
        <w:rPr>
          <w:rFonts w:ascii="Cambria Math" w:hAnsi="Cambria Math" w:eastAsia="宋体"/>
          <w:i/>
          <w:color w:val="000000"/>
          <w:sz w:val="21"/>
        </w:rPr>
        <w:t>S</w:t>
      </w:r>
      <w:r>
        <w:rPr>
          <w:rFonts w:ascii="Times New Roman" w:hAnsi="Times New Roman" w:eastAsia="宋体"/>
          <w:color w:val="000000"/>
          <w:sz w:val="21"/>
        </w:rPr>
        <w:t>，交替迭代至残差收敛。由于矩阵分解存在旋转不唯一性，必须加入非负、单峰、闭合、选择性区域或已知组分等化学约束。非负约束适合浓度和吸收强度，但导数谱、差谱和相位信号可以为负，不能机械使用。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初始估计可来自纯变量选择、演化因子分析或SVD。因子数过少会把多个组分合并，过多会把噪声解释为假组分。即使拟合残差很小，恢复谱仍可能不是唯一解；应通过不同初值、约束组合、缺乏拟合检验和已知标准谱比较评估旋转歧义。MCR的价值不在于输出“看起来像峰”的曲线，而在于把化学约束写进分解，使解空间缩小到可解释范围。</w:t>
      </w:r>
    </w:p>
    <w:p>
      <w:pPr>
        <w:pStyle w:val="3"/>
        <w:keepNext/>
        <w:pageBreakBefore w:val="0"/>
        <w:spacing w:line="288" w:lineRule="auto" w:before="120" w:after="60"/>
      </w:pPr>
      <w:r>
        <w:rPr>
          <w:rFonts w:ascii="Times New Roman" w:hAnsi="Times New Roman" w:eastAsia="黑体"/>
          <w:b/>
          <w:color w:val="000000"/>
          <w:sz w:val="24"/>
        </w:rPr>
        <w:t>3.5.8 变量选择：删去变量也会改变问题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波段选择可降低计算量、去除强噪声区并提高模型可解释性。过滤式方法根据相关系数、方差或互信息独立评分；区间PLS以连续波段为单位比较预测；包裹式方法用遗传算法等直接优化交叉验证性能；嵌入式方法如LASSO在拟合中完成选择。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 xml:space="preserve">变量选择越灵活，过拟合机会越多。遗传算法在数千波长中反复搜索，可能找到偶然与 </w:t>
      </w:r>
      <w:r>
        <w:rPr>
          <w:rFonts w:ascii="Cambria Math" w:hAnsi="Cambria Math" w:eastAsia="宋体"/>
          <w:i/>
          <w:color w:val="000000"/>
          <w:sz w:val="21"/>
        </w:rPr>
        <w:t>y</w:t>
      </w:r>
      <w:r>
        <w:rPr>
          <w:rFonts w:ascii="Times New Roman" w:hAnsi="Times New Roman" w:eastAsia="宋体"/>
          <w:color w:val="000000"/>
          <w:sz w:val="21"/>
        </w:rPr>
        <w:t xml:space="preserve"> 相关的组合，因此完整选择必须嵌入内层交叉验证，并用外部测试确认。对光谱而言，优先选择连续波段通常比零散波长更符合峰形和仪器分辨率。若相邻波长高度相关，单个“最佳波长”不稳定并不意味着模型不可用，但宣称该点具有独特机理意义是不可靠的。</w:t>
      </w:r>
    </w:p>
    <w:p>
      <w:pPr>
        <w:pStyle w:val="2"/>
        <w:keepNext/>
        <w:pageBreakBefore w:val="0"/>
        <w:spacing w:line="288" w:lineRule="auto"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3.6 化学模式识别：距离、类别与边界</w:t>
      </w:r>
    </w:p>
    <w:p>
      <w:pPr>
        <w:pStyle w:val="3"/>
        <w:keepNext/>
        <w:pageBreakBefore w:val="0"/>
        <w:spacing w:line="288" w:lineRule="auto" w:before="120" w:after="60"/>
      </w:pPr>
      <w:r>
        <w:rPr>
          <w:rFonts w:ascii="Times New Roman" w:hAnsi="Times New Roman" w:eastAsia="黑体"/>
          <w:b/>
          <w:color w:val="000000"/>
          <w:sz w:val="24"/>
        </w:rPr>
        <w:t>3.6.1 距离依赖于尺度和相关结构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欧氏距离</w:t>
      </w:r>
    </w:p>
    <w:p>
      <w:pPr>
        <w:spacing w:before="80" w:after="80"/>
        <w:jc w:val="center"/>
      </w:pPr>
      <w:r>
        <w:rPr>
          <w:rFonts w:ascii="Cambria Math" w:hAnsi="Cambria Math" w:eastAsia="宋体"/>
          <w:i/>
          <w:color w:val="000000"/>
          <w:sz w:val="21"/>
        </w:rPr>
        <w:t>d_{ij}=\sqrt{\sum_{k=1}^{p}(x_{ik}-x_{jk})^2}$$</w:t>
        <w:br/>
        <w:br/>
        <w:t>把各变量视为正交且同等尺度。若变量单位不同，大量小方差变量或高度相关的相邻波长会重复贡献距离。马氏距离利用协方差矩阵校正尺度和相关性：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但在高维小样本下，</w:t>
      </w:r>
      <w:r>
        <w:rPr>
          <w:rFonts w:ascii="Cambria Math" w:hAnsi="Cambria Math" w:eastAsia="宋体"/>
          <w:i/>
          <w:color w:val="000000"/>
          <w:sz w:val="21"/>
        </w:rPr>
        <w:t>S^-1</w:t>
      </w:r>
      <w:r>
        <w:rPr>
          <w:rFonts w:ascii="Times New Roman" w:hAnsi="Times New Roman" w:eastAsia="宋体"/>
          <w:color w:val="000000"/>
          <w:sz w:val="21"/>
        </w:rPr>
        <w:t xml:space="preserve"> 同样不稳定，常需先降维或使用收缩协方差。相关系数或余弦相似度对整体尺度不敏感，却可能对峰位偏移非常敏感，也可能把具有相似宽背景但关键峰不同的谱判断为“相似”。相似度必须服务于具体化学差异，不能因为数值接近1就自动成立。</w:t>
      </w:r>
    </w:p>
    <w:p>
      <w:pPr>
        <w:pStyle w:val="3"/>
        <w:keepNext/>
        <w:pageBreakBefore w:val="0"/>
        <w:spacing w:line="288" w:lineRule="auto" w:before="120" w:after="60"/>
      </w:pPr>
      <w:r>
        <w:rPr>
          <w:rFonts w:ascii="Times New Roman" w:hAnsi="Times New Roman" w:eastAsia="黑体"/>
          <w:b/>
          <w:color w:val="000000"/>
          <w:sz w:val="24"/>
        </w:rPr>
        <w:t>3.6.2 无监督聚类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 xml:space="preserve">层次聚类从样品间距离出发逐步合并样品，树状图可以展示不同尺度上的结构；结果同时受距离定义和连接准则影响。单连接容易形成链状簇，完全连接倾向紧凑簇，Ward方法最小化合并后的类内平方和。K-means通过交替分配样品和更新中心最小化类内平方和，适合近似球状、方差相当的簇；它要求预先指定 </w:t>
      </w:r>
      <w:r>
        <w:rPr>
          <w:rFonts w:ascii="Cambria Math" w:hAnsi="Cambria Math" w:eastAsia="宋体"/>
          <w:i/>
          <w:color w:val="000000"/>
          <w:sz w:val="21"/>
        </w:rPr>
        <w:t>K</w:t>
      </w:r>
      <w:r>
        <w:rPr>
          <w:rFonts w:ascii="Times New Roman" w:hAnsi="Times New Roman" w:eastAsia="宋体"/>
          <w:color w:val="000000"/>
          <w:sz w:val="21"/>
        </w:rPr>
        <w:t>，并对初始中心和异常值敏感。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聚类发现的是给定表示和距离下的数据结构，不是天然类别。若预处理改变，簇也可能改变。稳定性检验可通过重采样后比较聚类一致性，化学验证则要检查簇间差异是否对应可解释的组成、来源或状态变量。</w:t>
      </w:r>
    </w:p>
    <w:p>
      <w:pPr>
        <w:pStyle w:val="3"/>
        <w:keepNext/>
        <w:pageBreakBefore w:val="0"/>
        <w:spacing w:line="288" w:lineRule="auto" w:before="120" w:after="60"/>
      </w:pPr>
      <w:r>
        <w:rPr>
          <w:rFonts w:ascii="Times New Roman" w:hAnsi="Times New Roman" w:eastAsia="黑体"/>
          <w:b/>
          <w:color w:val="000000"/>
          <w:sz w:val="24"/>
        </w:rPr>
        <w:t>3.6.3 有监督分类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线性判别分析假定各类别近似服从多元正态分布并共享协方差，通过最大化类间散布相对于类内散布获得判别方向。SIMCA为每一类别分别建立PCA模型，根据样品到各类模型子空间的距离判断归属，因而允许“不属于任何已知类”或同时接近多个类，更适合类别边界具有化学意义的软分类。PLS-DA把类别编码为响应变量后进行PLS回归，再按阈值判别；其简洁但容易被误用，尤其在小样本高维数据中必须使用外部验证、置换检验和按批次划分。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分类评价不能只报准确率。类别不平衡时，应同时报告灵敏度、特异度、精确率、召回率、F1和混淆矩阵；若输出概率用于筛查或确证，还需检查概率校准和阈值对应的错误代价。把连续得分强行二分会损失信息，阈值应由用途而不是软件默认值决定。</w:t>
      </w:r>
    </w:p>
    <w:p>
      <w:pPr>
        <w:pStyle w:val="2"/>
        <w:keepNext/>
        <w:pageBreakBefore w:val="0"/>
        <w:spacing w:line="288" w:lineRule="auto"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3.7 验证、适用域与模型维护</w:t>
      </w:r>
    </w:p>
    <w:p>
      <w:pPr>
        <w:pStyle w:val="3"/>
        <w:keepNext/>
        <w:pageBreakBefore w:val="0"/>
        <w:spacing w:line="288" w:lineRule="auto" w:before="120" w:after="60"/>
      </w:pPr>
      <w:r>
        <w:rPr>
          <w:rFonts w:ascii="Times New Roman" w:hAnsi="Times New Roman" w:eastAsia="黑体"/>
          <w:b/>
          <w:color w:val="000000"/>
          <w:sz w:val="24"/>
        </w:rPr>
        <w:t>3.7.1 交叉验证必须模拟未来使用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随机K折假定样品独立同分布。化学数据常包含重复测量、同批样品、同一受试者、同一分子系列或时间相关过程，随机划分会把高度相似样品放到训练和验证两侧。分组交叉验证以批次、样品、受试者或结构系列为分组单位；时间外推采用前段训练、后段验证；跨仪器任务则整台仪器留出。验证方案越接近部署条件，误差越可能反映真实使用。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若同时比较多种预处理、算法和超参数，应使用嵌套交叉验证：内层选择模型，外层估计选择后的泛化误差。否则，同一验证集被反复使用，也会逐渐成为训练信息的一部分。</w:t>
      </w:r>
    </w:p>
    <w:p>
      <w:pPr>
        <w:pStyle w:val="3"/>
        <w:keepNext/>
        <w:pageBreakBefore w:val="0"/>
        <w:spacing w:line="288" w:lineRule="auto" w:before="120" w:after="60"/>
      </w:pPr>
      <w:r>
        <w:rPr>
          <w:rFonts w:ascii="Times New Roman" w:hAnsi="Times New Roman" w:eastAsia="黑体"/>
          <w:b/>
          <w:color w:val="000000"/>
          <w:sz w:val="24"/>
        </w:rPr>
        <w:t>3.7.2 置换检验与Y随机化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 xml:space="preserve">小样本高维分类很容易偶然得到看似良好的分离。置换检验保持 </w:t>
      </w:r>
      <w:r>
        <w:rPr>
          <w:rFonts w:ascii="Cambria Math" w:hAnsi="Cambria Math" w:eastAsia="宋体"/>
          <w:i/>
          <w:color w:val="000000"/>
          <w:sz w:val="21"/>
        </w:rPr>
        <w:t>X</w:t>
      </w:r>
      <w:r>
        <w:rPr>
          <w:rFonts w:ascii="Times New Roman" w:hAnsi="Times New Roman" w:eastAsia="宋体"/>
          <w:color w:val="000000"/>
          <w:sz w:val="21"/>
        </w:rPr>
        <w:t xml:space="preserve"> 不变，随机打乱类别或 </w:t>
      </w:r>
      <w:r>
        <w:rPr>
          <w:rFonts w:ascii="Cambria Math" w:hAnsi="Cambria Math" w:eastAsia="宋体"/>
          <w:i/>
          <w:color w:val="000000"/>
          <w:sz w:val="21"/>
        </w:rPr>
        <w:t>y</w:t>
      </w:r>
      <w:r>
        <w:rPr>
          <w:rFonts w:ascii="Times New Roman" w:hAnsi="Times New Roman" w:eastAsia="宋体"/>
          <w:color w:val="000000"/>
          <w:sz w:val="21"/>
        </w:rPr>
        <w:t>，重复完整建模流程，形成“没有真实关联时”性能指标的零分布。真实模型若没有显著优于置换模型，则不能声称发现了稳定关系。Y随机化尤其适合QSAR和PLS类模型，但它只能排除简单的偶然相关，不能修复批次混杂或数据泄漏。</w:t>
      </w:r>
    </w:p>
    <w:p>
      <w:pPr>
        <w:pStyle w:val="3"/>
        <w:keepNext/>
        <w:pageBreakBefore w:val="0"/>
        <w:spacing w:line="288" w:lineRule="auto" w:before="120" w:after="60"/>
      </w:pPr>
      <w:r>
        <w:rPr>
          <w:rFonts w:ascii="Times New Roman" w:hAnsi="Times New Roman" w:eastAsia="黑体"/>
          <w:b/>
          <w:color w:val="000000"/>
          <w:sz w:val="24"/>
        </w:rPr>
        <w:t>3.7.3 适用域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模型只在校准样本覆盖的化学和仪器空间内具有经验依据。适用域可结合得分空间距离、Q残差、杠杆值、局部邻域密度和预测不确定度定义。距离阈值应由校准数据分布和允许风险确定，不宜把某个固定马氏距离当作普遍标准。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当未知样品超出适用域时，正确输出不是勉强给出一个浓度，而是拒绝预测、提示复测或启动参考方法。拒绝机制是可信分析的一部分。一个永远给答案的模型，往往比会说“不知道”的模型更危险。</w:t>
      </w:r>
    </w:p>
    <w:p>
      <w:pPr>
        <w:pStyle w:val="3"/>
        <w:keepNext/>
        <w:pageBreakBefore w:val="0"/>
        <w:spacing w:line="288" w:lineRule="auto" w:before="120" w:after="60"/>
      </w:pPr>
      <w:r>
        <w:rPr>
          <w:rFonts w:ascii="Times New Roman" w:hAnsi="Times New Roman" w:eastAsia="黑体"/>
          <w:b/>
          <w:color w:val="000000"/>
          <w:sz w:val="24"/>
        </w:rPr>
        <w:t>3.7.4 漂移、转移与更新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模型性能会随光源老化、波长偏移、探头更换、环境变化和原料演变而下降。日常质量控制应保留稳定控制样、监测预测残差和光谱距离，并记录仪器维护事件。发现漂移后，先区分轴偏移、强度变化、分辨率改变和样品分布改变，再选择重新校准、标准化转移或局部更新。直接把新样品追加到训练集并重训，可能扩大范围，也可能掩盖仪器故障。</w:t>
      </w:r>
    </w:p>
    <w:p>
      <w:pPr>
        <w:pStyle w:val="3"/>
        <w:keepNext/>
        <w:pageBreakBefore w:val="0"/>
        <w:spacing w:line="288" w:lineRule="auto" w:before="120" w:after="60"/>
      </w:pPr>
      <w:r>
        <w:rPr>
          <w:rFonts w:ascii="Times New Roman" w:hAnsi="Times New Roman" w:eastAsia="黑体"/>
          <w:b/>
          <w:color w:val="000000"/>
          <w:sz w:val="24"/>
        </w:rPr>
        <w:t>3.7.5 从模型指标回到分析方法学指标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一个AI校准模型若要成为分析方法，需要像传统方法一样考察选择性、工作范围、准确度、精密度、检出能力、稳健性和测量不确定度。这里的“线性”不要求模型函数必须线性，而是要检查预测与参考值在工作范围内是否存在系统偏离。精密度应分为同一条件重复性、不同日期中间精密度和跨实验室再现性；稳健性则通过小幅改变温度、样品装载、探头或预处理参数观察结果。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模型验证与方法验证的区别在于，前者常固定数据集比较预测，后者改变测量条件来检验整个流程。若只验证算法而不重新制样和测量，就无法估计采样、制样与仪器环节的误差。最终不确定度可由参考方法、重复测量、模型残差和域转移等分量组成；具体合成方式取决于误差是否独立及其分布。报告一个小数点后很多位的预测值，并不会增加实际测量精度。</w:t>
      </w:r>
    </w:p>
    <w:p>
      <w:pPr>
        <w:pStyle w:val="2"/>
        <w:keepNext/>
        <w:pageBreakBefore w:val="0"/>
        <w:spacing w:line="288" w:lineRule="auto"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3.8 贯穿案例：小麦蛋白近红外定量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设目标是用近红外漫反射光谱预测小麦蛋白含量。第一步不是选择PLS，而是定义总体：模型是否服务于单一产区当季样品，还是跨产地、跨年份使用。若目标是后者，校准集必须覆盖品种、年份、含水量和粒径。参考蛋白测定应与光谱取自同一均匀样品，并评估重复性。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原始谱图首先检查饱和、断点、波长错位和重复测量一致性。若主要无关变异来自颗粒散射，可比较原始谱、SNV、MSC及一阶导数；所有预处理参数只在训练折内确定。用PCA检查样品覆盖和批次趋势：如果测试年份位于校准集得分空间之外，后续低RMSECV也不能证明模型能跨年份使用。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建模时同时建立均值预测、单波长回归、PCR和PLS作为层级基线。若PLS只比PCR略好，应优先考虑更简单、系数更稳定的模型；若两者都远差于随机森林，需检查是否存在真实非线性，还是树模型利用了批次标签。最终在完全留出的年份上报告RMSEP、Bias、SEP和适用域覆盖率，并把误差与参考方法重复性比较。对适用域外样品，系统返回“需参考法确认”，而不是给出伪精确数值。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这个案例说明，模型名称只占整个工作流的一小部分。决定可用性的主要环节是总体定义、样品覆盖、参考值质量、测量标准化和外部验证。</w:t>
      </w:r>
    </w:p>
    <w:p>
      <w:pPr>
        <w:pStyle w:val="2"/>
        <w:keepNext/>
        <w:pageBreakBefore w:val="0"/>
        <w:spacing w:line="288" w:lineRule="auto"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【本章小结】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 xml:space="preserve">化学计量学把化学测量表示为含有结构与误差的矩阵问题。其起点是代表性采样，核心是区分与目标有关的共同变化和无关变化，终点是对未知样品作出带有适用域和不确定度约束的判断。PCA通过方差最大化描述 </w:t>
      </w:r>
      <w:r>
        <w:rPr>
          <w:rFonts w:ascii="Cambria Math" w:hAnsi="Cambria Math" w:eastAsia="宋体"/>
          <w:i/>
          <w:color w:val="000000"/>
          <w:sz w:val="21"/>
        </w:rPr>
        <w:t>X</w:t>
      </w:r>
      <w:r>
        <w:rPr>
          <w:rFonts w:ascii="Times New Roman" w:hAnsi="Times New Roman" w:eastAsia="宋体"/>
          <w:color w:val="000000"/>
          <w:sz w:val="21"/>
        </w:rPr>
        <w:t xml:space="preserve"> 的低维结构；PCR在PCA得分上回归，解决共线性但不利用响应信息；PLS同时利用 </w:t>
      </w:r>
      <w:r>
        <w:rPr>
          <w:rFonts w:ascii="Cambria Math" w:hAnsi="Cambria Math" w:eastAsia="宋体"/>
          <w:i/>
          <w:color w:val="000000"/>
          <w:sz w:val="21"/>
        </w:rPr>
        <w:t>X</w:t>
      </w:r>
      <w:r>
        <w:rPr>
          <w:rFonts w:ascii="Times New Roman" w:hAnsi="Times New Roman" w:eastAsia="宋体"/>
          <w:color w:val="000000"/>
          <w:sz w:val="21"/>
        </w:rPr>
        <w:t xml:space="preserve"> 的方差和与 </w:t>
      </w:r>
      <w:r>
        <w:rPr>
          <w:rFonts w:ascii="Cambria Math" w:hAnsi="Cambria Math" w:eastAsia="宋体"/>
          <w:i/>
          <w:color w:val="000000"/>
          <w:sz w:val="21"/>
        </w:rPr>
        <w:t>y</w:t>
      </w:r>
      <w:r>
        <w:rPr>
          <w:rFonts w:ascii="Times New Roman" w:hAnsi="Times New Roman" w:eastAsia="宋体"/>
          <w:color w:val="000000"/>
          <w:sz w:val="21"/>
        </w:rPr>
        <w:t xml:space="preserve"> 的协方差，更适合多波长校准，也更需要严格交叉验证。模式识别的结果依赖表示、尺度和距离，分群不等于机制，分类准确也不等于可部署。任何复杂模型都应与这些透明基线比较，因为只有先理解数据的秩、投影、残差和覆盖范围，才有可能判断人工智能真正增加了什么。</w:t>
      </w:r>
    </w:p>
    <w:p>
      <w:pPr>
        <w:pStyle w:val="2"/>
        <w:keepNext/>
        <w:pageBreakBefore w:val="0"/>
        <w:spacing w:line="288" w:lineRule="auto"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【思考题与习题】</w:t>
      </w:r>
    </w:p>
    <w:p>
      <w:pPr>
        <w:pStyle w:val="3"/>
        <w:keepNext/>
        <w:pageBreakBefore w:val="0"/>
        <w:spacing w:line="288" w:lineRule="auto" w:before="120" w:after="60"/>
      </w:pPr>
      <w:r>
        <w:rPr>
          <w:rFonts w:ascii="Times New Roman" w:hAnsi="Times New Roman" w:eastAsia="黑体"/>
          <w:b/>
          <w:color w:val="000000"/>
          <w:sz w:val="24"/>
        </w:rPr>
        <w:t>基础题（60%）</w:t>
      </w:r>
    </w:p>
    <w:p>
      <w:pPr>
        <w:widowControl/>
        <w:spacing w:line="288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1. 一批50个样品在1000个波长上测得光谱。写出 </w:t>
      </w:r>
      <w:r>
        <w:rPr>
          <w:rFonts w:ascii="Cambria Math" w:hAnsi="Cambria Math" w:eastAsia="宋体"/>
          <w:i/>
          <w:color w:val="000000"/>
          <w:sz w:val="21"/>
        </w:rPr>
        <w:t>X</w:t>
      </w:r>
      <w:r>
        <w:rPr>
          <w:rFonts w:ascii="Times New Roman" w:hAnsi="Times New Roman" w:eastAsia="宋体"/>
          <w:color w:val="000000"/>
          <w:sz w:val="21"/>
        </w:rPr>
        <w:t xml:space="preserve">、单组分 </w:t>
      </w:r>
      <w:r>
        <w:rPr>
          <w:rFonts w:ascii="Cambria Math" w:hAnsi="Cambria Math" w:eastAsia="宋体"/>
          <w:i/>
          <w:color w:val="000000"/>
          <w:sz w:val="21"/>
        </w:rPr>
        <w:t>y</w:t>
      </w:r>
      <w:r>
        <w:rPr>
          <w:rFonts w:ascii="Times New Roman" w:hAnsi="Times New Roman" w:eastAsia="宋体"/>
          <w:color w:val="000000"/>
          <w:sz w:val="21"/>
        </w:rPr>
        <w:t xml:space="preserve"> 和三组分 </w:t>
      </w:r>
      <w:r>
        <w:rPr>
          <w:rFonts w:ascii="Cambria Math" w:hAnsi="Cambria Math" w:eastAsia="宋体"/>
          <w:i/>
          <w:color w:val="000000"/>
          <w:sz w:val="21"/>
        </w:rPr>
        <w:t>Y</w:t>
      </w:r>
      <w:r>
        <w:rPr>
          <w:rFonts w:ascii="Times New Roman" w:hAnsi="Times New Roman" w:eastAsia="宋体"/>
          <w:color w:val="000000"/>
          <w:sz w:val="21"/>
        </w:rPr>
        <w:t xml:space="preserve"> 的维度，并说明矩阵的行和列分别代表什么。</w:t>
      </w:r>
    </w:p>
    <w:p>
      <w:pPr>
        <w:widowControl/>
        <w:spacing w:line="288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>2. 解释为什么对同一份非均匀粉末重复扫描20次不能替代20次独立取样。</w:t>
      </w:r>
    </w:p>
    <w:p>
      <w:pPr>
        <w:widowControl/>
        <w:spacing w:line="288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>3. 写出均值中心化、自动标准化和SNV的公式，并比较它们的参照方向。</w:t>
      </w:r>
    </w:p>
    <w:p>
      <w:pPr>
        <w:widowControl/>
        <w:spacing w:line="288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4. 为什么PCA载荷是 </w:t>
      </w:r>
      <w:r>
        <w:rPr>
          <w:rFonts w:ascii="Cambria Math" w:hAnsi="Cambria Math" w:eastAsia="宋体"/>
          <w:i/>
          <w:color w:val="000000"/>
          <w:sz w:val="21"/>
        </w:rPr>
        <w:t>X^TX</w:t>
      </w:r>
      <w:r>
        <w:rPr>
          <w:rFonts w:ascii="Times New Roman" w:hAnsi="Times New Roman" w:eastAsia="宋体"/>
          <w:color w:val="000000"/>
          <w:sz w:val="21"/>
        </w:rPr>
        <w:t xml:space="preserve"> 的特征向量？得分和载荷各自回答什么问题？</w:t>
      </w:r>
    </w:p>
    <w:p>
      <w:pPr>
        <w:widowControl/>
        <w:spacing w:line="288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>5. 比较MLR、PCR和PLS处理共线性的方式。</w:t>
      </w:r>
    </w:p>
    <w:p>
      <w:pPr>
        <w:widowControl/>
        <w:spacing w:line="288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>6. RMSEC很低而RMSEP很高，至少列出四种可能原因。</w:t>
      </w:r>
    </w:p>
    <w:p>
      <w:pPr>
        <w:pStyle w:val="3"/>
        <w:keepNext/>
        <w:pageBreakBefore w:val="0"/>
        <w:spacing w:line="288" w:lineRule="auto" w:before="120" w:after="60"/>
      </w:pPr>
      <w:r>
        <w:rPr>
          <w:rFonts w:ascii="Times New Roman" w:hAnsi="Times New Roman" w:eastAsia="黑体"/>
          <w:b/>
          <w:color w:val="000000"/>
          <w:sz w:val="24"/>
        </w:rPr>
        <w:t>进阶题（30%）</w:t>
      </w:r>
    </w:p>
    <w:p>
      <w:pPr>
        <w:widowControl/>
        <w:spacing w:line="288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>7. 某分类数据中，每个患者有5张拉曼谱。若把所有谱随机分折，为什么会高估性能？设计正确的交叉验证方案。</w:t>
      </w:r>
    </w:p>
    <w:p>
      <w:pPr>
        <w:widowControl/>
        <w:spacing w:line="288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>8. 两张光谱峰形相同但整体平移4 cm⁻¹。Pearson相关系数显著降低。讨论这是“化学不相似”还是“坐标未对齐”，并提出诊断步骤。</w:t>
      </w:r>
    </w:p>
    <w:p>
      <w:pPr>
        <w:widowControl/>
        <w:spacing w:line="288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9. 一个PCA模型中某样品 </w:t>
      </w:r>
      <w:r>
        <w:rPr>
          <w:rFonts w:ascii="Cambria Math" w:hAnsi="Cambria Math" w:eastAsia="宋体"/>
          <w:i/>
          <w:color w:val="000000"/>
          <w:sz w:val="21"/>
        </w:rPr>
        <w:t>T^2</w:t>
      </w:r>
      <w:r>
        <w:rPr>
          <w:rFonts w:ascii="Times New Roman" w:hAnsi="Times New Roman" w:eastAsia="宋体"/>
          <w:color w:val="000000"/>
          <w:sz w:val="21"/>
        </w:rPr>
        <w:t xml:space="preserve"> 很高而Q残差很低；另一个样品相反。分别解释两类样品的几何位置和可能化学含义。</w:t>
      </w:r>
    </w:p>
    <w:p>
      <w:pPr>
        <w:widowControl/>
        <w:spacing w:line="288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>10. 设计一个嵌套交叉验证流程，同时选择SNV/MSC、PLS潜变量数和波段区间，画出内外层数据流。</w:t>
      </w:r>
    </w:p>
    <w:p>
      <w:pPr>
        <w:pStyle w:val="3"/>
        <w:keepNext/>
        <w:pageBreakBefore w:val="0"/>
        <w:spacing w:line="288" w:lineRule="auto" w:before="120" w:after="60"/>
      </w:pPr>
      <w:r>
        <w:rPr>
          <w:rFonts w:ascii="Times New Roman" w:hAnsi="Times New Roman" w:eastAsia="黑体"/>
          <w:b/>
          <w:color w:val="000000"/>
          <w:sz w:val="24"/>
        </w:rPr>
        <w:t>开放题（10%）</w:t>
      </w:r>
    </w:p>
    <w:p>
      <w:pPr>
        <w:widowControl/>
        <w:spacing w:line="288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>11. 选择你熟悉的一种光谱、色谱或电化学数据，写出一个包含化学组成、基质、仪器参数和随机误差的测量模型，并指出哪些变量在现有实验中被混杂。</w:t>
      </w:r>
    </w:p>
    <w:p>
      <w:pPr>
        <w:widowControl/>
        <w:spacing w:line="288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>12. 在什么情况下，一个性能略低但能给出适用域的PLS模型，比黑箱深度模型更适合作为分析方法？请从监管、维护、样本成本和错误代价论证。</w:t>
      </w:r>
    </w:p>
    <w:p>
      <w:pPr>
        <w:pStyle w:val="2"/>
        <w:keepNext/>
        <w:pageBreakBefore w:val="0"/>
        <w:spacing w:line="288" w:lineRule="auto"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【代码实践】</w:t>
      </w:r>
    </w:p>
    <w:p>
      <w:pPr>
        <w:widowControl/>
        <w:spacing w:line="288" w:lineRule="auto" w:before="0" w:after="0"/>
        <w:ind w:firstLine="420"/>
        <w:jc w:val="both"/>
      </w:pPr>
      <w:r>
        <w:rPr>
          <w:rFonts w:ascii="Times New Roman" w:hAnsi="Times New Roman" w:eastAsia="宋体"/>
          <w:color w:val="000000"/>
          <w:sz w:val="21"/>
        </w:rPr>
        <w:t>代码文件包括：</w:t>
      </w:r>
      <w:r>
        <w:rPr>
          <w:rFonts w:ascii="Menlo" w:hAnsi="Menlo" w:eastAsia="等线"/>
          <w:color w:val="000000"/>
          <w:sz w:val="19"/>
        </w:rPr>
        <w:t>01_pca_svd.py</w:t>
      </w:r>
      <w:r>
        <w:rPr>
          <w:rFonts w:ascii="Times New Roman" w:hAnsi="Times New Roman" w:eastAsia="宋体"/>
          <w:color w:val="000000"/>
          <w:sz w:val="21"/>
        </w:rPr>
        <w:t>、</w:t>
      </w:r>
      <w:r>
        <w:rPr>
          <w:rFonts w:ascii="Menlo" w:hAnsi="Menlo" w:eastAsia="等线"/>
          <w:color w:val="000000"/>
          <w:sz w:val="19"/>
        </w:rPr>
        <w:t>02_pcr_pls_nested_cv.py</w:t>
      </w:r>
      <w:r>
        <w:rPr>
          <w:rFonts w:ascii="Times New Roman" w:hAnsi="Times New Roman" w:eastAsia="宋体"/>
          <w:color w:val="000000"/>
          <w:sz w:val="21"/>
        </w:rPr>
        <w:t>、</w:t>
      </w:r>
      <w:r>
        <w:rPr>
          <w:rFonts w:ascii="Menlo" w:hAnsi="Menlo" w:eastAsia="等线"/>
          <w:color w:val="000000"/>
          <w:sz w:val="19"/>
        </w:rPr>
        <w:t>03_applicability_domain.py</w:t>
      </w:r>
      <w:r>
        <w:rPr>
          <w:rFonts w:ascii="Times New Roman" w:hAnsi="Times New Roman" w:eastAsia="宋体"/>
          <w:color w:val="000000"/>
          <w:sz w:val="21"/>
        </w:rPr>
        <w:t xml:space="preserve">。练习要求先用NumPy从SVD计算得分、载荷和重构误差，再与scikit-learn结果核对；随后在模拟共线光谱上比较MLR、PCR和PLS，并用分组嵌套交叉验证选择潜变量；最后以Hotelling </w:t>
      </w:r>
      <w:r>
        <w:rPr>
          <w:rFonts w:ascii="Cambria Math" w:hAnsi="Cambria Math" w:eastAsia="宋体"/>
          <w:i/>
          <w:color w:val="000000"/>
          <w:sz w:val="21"/>
        </w:rPr>
        <w:t>T^2</w:t>
      </w:r>
      <w:r>
        <w:rPr>
          <w:rFonts w:ascii="Times New Roman" w:hAnsi="Times New Roman" w:eastAsia="宋体"/>
          <w:color w:val="000000"/>
          <w:sz w:val="21"/>
        </w:rPr>
        <w:t xml:space="preserve"> 和Q残差标记适用域外样品。代码输出必须同时包含图、误差表和对失效样品的解释。</w:t>
      </w:r>
    </w:p>
    <w:sectPr w:rsidR="00DF2813">
      <w:headerReference w:type="default" r:id="rId9"/>
      <w:footerReference w:type="default" r:id="rId10"/>
      <w:pgSz w:w="10411" w:h="14746"/>
      <w:pgMar w:top="1411" w:right="1253" w:bottom="1411" w:left="125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541C9A" w14:textId="77777777" w:rsidR="000B6296" w:rsidRDefault="000B6296">
      <w:pPr>
        <w:spacing w:after="0"/>
      </w:pPr>
      <w:r>
        <w:separator/>
      </w:r>
    </w:p>
  </w:endnote>
  <w:endnote w:type="continuationSeparator" w:id="0">
    <w:p w14:paraId="02E66D36" w14:textId="77777777" w:rsidR="000B6296" w:rsidRDefault="000B629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E3B54" w14:textId="77777777" w:rsidR="00DF2813" w:rsidRDefault="00DF2813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EAC7C5" w14:textId="486F403A" w:rsidR="00DF2813" w:rsidRDefault="000B6296">
    <w:pPr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171DDB" w14:textId="77777777" w:rsidR="000B6296" w:rsidRDefault="000B6296">
      <w:pPr>
        <w:spacing w:after="0"/>
      </w:pPr>
      <w:r>
        <w:separator/>
      </w:r>
    </w:p>
  </w:footnote>
  <w:footnote w:type="continuationSeparator" w:id="0">
    <w:p w14:paraId="10E87919" w14:textId="77777777" w:rsidR="000B6296" w:rsidRDefault="000B629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A9FA5" w14:textId="77777777" w:rsidR="00DF2813" w:rsidRDefault="00DF2813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2B503F" w14:textId="77777777" w:rsidR="00DF2813" w:rsidRDefault="000B6296">
    <w:pPr>
      <w:jc w:val="center"/>
    </w:pPr>
    <w:r>
      <w:rPr>
        <w:rFonts w:ascii="Times New Roman" w:hAnsi="Times New Roman" w:eastAsia="宋体"/>
        <w:color w:val="000000"/>
        <w:sz w:val="18"/>
      </w:rPr>
      <w:t>智能分析化学：化学计量学主干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1"/>
    <w:multiLevelType w:val="multilevel"/>
    <w:tmpl w:val="0000A991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00A99411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" w15:restartNumberingAfterBreak="0">
    <w:nsid w:val="00A99412"/>
    <w:multiLevelType w:val="multilevel"/>
    <w:tmpl w:val="00A99412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0A99413"/>
    <w:multiLevelType w:val="multilevel"/>
    <w:tmpl w:val="00A99413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4" w15:restartNumberingAfterBreak="0">
    <w:nsid w:val="00A99416"/>
    <w:multiLevelType w:val="multilevel"/>
    <w:tmpl w:val="00A99416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5" w15:restartNumberingAfterBreak="0">
    <w:nsid w:val="00A99417"/>
    <w:multiLevelType w:val="multilevel"/>
    <w:tmpl w:val="00A99417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6" w15:restartNumberingAfterBreak="0">
    <w:nsid w:val="00A99419"/>
    <w:multiLevelType w:val="multilevel"/>
    <w:tmpl w:val="00A99419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7" w15:restartNumberingAfterBreak="0">
    <w:nsid w:val="0A994110"/>
    <w:multiLevelType w:val="multilevel"/>
    <w:tmpl w:val="0A994110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8" w15:restartNumberingAfterBreak="0">
    <w:nsid w:val="0A994111"/>
    <w:multiLevelType w:val="multilevel"/>
    <w:tmpl w:val="0A994111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" w15:restartNumberingAfterBreak="0">
    <w:nsid w:val="0A994113"/>
    <w:multiLevelType w:val="multilevel"/>
    <w:tmpl w:val="0A994113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4">
    <w:abstractNumId w:val="7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5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">
    <w:abstractNumId w:val="7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5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5">
    <w:abstractNumId w:val="7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4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22">
    <w:abstractNumId w:val="7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2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4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26">
    <w:abstractNumId w:val="7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2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4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30">
    <w:abstractNumId w:val="7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3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4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34">
    <w:abstractNumId w:val="7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3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4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38">
    <w:abstractNumId w:val="7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3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55">
    <w:abstractNumId w:val="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5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>
    <w:abstractNumId w:val="6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64">
    <w:abstractNumId w:val="9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6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9">
    <w:abstractNumId w:val="5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70">
    <w:abstractNumId w:val="8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7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>
    <w:abstractNumId w:val="5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75">
    <w:abstractNumId w:val="8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7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8">
    <w:abstractNumId w:val="5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79">
    <w:abstractNumId w:val="8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9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bordersDoNotSurroundHeader/>
  <w:bordersDoNotSurroundFooter/>
  <w:proofState w:grammar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splitPgBreakAndParaMark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F2813"/>
    <w:rsid w:val="000B6296"/>
    <w:rsid w:val="003208BF"/>
    <w:rsid w:val="00DF2813"/>
    <w:rsid w:val="06A724A7"/>
    <w:rsid w:val="192E7DCB"/>
    <w:rsid w:val="3C4076A1"/>
    <w:rsid w:val="60143417"/>
    <w:rsid w:val="629F2D6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8B6579"/>
  <w15:docId w15:val="{205839D2-68C0-46F1-AD46-0C8BD55214E2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footnote text" w:uiPriority="9" w:unhideWhenUsed="1" w:qFormat="1"/>
    <w:lsdException w:name="footnote reference" w:qFormat="1"/>
    <w:lsdException w:name="Title" w:qFormat="1"/>
    <w:lsdException w:name="Default Paragraph Font" w:semiHidden="1" w:unhideWhenUsed="1"/>
    <w:lsdException w:name="Body Text" w:qFormat="1"/>
    <w:lsdException w:name="Subtitle" w:qFormat="1"/>
    <w:lsdException w:name="Date" w:qFormat="1"/>
    <w:lsdException w:name="Block Text" w:uiPriority="9" w:unhideWhenUsed="1" w:qFormat="1"/>
    <w:lsdException w:name="Hyperlink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200"/>
    </w:pPr>
    <w:rPr>
      <w:rFonts w:eastAsiaTheme="minorHAnsi"/>
      <w:sz w:val="24"/>
      <w:szCs w:val="24"/>
      <w:lang w:eastAsia="en-US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before="180" w:after="180"/>
    </w:pPr>
  </w:style>
  <w:style w:type="paragraph" w:styleId="a5">
    <w:name w:val="caption"/>
    <w:basedOn w:val="a"/>
    <w:pPr>
      <w:spacing w:after="120"/>
    </w:pPr>
    <w:rPr>
      <w:i/>
    </w:rPr>
  </w:style>
  <w:style w:type="paragraph" w:styleId="a6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7">
    <w:name w:val="Date"/>
    <w:next w:val="a0"/>
    <w:qFormat/>
    <w:pPr>
      <w:keepNext/>
      <w:keepLines/>
      <w:spacing w:after="200"/>
      <w:jc w:val="center"/>
    </w:pPr>
    <w:rPr>
      <w:rFonts w:eastAsiaTheme="minorHAnsi"/>
      <w:sz w:val="24"/>
      <w:szCs w:val="24"/>
      <w:lang w:eastAsia="en-US"/>
    </w:rPr>
  </w:style>
  <w:style w:type="paragraph" w:styleId="a8">
    <w:name w:val="Subtitle"/>
    <w:basedOn w:val="a9"/>
    <w:next w:val="a0"/>
    <w:qFormat/>
    <w:pPr>
      <w:spacing w:before="240"/>
    </w:pPr>
    <w:rPr>
      <w:sz w:val="30"/>
      <w:szCs w:val="30"/>
    </w:rPr>
  </w:style>
  <w:style w:type="paragraph" w:styleId="a9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a">
    <w:name w:val="footnote text"/>
    <w:basedOn w:val="a"/>
    <w:uiPriority w:val="9"/>
    <w:unhideWhenUsed/>
    <w:qFormat/>
  </w:style>
  <w:style w:type="character" w:styleId="ab">
    <w:name w:val="Hyperlink"/>
    <w:basedOn w:val="a4"/>
    <w:qFormat/>
    <w:rPr>
      <w:color w:val="4F81BD" w:themeColor="accent1"/>
    </w:rPr>
  </w:style>
  <w:style w:type="character" w:customStyle="1" w:styleId="a4">
    <w:name w:val="正文文本 字符"/>
    <w:basedOn w:val="a1"/>
    <w:link w:val="a0"/>
    <w:qFormat/>
  </w:style>
  <w:style w:type="character" w:styleId="ac">
    <w:name w:val="footnote reference"/>
    <w:basedOn w:val="a4"/>
    <w:qFormat/>
    <w:rPr>
      <w:vertAlign w:val="superscript"/>
    </w:r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customStyle="1" w:styleId="Author">
    <w:name w:val="Author"/>
    <w:next w:val="a0"/>
    <w:qFormat/>
    <w:pPr>
      <w:keepNext/>
      <w:keepLines/>
      <w:spacing w:after="200"/>
      <w:jc w:val="center"/>
    </w:pPr>
    <w:rPr>
      <w:rFonts w:eastAsiaTheme="minorHAnsi"/>
      <w:sz w:val="24"/>
      <w:szCs w:val="24"/>
      <w:lang w:eastAsia="en-US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customStyle="1" w:styleId="10">
    <w:name w:val="书目1"/>
    <w:basedOn w:val="a"/>
    <w:qFormat/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customStyle="1" w:styleId="TableCaption">
    <w:name w:val="Table Caption"/>
    <w:basedOn w:val="a5"/>
    <w:qFormat/>
    <w:pPr>
      <w:keepNext/>
    </w:pPr>
  </w:style>
  <w:style w:type="paragraph" w:customStyle="1" w:styleId="ImageCaption">
    <w:name w:val="Image Caption"/>
    <w:basedOn w:val="a5"/>
    <w:qFormat/>
  </w:style>
  <w:style w:type="paragraph" w:customStyle="1" w:styleId="Figure">
    <w:name w:val="Figure"/>
    <w:basedOn w:val="a"/>
    <w:qFormat/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VerbatimChar">
    <w:name w:val="Verbatim Char"/>
    <w:basedOn w:val="a4"/>
    <w:link w:val="SourceCode"/>
    <w:qFormat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qFormat/>
    <w:pPr>
      <w:shd w:val="clear" w:color="auto" w:fill="F8F8F8"/>
      <w:wordWrap w:val="0"/>
    </w:pPr>
  </w:style>
  <w:style w:type="character" w:customStyle="1" w:styleId="SectionNumber">
    <w:name w:val="Section Number"/>
    <w:basedOn w:val="a4"/>
    <w:qFormat/>
  </w:style>
  <w:style w:type="paragraph" w:customStyle="1" w:styleId="TOC1">
    <w:name w:val="TOC 标题1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character" w:customStyle="1" w:styleId="KeywordTok">
    <w:name w:val="KeywordTok"/>
    <w:basedOn w:val="VerbatimChar"/>
    <w:qFormat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qFormat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qFormat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qFormat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qFormat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qFormat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qFormat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qFormat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qFormat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qFormat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qFormat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qFormat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qFormat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qFormat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qFormat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qFormat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qFormat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qFormat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qFormat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qFormat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qFormat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qFormat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qFormat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qFormat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qFormat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qFormat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qFormat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qFormat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qFormat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497</Pages>
  <Words>78486</Words>
  <Characters>447373</Characters>
  <Application>Microsoft Office Word</Application>
  <DocSecurity>0</DocSecurity>
  <Lines>3728</Lines>
  <Paragraphs>1049</Paragraphs>
  <ScaleCrop>false</ScaleCrop>
  <Company/>
  <LinksUpToDate>false</LinksUpToDate>
  <CharactersWithSpaces>524810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傅钢</dc:creator>
  <cp:lastModifiedBy>Bin Ren</cp:lastModifiedBy>
  <cp:revision>2</cp:revision>
  <dcterms:created xsi:type="dcterms:W3CDTF">2026-05-06T14:15:00Z</dcterms:created>
  <dcterms:modified xsi:type="dcterms:W3CDTF">2026-05-07T01:22:00Z</dcterms:modified>
  <dc:title>智能分析化学：化学计量学主干章节重写稿</dc:title>
  <dc:subject>第2—5章出版内容审阅稿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eyJoZGlkIjoiMDljYzUzMWQ4OWI0YzBkYjYzMDRhZTY5ZjZkYmFmYTgiLCJ1c2VySWQiOiIzNDY3ODI5MDMifQ==</vt:lpwstr>
  </property>
  <property fmtid="{D5CDD505-2E9C-101B-9397-08002B2CF9AE}" pid="3" name="KSOProductBuildVer">
    <vt:lpwstr>2052-12.1.0.25865</vt:lpwstr>
  </property>
  <property fmtid="{D5CDD505-2E9C-101B-9397-08002B2CF9AE}" pid="4" name="ICV">
    <vt:lpwstr>74DB65D882BD4BF7A9A58B5557D771E8_12</vt:lpwstr>
  </property>
</Properties>
</file>