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9"/>
        <w:ind w:firstLine="0"/>
        <w:jc w:val="center"/>
      </w:pPr>
      <w:r>
        <w:t>第2章 化学数据的采集、预处理、可视化与计算基础</w:t>
      </w:r>
    </w:p>
    <w:p>
      <w:pPr>
        <w:pStyle w:val="a8"/>
        <w:ind w:firstLine="0"/>
        <w:jc w:val="center"/>
      </w:pPr>
      <w:r>
        <w:t>第1篇 分析化学的新范式与测量基础</w:t>
      </w:r>
    </w:p>
    <w:p>
      <w:pPr>
        <w:pStyle w:val="a8"/>
        <w:ind w:firstLine="0"/>
        <w:jc w:val="center"/>
      </w:pPr>
      <w:r>
        <w:t>出版内容初稿 v2.2</w:t>
      </w:r>
    </w:p>
    <w:p>
      <w:pPr>
        <w:pStyle w:val="2"/>
      </w:pPr>
      <w:r>
        <w:t>【章首导引】</w:t>
      </w:r>
    </w:p>
    <w:p>
      <w:r>
        <w:t>怎样把仪器文件变成不丢失化学语境、可供模型使用的数据对象？ 本章以带有坐标轴、单位和批次结构的化学数据为对象，落实“承接课程的数据与Python内容，强调数据结构、处理边界和可复算流水线。”。贯穿案例为“建立一套可复算的拉曼光谱清洗与可视化流程”。</w:t>
      </w:r>
    </w:p>
    <w:p>
      <w:pPr>
        <w:pStyle w:val="2"/>
      </w:pPr>
      <w:r>
        <w:t>学习目标</w:t>
      </w:r>
    </w:p>
    <w:p>
      <w:pPr>
        <w:ind w:firstLine="0"/>
      </w:pPr>
      <w:r>
        <w:t>（1）能够说明带有坐标轴、单位和批次结构的化学数据在本章中的数据结构与主要信息来源。</w:t>
      </w:r>
    </w:p>
    <w:p>
      <w:pPr>
        <w:ind w:firstLine="0"/>
      </w:pPr>
      <w:r>
        <w:t>（2）能够解释本章关键方法的输入、输出、参数、假设和失效条件。</w:t>
      </w:r>
    </w:p>
    <w:p>
      <w:pPr>
        <w:ind w:firstLine="0"/>
      </w:pPr>
      <w:r>
        <w:t>（3）能够以“保持原始数据只读并把预处理放入训练流水线”设计训练、验证和独立测试。</w:t>
      </w:r>
    </w:p>
    <w:p>
      <w:pPr>
        <w:ind w:firstLine="0"/>
      </w:pPr>
      <w:r>
        <w:t>（4）能够完成“建立一套可复算的拉曼光谱清洗与可视化流程”的最小代码实验并分析失败样本。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32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02章_知识图谱_预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2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5"/>
        <w:ind w:firstLine="0"/>
        <w:jc w:val="center"/>
      </w:pPr>
      <w:r>
        <w:t>图2-1  第2章知识图谱</w:t>
      </w:r>
    </w:p>
    <w:p>
      <w:pPr>
        <w:pStyle w:val="2"/>
      </w:pPr>
      <w:r>
        <w:t>2.1 化学数据的来源、层级与基本单位</w:t>
      </w:r>
    </w:p>
    <w:p>
      <w:r>
        <w:t>本节围绕“化学数据的来源、层级与基本单位”展开。分析对象是带有坐标轴、单位和批次结构的化学数据，核心不是罗列名词，而是说明光谱、质谱、色谱和电化学信号、图像、光谱立方体与时序数据、实验条件、样品和批次记录、分子结构、文本和模拟数据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化学数据的来源、层级与基本单位”中，技术路线遵循“保持原始数据只读并把预处理放入训练流水线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建立一套可复算的拉曼光谱清洗与可视化流程”落实到多模态数据的对象对齐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2.1.1 光谱、质谱、色谱和电化学信号</w:t>
      </w:r>
    </w:p>
    <w:p>
      <w:r>
        <w:t>就“光谱、质谱、色谱和电化学信号”而言，在“化学数据的来源、层级与基本单位”中，光谱、质谱、色谱和电化学信号具体限定了带有坐标轴、单位和批次结构的化学数据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光谱、质谱、色谱和电化学信号”用于“化学数据的来源、层级与基本单位”时，本书用“建立一套可复算的拉曼光谱清洗与可视化流程”检验光谱、质谱、色谱和电化学信号。实现时遵循“保持原始数据只读并把预处理放入训练流水线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2.1.2 图像、光谱立方体与时序数据</w:t>
      </w:r>
    </w:p>
    <w:p>
      <w:r>
        <w:t>就“图像、光谱立方体与时序数据”而言，围绕“图像、光谱立方体与时序数据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图像、光谱立方体与时序数据”用于“化学数据的来源、层级与基本单位”时，在“化学数据的来源、层级与基本单位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最终报告需要给出适用范围和拒绝条件，使方法在证据不足时能够停止输出。</w:t>
      </w:r>
    </w:p>
    <w:p>
      <w:pPr>
        <w:pStyle w:val="3"/>
      </w:pPr>
      <w:r>
        <w:t>2.1.3 实验条件、样品和批次记录</w:t>
      </w:r>
    </w:p>
    <w:p>
      <w:r>
        <w:t>就“实验条件、样品和批次记录”而言，实验条件、样品和批次记录决定数字能否被重新解释。仅保存强度矩阵会丢失坐标轴、单位、采样间隔、样品身份、仪器参数和校准状态；这些信息一旦脱离原始信号，后续很难判断变化来自化学对象还是采集条件。</w:t>
      </w:r>
    </w:p>
    <w:p>
      <w:r>
        <w:t>把“实验条件、样品和批次记录”用于“化学数据的来源、层级与基本单位”时，推荐把原始文件设为只读，以持久样品标识连接实验表和信号文件，并为每次转换记录脚本版本、参数和校验码。单位转换、重采样与轴反向属于会改变数值含义的操作，必须在数据进入模型前自动检查。教学上应把该概念落实为可观察变量、可运行程序和可反驳检验三层。</w:t>
      </w:r>
    </w:p>
    <w:p>
      <w:pPr>
        <w:pStyle w:val="3"/>
      </w:pPr>
      <w:r>
        <w:t>2.1.4 分子结构、文本和模拟数据</w:t>
      </w:r>
    </w:p>
    <w:p>
      <w:r>
        <w:t>就“分子结构、文本和模拟数据”而言，分子结构、文本和模拟数据属于从观测反推对象的逆问题，常存在多解性。同一峰可由多个结构片段贡献，同一空间热点也可能受厚度、照明或离子抑制影响；因此模型输出首先是候选解释，而不是自动成立的机制。</w:t>
      </w:r>
    </w:p>
    <w:p>
      <w:r>
        <w:t>把“分子结构、文本和模拟数据”用于“化学数据的来源、层级与基本单位”时，可信解释需要至少一条独立证据链：改变实验条件观察可预测响应、使用互补仪器验证候选，或以标准物质复现特征。显著性图、注意力和SHAP可定位模型依赖，却不能替代干预和机理实验。在真实项目中，还应保存参数、软件版本和输入校验结果，以便定位变化来自样品还是计算。</w:t>
      </w:r>
    </w:p>
    <w:p>
      <w:pPr>
        <w:pStyle w:val="3"/>
      </w:pPr>
      <w:r>
        <w:t>2.1.5 多模态数据的对象对齐</w:t>
      </w:r>
    </w:p>
    <w:p>
      <w:r>
        <w:t>就“多模态数据的对象对齐”而言，围绕“多模态数据的对象对齐”，多模态学习把结构、谱图、图像、文本和实验条件作为互补观测。早期融合在输入或浅层表示处拼接，要求严格对齐；晚期融合组合独立模型输出，更容易处理缺失模态；联合表示学习则直接优化跨模态对应关系。</w:t>
      </w:r>
    </w:p>
    <w:p>
      <w:r>
        <w:t>把“多模态数据的对象对齐”用于“化学数据的来源、层级与基本单位”时，在“化学数据的来源、层级与基本单位”的语境下，对比学习拉近匹配样本的表示并推远不匹配样本。负样本若包含实际相似或同一对象的不同观测，会向模型提供错误监督。评价除下游性能外，还应检查检索、缺失模态稳健性和批次独立性。若该步骤改变了样品单位、统计独立性或物理峰形，必须在独立数据上重新证明其有效性。</w:t>
      </w:r>
    </w:p>
    <w:p>
      <w:pPr>
        <w:pStyle w:val="2"/>
      </w:pPr>
      <w:r>
        <w:t>2.2 仪器坐标轴、样品标识与实验元数据</w:t>
      </w:r>
    </w:p>
    <w:p>
      <w:r>
        <w:t>本节围绕“仪器坐标轴、样品标识与实验元数据”展开。分析对象是带有坐标轴、单位和批次结构的化学数据，核心不是罗列名词，而是说明坐标轴、单位与采样间隔、样品、重复和批次标识、仪器型号、参数和校准状态、操作者、环境与时间信息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仪器坐标轴、样品标识与实验元数据”中，技术路线遵循“保持原始数据只读并把预处理放入训练流水线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建立一套可复算的拉曼光谱清洗与可视化流程”落实到原始数据只读与版本标识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2.2.1 坐标轴、单位与采样间隔</w:t>
      </w:r>
    </w:p>
    <w:p>
      <w:r>
        <w:t>就“坐标轴、单位与采样间隔”而言，坐标轴、单位与采样间隔决定数据能否代表待回答的总体。分析试份通常只占原始对象极小比例，空间异质、颗粒尺寸、相分布和批次结构会使制样误差大于仪器重复误差；增加同一试份的重复扫描不能弥补缺乏独立取样。</w:t>
      </w:r>
    </w:p>
    <w:p>
      <w:r>
        <w:t>把“坐标轴、单位与采样间隔”用于“仪器坐标轴、样品标识与实验元数据”时，应先定义总体、初级采样单元、实验样品和分析试份，再配置分层或随机取样、混匀和独立重复。训练/测试划分也必须以真正独立的样品单位为边界，否则模型会因伪重复获得虚高性能。读图或读指标时应返回原始数据抽查，避免把表示空间中的几何关系直接当成化学机制。</w:t>
      </w:r>
    </w:p>
    <w:p>
      <w:pPr>
        <w:pStyle w:val="3"/>
      </w:pPr>
      <w:r>
        <w:t>2.2.2 样品、重复和批次标识</w:t>
      </w:r>
    </w:p>
    <w:p>
      <w:r>
        <w:t>就“样品、重复和批次标识”而言，样品、重复和批次标识决定数字能否被重新解释。仅保存强度矩阵会丢失坐标轴、单位、采样间隔、样品身份、仪器参数和校准状态；这些信息一旦脱离原始信号，后续很难判断变化来自化学对象还是采集条件。</w:t>
      </w:r>
    </w:p>
    <w:p>
      <w:r>
        <w:t>把“样品、重复和批次标识”用于“仪器坐标轴、样品标识与实验元数据”时，推荐把原始文件设为只读，以持久样品标识连接实验表和信号文件，并为每次转换记录脚本版本、参数和校验码。单位转换、重采样与轴反向属于会改变数值含义的操作，必须在数据进入模型前自动检查。最终报告需要给出适用范围和拒绝条件，使方法在证据不足时能够停止输出。</w:t>
      </w:r>
    </w:p>
    <w:p>
      <w:pPr>
        <w:pStyle w:val="3"/>
      </w:pPr>
      <w:r>
        <w:t>2.2.3 仪器型号、参数和校准状态</w:t>
      </w:r>
    </w:p>
    <w:p>
      <w:r>
        <w:t>就“仪器型号、参数和校准状态”而言，围绕“仪器型号、参数和校准状态”，精确率关注预测为阳性的样品中有多少真正阳性，召回率关注真正阳性中有多少被检出，F1是二者的调和平均。类别极不平衡时，PR曲线比ROC曲线更能反映少数类识别的实际难度。</w:t>
      </w:r>
    </w:p>
    <w:p>
      <w:r>
        <w:t>把“仪器型号、参数和校准状态”用于“仪器坐标轴、样品标识与实验元数据”时，在“仪器坐标轴、样品标识与实验元数据”的语境下，概率校准回答预测概率是否与实际发生率一致。Brier分数同时受到判别和校准影响；可靠性图可显示模型过度自信或过度保守。阈值应根据漏检和误报代价确定，而不是固定在0.5。教学上应把该概念落实为可观察变量、可运行程序和可反驳检验三层。</w:t>
      </w:r>
    </w:p>
    <w:p>
      <w:pPr>
        <w:pStyle w:val="3"/>
      </w:pPr>
      <w:r>
        <w:t>2.2.4 操作者、环境与时间信息</w:t>
      </w:r>
    </w:p>
    <w:p>
      <w:r>
        <w:t>就“操作者、环境与时间信息”而言，操作者、环境与时间信息要求测量时间尺度快于被研究过程的关键变化。采样、传质、仪器响应和数据处理都可能造成时间延迟；若响应时间与反应时间相当，记录到的曲线是系统动力学与仪器核的卷积。</w:t>
      </w:r>
    </w:p>
    <w:p>
      <w:r>
        <w:t>把“操作者、环境与时间信息”用于“仪器坐标轴、样品标识与实验元数据”时，建模时应保存真实时间戳、同步误差和操作事件，避免把等间隔文件序号当作真实时间。对于在线控制，还要区分毫秒级设备反馈与分钟级科学决策，并用状态估计处理不可直接观察的化学状态。在真实项目中，还应保存参数、软件版本和输入校验结果，以便定位变化来自样品还是计算。</w:t>
      </w:r>
    </w:p>
    <w:p>
      <w:pPr>
        <w:pStyle w:val="3"/>
      </w:pPr>
      <w:r>
        <w:t>2.2.5 原始数据只读与版本标识</w:t>
      </w:r>
    </w:p>
    <w:p>
      <w:r>
        <w:t>就“原始数据只读与版本标识”而言，原始数据只读与版本标识决定数字能否被重新解释。仅保存强度矩阵会丢失坐标轴、单位、采样间隔、样品身份、仪器参数和校准状态；这些信息一旦脱离原始信号，后续很难判断变化来自化学对象还是采集条件。</w:t>
      </w:r>
    </w:p>
    <w:p>
      <w:r>
        <w:t>把“原始数据只读与版本标识”用于“仪器坐标轴、样品标识与实验元数据”时，推荐把原始文件设为只读，以持久样品标识连接实验表和信号文件，并为每次转换记录脚本版本、参数和校验码。单位转换、重采样与轴反向属于会改变数值含义的操作，必须在数据进入模型前自动检查。若该步骤改变了样品单位、统计独立性或物理峰形，必须在独立数据上重新证明其有效性。</w:t>
      </w:r>
    </w:p>
    <w:p>
      <w:pPr>
        <w:pStyle w:val="2"/>
      </w:pPr>
      <w:r>
        <w:t>2.3 Python、数组、表格与化学文件读取</w:t>
      </w:r>
    </w:p>
    <w:p>
      <w:r>
        <w:t>本节围绕“Python、数组、表格与化学文件读取”展开。分析对象是带有坐标轴、单位和批次结构的化学数据，核心不是罗列名词，而是说明Python环境、解释器和包管理、NumPy数组及轴的含义、Pandas表格与元数据连接、Matplotlib/Seaborn基础绘图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Python、数组、表格与化学文件读取”中，技术路线遵循“保持原始数据只读并把预处理放入训练流水线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建立一套可复算的拉曼光谱清洗与可视化流程”落实到Jupyter与脚本化流程的分工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2.3.1 Python环境、解释器和包管理</w:t>
      </w:r>
    </w:p>
    <w:p>
      <w:r>
        <w:t>就“Python环境、解释器和包管理”而言，在“Python、数组、表格与化学文件读取”中，Python环境、解释器和包管理具体限定了带有坐标轴、单位和批次结构的化学数据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Python环境、解释器和包管理”用于“Python、数组、表格与化学文件读取”时，本书用“建立一套可复算的拉曼光谱清洗与可视化流程”检验Python环境、解释器和包管理。实现时遵循“保持原始数据只读并把预处理放入训练流水线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2.3.2 NumPy数组及轴的含义</w:t>
      </w:r>
    </w:p>
    <w:p>
      <w:r>
        <w:t>就“NumPy数组及轴的含义”而言，在“Python、数组、表格与化学文件读取”中，NumPy数组及轴的含义具体限定了带有坐标轴、单位和批次结构的化学数据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NumPy数组及轴的含义”用于“Python、数组、表格与化学文件读取”时，本书用“建立一套可复算的拉曼光谱清洗与可视化流程”检验NumPy数组及轴的含义。实现时遵循“保持原始数据只读并把预处理放入训练流水线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2.3.3 Pandas表格与元数据连接</w:t>
      </w:r>
    </w:p>
    <w:p>
      <w:r>
        <w:t>就“Pandas表格与元数据连接”而言，Pandas表格与元数据连接决定数字能否被重新解释。仅保存强度矩阵会丢失坐标轴、单位、采样间隔、样品身份、仪器参数和校准状态；这些信息一旦脱离原始信号，后续很难判断变化来自化学对象还是采集条件。</w:t>
      </w:r>
    </w:p>
    <w:p>
      <w:r>
        <w:t>把“Pandas表格与元数据连接”用于“Python、数组、表格与化学文件读取”时，推荐把原始文件设为只读，以持久样品标识连接实验表和信号文件，并为每次转换记录脚本版本、参数和校验码。单位转换、重采样与轴反向属于会改变数值含义的操作，必须在数据进入模型前自动检查。教学上应把该概念落实为可观察变量、可运行程序和可反驳检验三层。</w:t>
      </w:r>
    </w:p>
    <w:p>
      <w:pPr>
        <w:pStyle w:val="3"/>
      </w:pPr>
      <w:r>
        <w:t>2.3.4 Matplotlib/Seaborn基础绘图</w:t>
      </w:r>
    </w:p>
    <w:p>
      <w:r>
        <w:t>就“Matplotlib/Seaborn基础绘图”而言，围绕“Matplotlib/Seaborn基础绘图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Matplotlib/Seaborn基础绘图”用于“Python、数组、表格与化学文件读取”时，在“Python、数组、表格与化学文件读取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在真实项目中，还应保存参数、软件版本和输入校验结果，以便定位变化来自样品还是计算。</w:t>
      </w:r>
    </w:p>
    <w:p>
      <w:pPr>
        <w:pStyle w:val="3"/>
      </w:pPr>
      <w:r>
        <w:t>2.3.5 常见化学文件读取与转换</w:t>
      </w:r>
    </w:p>
    <w:p>
      <w:r>
        <w:t>就“常见化学文件读取与转换”而言，在“Python、数组、表格与化学文件读取”中，常见化学文件读取与转换具体限定了带有坐标轴、单位和批次结构的化学数据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常见化学文件读取与转换”用于“Python、数组、表格与化学文件读取”时，本书用“建立一套可复算的拉曼光谱清洗与可视化流程”检验常见化学文件读取与转换。实现时遵循“保持原始数据只读并把预处理放入训练流水线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2.3.6 Jupyter与脚本化流程的分工</w:t>
      </w:r>
    </w:p>
    <w:p>
      <w:r>
        <w:t>就“Jupyter与脚本化流程的分工”而言，在“Python、数组、表格与化学文件读取”中，Jupyter与脚本化流程的分工具体限定了带有坐标轴、单位和批次结构的化学数据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Jupyter与脚本化流程的分工”用于“Python、数组、表格与化学文件读取”时，本书用“建立一套可复算的拉曼光谱清洗与可视化流程”检验Jupyter与脚本化流程的分工。实现时遵循“保持原始数据只读并把预处理放入训练流水线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2"/>
      </w:pPr>
      <w:r>
        <w:t>2.4 缺失、异常、重复、噪声与基线漂移</w:t>
      </w:r>
    </w:p>
    <w:p>
      <w:r>
        <w:t>本节围绕“缺失、异常、重复、噪声与基线漂移”展开。分析对象是带有坐标轴、单位和批次结构的化学数据，核心不是罗列名词，而是说明缺失值的类型与处理、重复记录和伪重复、离群值、异常信号与真实稀有样品、噪声、尖峰和饱和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缺失、异常、重复、噪声与基线漂移”中，技术路线遵循“保持原始数据只读并把预处理放入训练流水线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建立一套可复算的拉曼光谱清洗与可视化流程”落实到基线漂移、仪器背景和批次漂移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2.4.1 缺失值的类型与处理</w:t>
      </w:r>
    </w:p>
    <w:p>
      <w:r>
        <w:t>就“缺失值的类型与处理”而言，在“缺失、异常、重复、噪声与基线漂移”中，缺失值的类型与处理具体限定了带有坐标轴、单位和批次结构的化学数据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缺失值的类型与处理”用于“缺失、异常、重复、噪声与基线漂移”时，本书用“建立一套可复算的拉曼光谱清洗与可视化流程”检验缺失值的类型与处理。实现时遵循“保持原始数据只读并把预处理放入训练流水线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2.4.2 重复记录和伪重复</w:t>
      </w:r>
    </w:p>
    <w:p>
      <w:r>
        <w:t>就“重复记录和伪重复”而言，重复记录和伪重复决定数字能否被重新解释。仅保存强度矩阵会丢失坐标轴、单位、采样间隔、样品身份、仪器参数和校准状态；这些信息一旦脱离原始信号，后续很难判断变化来自化学对象还是采集条件。</w:t>
      </w:r>
    </w:p>
    <w:p>
      <w:r>
        <w:t>把“重复记录和伪重复”用于“缺失、异常、重复、噪声与基线漂移”时，推荐把原始文件设为只读，以持久样品标识连接实验表和信号文件，并为每次转换记录脚本版本、参数和校验码。单位转换、重采样与轴反向属于会改变数值含义的操作，必须在数据进入模型前自动检查。最终报告需要给出适用范围和拒绝条件，使方法在证据不足时能够停止输出。</w:t>
      </w:r>
    </w:p>
    <w:p>
      <w:pPr>
        <w:pStyle w:val="3"/>
      </w:pPr>
      <w:r>
        <w:t>2.4.3 离群值、异常信号与真实稀有样品</w:t>
      </w:r>
    </w:p>
    <w:p>
      <w:r>
        <w:t>就“离群值、异常信号与真实稀有样品”而言，在“缺失、异常、重复、噪声与基线漂移”中，离群值、异常信号与真实稀有样品具体限定了带有坐标轴、单位和批次结构的化学数据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离群值、异常信号与真实稀有样品”用于“缺失、异常、重复、噪声与基线漂移”时，本书用“建立一套可复算的拉曼光谱清洗与可视化流程”检验离群值、异常信号与真实稀有样品。实现时遵循“保持原始数据只读并把预处理放入训练流水线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2.4.4 噪声、尖峰和饱和</w:t>
      </w:r>
    </w:p>
    <w:p>
      <w:r>
        <w:t>就“噪声、尖峰和饱和”而言，在“缺失、异常、重复、噪声与基线漂移”中，噪声、尖峰和饱和具体限定了带有坐标轴、单位和批次结构的化学数据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噪声、尖峰和饱和”用于“缺失、异常、重复、噪声与基线漂移”时，本书用“建立一套可复算的拉曼光谱清洗与可视化流程”检验噪声、尖峰和饱和。实现时遵循“保持原始数据只读并把预处理放入训练流水线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2.4.5 基线漂移、仪器背景和批次漂移</w:t>
      </w:r>
    </w:p>
    <w:p>
      <w:r>
        <w:t>就“基线漂移、仪器背景和批次漂移”而言，围绕“基线漂移、仪器背景和批次漂移”，Savitzky-Golay方法在滑动窗口内拟合低阶多项式，可同时实现平滑和导数估计。窗口过短会保留噪声，过长会压低窄峰；多项式阶数过高则增加振荡。参数应根据仪器分辨率、最窄有效峰宽和下游任务共同确定。</w:t>
      </w:r>
    </w:p>
    <w:p>
      <w:r>
        <w:t>把“基线漂移、仪器背景和批次漂移”用于“缺失、异常、重复、噪声与基线漂移”时，在“缺失、异常、重复、噪声与基线漂移”的语境下，基线校正实质上是在区分慢变化背景与分析信号。多项式、非对称最小二乘和形态学方法对应不同的背景假设。校正后不仅要看曲线是否平直，还要比较峰位、峰宽、峰面积、空白残差和定量偏差。若该步骤改变了样品单位、统计独立性或物理峰形，必须在独立数据上重新证明其有效性。</w:t>
      </w:r>
    </w:p>
    <w:p>
      <w:pPr>
        <w:pStyle w:val="2"/>
      </w:pPr>
      <w:r>
        <w:t>2.5 平滑、导数、标准化、峰提取和变换</w:t>
      </w:r>
    </w:p>
    <w:p>
      <w:r>
        <w:t>本节围绕“平滑、导数、标准化、峰提取和变换”展开。分析对象是带有坐标轴、单位和批次结构的化学数据，核心不是罗列名词，而是说明归一化、中心化和标准化、平滑、滤波与Savitzky–Golay方法、一阶/二阶导数和小波变换、基线估计与背景扣除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平滑、导数、标准化、峰提取和变换”中，技术路线遵循“保持原始数据只读并把预处理放入训练流水线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建立一套可复算的拉曼光谱清洗与可视化流程”落实到预处理参数的训练—测试边界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2.5.1 归一化、中心化和标准化</w:t>
      </w:r>
    </w:p>
    <w:p>
      <w:r>
        <w:t>就“归一化、中心化和标准化”而言，围绕“归一化、中心化和标准化”，中心化和尺度变换改变变量在距离、协方差和损失函数中的权重。标准化适合量纲和方差差异显著的变量；SNV对每条光谱独立中心化并按其标准差缩放；MSC则用参照光谱估计加性和乘性散射。它们解决的问题不同，不能作为无条件的默认步骤。</w:t>
      </w:r>
    </w:p>
    <w:p>
      <w:r>
        <w:t>把“归一化、中心化和标准化”用于“平滑、导数、标准化、峰提取和变换”时，在“平滑、导数、标准化、峰提取和变换”的语境下，所有缩放参数必须只在训练数据上估计，再应用到验证和测试数据。否则测试集均值、方差或参照谱会进入训练过程，造成信息泄漏。处理效果应同时检查模型误差、峰形变化和跨批次稳定性。读图或读指标时应返回原始数据抽查，避免把表示空间中的几何关系直接当成化学机制。</w:t>
      </w:r>
    </w:p>
    <w:p>
      <w:pPr>
        <w:pStyle w:val="3"/>
      </w:pPr>
      <w:r>
        <w:t>2.5.2 平滑、滤波与Savitzky–Golay方法</w:t>
      </w:r>
    </w:p>
    <w:p>
      <w:r>
        <w:t>就“平滑、滤波与Savitzky–Golay方法”而言，围绕“平滑、滤波与Savitzky–Golay方法”，Savitzky-Golay方法在滑动窗口内拟合低阶多项式，可同时实现平滑和导数估计。窗口过短会保留噪声，过长会压低窄峰；多项式阶数过高则增加振荡。参数应根据仪器分辨率、最窄有效峰宽和下游任务共同确定。</w:t>
      </w:r>
    </w:p>
    <w:p>
      <w:r>
        <w:t>把“平滑、滤波与Savitzky–Golay方法”用于“平滑、导数、标准化、峰提取和变换”时，在“平滑、导数、标准化、峰提取和变换”的语境下，基线校正实质上是在区分慢变化背景与分析信号。多项式、非对称最小二乘和形态学方法对应不同的背景假设。校正后不仅要看曲线是否平直，还要比较峰位、峰宽、峰面积、空白残差和定量偏差。最终报告需要给出适用范围和拒绝条件，使方法在证据不足时能够停止输出。</w:t>
      </w:r>
    </w:p>
    <w:p>
      <w:pPr>
        <w:pStyle w:val="3"/>
      </w:pPr>
      <w:r>
        <w:t>2.5.3 一阶/二阶导数和小波变换</w:t>
      </w:r>
    </w:p>
    <w:p>
      <w:r>
        <w:t>就“一阶/二阶导数和小波变换”而言，围绕“一阶/二阶导数和小波变换”，Savitzky-Golay方法在滑动窗口内拟合低阶多项式，可同时实现平滑和导数估计。窗口过短会保留噪声，过长会压低窄峰；多项式阶数过高则增加振荡。参数应根据仪器分辨率、最窄有效峰宽和下游任务共同确定。</w:t>
      </w:r>
    </w:p>
    <w:p>
      <w:r>
        <w:t>把“一阶/二阶导数和小波变换”用于“平滑、导数、标准化、峰提取和变换”时，在“平滑、导数、标准化、峰提取和变换”的语境下，基线校正实质上是在区分慢变化背景与分析信号。多项式、非对称最小二乘和形态学方法对应不同的背景假设。校正后不仅要看曲线是否平直，还要比较峰位、峰宽、峰面积、空白残差和定量偏差。教学上应把该概念落实为可观察变量、可运行程序和可反驳检验三层。</w:t>
      </w:r>
    </w:p>
    <w:p>
      <w:pPr>
        <w:pStyle w:val="3"/>
      </w:pPr>
      <w:r>
        <w:t>2.5.4 基线估计与背景扣除</w:t>
      </w:r>
    </w:p>
    <w:p>
      <w:r>
        <w:t>就“基线估计与背景扣除”而言，围绕“基线估计与背景扣除”，Savitzky-Golay方法在滑动窗口内拟合低阶多项式，可同时实现平滑和导数估计。窗口过短会保留噪声，过长会压低窄峰；多项式阶数过高则增加振荡。参数应根据仪器分辨率、最窄有效峰宽和下游任务共同确定。</w:t>
      </w:r>
    </w:p>
    <w:p>
      <w:r>
        <w:t>把“基线估计与背景扣除”用于“平滑、导数、标准化、峰提取和变换”时，在“平滑、导数、标准化、峰提取和变换”的语境下，基线校正实质上是在区分慢变化背景与分析信号。多项式、非对称最小二乘和形态学方法对应不同的背景假设。校正后不仅要看曲线是否平直，还要比较峰位、峰宽、峰面积、空白残差和定量偏差。在真实项目中，还应保存参数、软件版本和输入校验结果，以便定位变化来自样品还是计算。</w:t>
      </w:r>
    </w:p>
    <w:p>
      <w:pPr>
        <w:pStyle w:val="3"/>
      </w:pPr>
      <w:r>
        <w:t>2.5.5 峰检测、峰位、峰宽和峰面积</w:t>
      </w:r>
    </w:p>
    <w:p>
      <w:r>
        <w:t>就“峰检测、峰位、峰宽和峰面积”而言，在“平滑、导数、标准化、峰提取和变换”中，峰检测、峰位、峰宽和峰面积具体限定了带有坐标轴、单位和批次结构的化学数据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峰检测、峰位、峰宽和峰面积”用于“平滑、导数、标准化、峰提取和变换”时，本书用“建立一套可复算的拉曼光谱清洗与可视化流程”检验峰检测、峰位、峰宽和峰面积。实现时遵循“保持原始数据只读并把预处理放入训练流水线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2.5.6 预处理参数的训练—测试边界</w:t>
      </w:r>
    </w:p>
    <w:p>
      <w:r>
        <w:t>就“预处理参数的训练—测试边界”而言，在“平滑、导数、标准化、峰提取和变换”中，预处理参数的训练—测试边界具体限定了带有坐标轴、单位和批次结构的化学数据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预处理参数的训练—测试边界”用于“平滑、导数、标准化、峰提取和变换”时，本书用“建立一套可复算的拉曼光谱清洗与可视化流程”检验预处理参数的训练—测试边界。实现时遵循“保持原始数据只读并把预处理放入训练流水线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2"/>
      </w:pPr>
      <w:r>
        <w:t>2.6 从分布图到高维嵌入的探索性可视化</w:t>
      </w:r>
    </w:p>
    <w:p>
      <w:r>
        <w:t>本节围绕“从分布图到高维嵌入的探索性可视化”展开。分析对象是带有坐标轴、单位和批次结构的化学数据，核心不是罗列名词，而是说明分布图、箱线图和小提琴图、谱图叠加、热图和二维谱、变量相关性与共线性、PCA得分/载荷的联合阅读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从分布图到高维嵌入的探索性可视化”中，技术路线遵循“保持原始数据只读并把预处理放入训练流水线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建立一套可复算的拉曼光谱清洗与可视化流程”落实到错误样本与残差可视化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2.6.1 分布图、箱线图和小提琴图</w:t>
      </w:r>
    </w:p>
    <w:p>
      <w:r>
        <w:t>就“分布图、箱线图和小提琴图”而言，围绕“分布图、箱线图和小提琴图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分布图、箱线图和小提琴图”用于“从分布图到高维嵌入的探索性可视化”时，在“从分布图到高维嵌入的探索性可视化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读图或读指标时应返回原始数据抽查，避免把表示空间中的几何关系直接当成化学机制。</w:t>
      </w:r>
    </w:p>
    <w:p>
      <w:pPr>
        <w:pStyle w:val="3"/>
      </w:pPr>
      <w:r>
        <w:t>2.6.2 谱图叠加、热图和二维谱</w:t>
      </w:r>
    </w:p>
    <w:p>
      <w:r>
        <w:t>就“谱图叠加、热图和二维谱”而言，围绕“谱图叠加、热图和二维谱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谱图叠加、热图和二维谱”用于“从分布图到高维嵌入的探索性可视化”时，在“从分布图到高维嵌入的探索性可视化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最终报告需要给出适用范围和拒绝条件，使方法在证据不足时能够停止输出。</w:t>
      </w:r>
    </w:p>
    <w:p>
      <w:pPr>
        <w:pStyle w:val="3"/>
      </w:pPr>
      <w:r>
        <w:t>2.6.3 变量相关性与共线性</w:t>
      </w:r>
    </w:p>
    <w:p>
      <w:r>
        <w:t>就“变量相关性与共线性”而言，在“从分布图到高维嵌入的探索性可视化”中，变量相关性与共线性具体限定了带有坐标轴、单位和批次结构的化学数据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变量相关性与共线性”用于“从分布图到高维嵌入的探索性可视化”时，本书用“建立一套可复算的拉曼光谱清洗与可视化流程”检验变量相关性与共线性。实现时遵循“保持原始数据只读并把预处理放入训练流水线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2.6.4 PCA得分/载荷的联合阅读</w:t>
      </w:r>
    </w:p>
    <w:p>
      <w:r>
        <w:t>就“PCA得分/载荷的联合阅读”而言，围绕“PCA得分/载荷的联合阅读”，奇异值分解将中心化矩阵写为X=UΣVᵀ。右奇异向量给出变量空间的正交方向，奇异值刻画每个方向承载的变化，UΣ形成样品得分。PCA可视为保留最大方差方向的低秩近似，但最大方差不一定等于与目标最相关的化学变化。</w:t>
      </w:r>
    </w:p>
    <w:p>
      <w:r>
        <w:t>把“PCA得分/载荷的联合阅读”用于“从分布图到高维嵌入的探索性可视化”时，在“从分布图到高维嵌入的探索性可视化”的语境下，解释PCA必须同时阅读得分、载荷和残差。得分显示样品在潜变量空间的位置，载荷提示变量对方向的贡献，Q残差反映模型未解释的结构。任何聚类或分离都应回到原始谱图、批次和样品信息验证。在真实项目中，还应保存参数、软件版本和输入校验结果，以便定位变化来自样品还是计算。</w:t>
      </w:r>
    </w:p>
    <w:p>
      <w:pPr>
        <w:pStyle w:val="3"/>
      </w:pPr>
      <w:r>
        <w:t>2.6.5 t-SNE与UMAP的用途和误读</w:t>
      </w:r>
    </w:p>
    <w:p>
      <w:r>
        <w:t>就“t-SNE与UMAP的用途和误读”而言，在“从分布图到高维嵌入的探索性可视化”中，t-SNE与UMAP的用途和误读具体限定了带有坐标轴、单位和批次结构的化学数据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t-SNE与UMAP的用途和误读”用于“从分布图到高维嵌入的探索性可视化”时，本书用“建立一套可复算的拉曼光谱清洗与可视化流程”检验t-SNE与UMAP的用途和误读。实现时遵循“保持原始数据只读并把预处理放入训练流水线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2.6.6 错误样本与残差可视化</w:t>
      </w:r>
    </w:p>
    <w:p>
      <w:r>
        <w:t>就“错误样本与残差可视化”而言，在“从分布图到高维嵌入的探索性可视化”中，错误样本与残差可视化具体限定了带有坐标轴、单位和批次结构的化学数据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错误样本与残差可视化”用于“从分布图到高维嵌入的探索性可视化”时，本书用“建立一套可复算的拉曼光谱清洗与可视化流程”检验错误样本与残差可视化。实现时遵循“保持原始数据只读并把预处理放入训练流水线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2"/>
      </w:pPr>
      <w:r>
        <w:t>2.7 合成数据、数据增强与物理边界</w:t>
      </w:r>
    </w:p>
    <w:p>
      <w:r>
        <w:t>本节围绕“合成数据、数据增强与物理边界”展开。分析对象是带有坐标轴、单位和批次结构的化学数据，核心不是罗列名词，而是说明合成数据用于维度与接口测试、噪声、漂移和缺失的模拟、光谱增强的峰形约束、图像增强的空间约束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合成数据、数据增强与物理边界”中，技术路线遵循“保持原始数据只读并把预处理放入训练流水线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建立一套可复算的拉曼光谱清洗与可视化流程”落实到数据增强与真实独立样品的区别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2.7.1 合成数据用于维度与接口测试</w:t>
      </w:r>
    </w:p>
    <w:p>
      <w:r>
        <w:t>就“合成数据用于维度与接口测试”而言，合成数据用于维度与接口测试决定数字能否被重新解释。仅保存强度矩阵会丢失坐标轴、单位、采样间隔、样品身份、仪器参数和校准状态；这些信息一旦脱离原始信号，后续很难判断变化来自化学对象还是采集条件。</w:t>
      </w:r>
    </w:p>
    <w:p>
      <w:r>
        <w:t>把“合成数据用于维度与接口测试”用于“合成数据、数据增强与物理边界”时，推荐把原始文件设为只读，以持久样品标识连接实验表和信号文件，并为每次转换记录脚本版本、参数和校验码。单位转换、重采样与轴反向属于会改变数值含义的操作，必须在数据进入模型前自动检查。读图或读指标时应返回原始数据抽查，避免把表示空间中的几何关系直接当成化学机制。</w:t>
      </w:r>
    </w:p>
    <w:p>
      <w:pPr>
        <w:pStyle w:val="3"/>
      </w:pPr>
      <w:r>
        <w:t>2.7.2 噪声、漂移和缺失的模拟</w:t>
      </w:r>
    </w:p>
    <w:p>
      <w:r>
        <w:t>就“噪声、漂移和缺失的模拟”而言，在“合成数据、数据增强与物理边界”中，噪声、漂移和缺失的模拟具体限定了带有坐标轴、单位和批次结构的化学数据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噪声、漂移和缺失的模拟”用于“合成数据、数据增强与物理边界”时，本书用“建立一套可复算的拉曼光谱清洗与可视化流程”检验噪声、漂移和缺失的模拟。实现时遵循“保持原始数据只读并把预处理放入训练流水线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2.7.3 光谱增强的峰形约束</w:t>
      </w:r>
    </w:p>
    <w:p>
      <w:r>
        <w:t>就“光谱增强的峰形约束”而言，在“合成数据、数据增强与物理边界”中，光谱增强的峰形约束具体限定了带有坐标轴、单位和批次结构的化学数据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光谱增强的峰形约束”用于“合成数据、数据增强与物理边界”时，本书用“建立一套可复算的拉曼光谱清洗与可视化流程”检验光谱增强的峰形约束。实现时遵循“保持原始数据只读并把预处理放入训练流水线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2.7.4 图像增强的空间约束</w:t>
      </w:r>
    </w:p>
    <w:p>
      <w:r>
        <w:t>就“图像增强的空间约束”而言，围绕“图像增强的空间约束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图像增强的空间约束”用于“合成数据、数据增强与物理边界”时，在“合成数据、数据增强与物理边界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在真实项目中，还应保存参数、软件版本和输入校验结果，以便定位变化来自样品还是计算。</w:t>
      </w:r>
    </w:p>
    <w:p>
      <w:pPr>
        <w:pStyle w:val="3"/>
      </w:pPr>
      <w:r>
        <w:t>2.7.5 数据增强与真实独立样品的区别</w:t>
      </w:r>
    </w:p>
    <w:p>
      <w:r>
        <w:t>就“数据增强与真实独立样品的区别”而言，数据增强与真实独立样品的区别决定数字能否被重新解释。仅保存强度矩阵会丢失坐标轴、单位、采样间隔、样品身份、仪器参数和校准状态；这些信息一旦脱离原始信号，后续很难判断变化来自化学对象还是采集条件。</w:t>
      </w:r>
    </w:p>
    <w:p>
      <w:r>
        <w:t>把“数据增强与真实独立样品的区别”用于“合成数据、数据增强与物理边界”时，推荐把原始文件设为只读，以持久样品标识连接实验表和信号文件，并为每次转换记录脚本版本、参数和校验码。单位转换、重采样与轴反向属于会改变数值含义的操作，必须在数据进入模型前自动检查。若该步骤改变了样品单位、统计独立性或物理峰形，必须在独立数据上重新证明其有效性。</w:t>
      </w:r>
    </w:p>
    <w:p>
      <w:pPr>
        <w:pStyle w:val="2"/>
      </w:pPr>
      <w:r>
        <w:t>关键关系与计算抓手</w:t>
      </w:r>
    </w:p>
    <w:p>
      <w:pPr>
        <w:ind w:firstLine="0"/>
      </w:pPr>
      <w:r>
        <w:rPr>
          <w:b/>
          <w:color w:val="345A8A"/>
        </w:rPr>
        <w:t>（1）z=(x−μ)/σ</w:t>
      </w:r>
    </w:p>
    <w:p>
      <w:pPr>
        <w:ind w:firstLine="0"/>
      </w:pPr>
      <w:r>
        <w:rPr>
          <w:b/>
          <w:color w:val="345A8A"/>
        </w:rPr>
        <w:t>（2）SNR=μ_signal/σ_noise</w:t>
      </w:r>
    </w:p>
    <w:p>
      <w:pPr>
        <w:pStyle w:val="2"/>
      </w:pPr>
      <w:r>
        <w:t>本章综合案例</w:t>
      </w:r>
    </w:p>
    <w:p>
      <w:r>
        <w:t>本章案例为“建立一套可复算的拉曼光谱清洗与可视化流程”。先冻结问题、样品单位、测量协议和独立测试边界，再建立可诊断的经典基线。新增模型组件必须解决已识别的误差来源，并通过相同测试集、消融和失败样本分析证明价值。</w:t>
      </w:r>
    </w:p>
    <w:p>
      <w:r>
        <w:t>案例交付物包括问题卡、数据字典、运行日志、关键图表、错误对象和可执行代码。模型给出的结构、机制或实验建议属于待验证假设，需由互补测量或后续干预确认。</w:t>
      </w:r>
    </w:p>
    <w:p>
      <w:pPr>
        <w:pStyle w:val="2"/>
      </w:pPr>
      <w:r>
        <w:t>代码实践</w:t>
      </w:r>
    </w:p>
    <w:p>
      <w:r>
        <w:t>建立带fit/transform边界的光谱预处理流水线并比较处理前后峰形。</w:t>
      </w:r>
    </w:p>
    <w:p>
      <w:pPr>
        <w:pStyle w:val="CodeBlock"/>
        <w:spacing w:after="0"/>
        <w:ind w:firstLine="0"/>
      </w:pPr>
      <w:r>
        <w:t>"""第2章代码练习：化学数据的采集、预处理、可视化与计算基础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任务：建立带fit/transform边界的光谱预处理流水线并比较处理前后峰形。</w:t>
      </w:r>
    </w:p>
    <w:p>
      <w:pPr>
        <w:pStyle w:val="CodeBlock"/>
        <w:spacing w:after="0"/>
        <w:ind w:firstLine="0"/>
      </w:pPr>
      <w:r>
        <w:t>运行方式：python chapter_exercise.py</w:t>
      </w:r>
    </w:p>
    <w:p>
      <w:pPr>
        <w:pStyle w:val="CodeBlock"/>
        <w:spacing w:after="0"/>
        <w:ind w:firstLine="0"/>
      </w:pPr>
      <w:r>
        <w:t>所有合成数据仅用于验证接口；换用真实数据时必须保留样品/批次分组。</w:t>
      </w:r>
    </w:p>
    <w:p>
      <w:pPr>
        <w:pStyle w:val="CodeBlock"/>
        <w:spacing w:after="0"/>
        <w:ind w:firstLine="0"/>
      </w:pPr>
      <w:r>
        <w:t>"""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import numpy as np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rng = np.random.default_rng(42)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x=np.linspace(400,1800,600)</w:t>
      </w:r>
    </w:p>
    <w:p>
      <w:pPr>
        <w:pStyle w:val="CodeBlock"/>
        <w:spacing w:after="0"/>
        <w:ind w:firstLine="0"/>
      </w:pPr>
      <w:r>
        <w:t>y=np.exp(-0.5*((x-1000)/30)**2)+0.0003*x+rng.normal(0,0.02,x.size)</w:t>
      </w:r>
    </w:p>
    <w:p>
      <w:pPr>
        <w:pStyle w:val="CodeBlock"/>
        <w:spacing w:after="0"/>
        <w:ind w:firstLine="0"/>
      </w:pPr>
      <w:r>
        <w:t>baseline=np.polyval(np.polyfit(x,y,2),x)</w:t>
      </w:r>
    </w:p>
    <w:p>
      <w:pPr>
        <w:pStyle w:val="CodeBlock"/>
        <w:spacing w:after="0"/>
        <w:ind w:firstLine="0"/>
      </w:pPr>
      <w:r>
        <w:t>yc=y-baseline</w:t>
      </w:r>
    </w:p>
    <w:p>
      <w:pPr>
        <w:pStyle w:val="CodeBlock"/>
        <w:spacing w:after="0"/>
        <w:ind w:firstLine="0"/>
      </w:pPr>
      <w:r>
        <w:t>yc/=np.linalg.norm(yc)+1e-12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# TODO 1: 用课程或开放数据替换合成输入，明确对象为带波数轴、批次标签和空白记录的原始拉曼光谱。</w:t>
      </w:r>
    </w:p>
    <w:p>
      <w:pPr>
        <w:pStyle w:val="CodeBlock"/>
        <w:spacing w:after="0"/>
        <w:ind w:firstLine="0"/>
      </w:pPr>
      <w:r>
        <w:t># TODO 2: 实现按采集批次冻结处理参数并外推，并与随机划分或默认流程对照。</w:t>
      </w:r>
    </w:p>
    <w:p>
      <w:pPr>
        <w:pStyle w:val="CodeBlock"/>
        <w:spacing w:after="0"/>
        <w:ind w:firstLine="0"/>
      </w:pPr>
      <w:r>
        <w:t># TODO 3: 输出逐项量化尖峰、基线、平滑和归一化对峰位峰面积的影响，据此判断能否输出能够从原始文件重建的预处理数据集。</w:t>
      </w:r>
    </w:p>
    <w:p>
      <w:pPr>
        <w:pStyle w:val="2"/>
      </w:pPr>
      <w:r>
        <w:t>【本章小结】</w:t>
      </w:r>
    </w:p>
    <w:p>
      <w:r>
        <w:t>本章以带有坐标轴、单位和批次结构的化学数据为对象，把测量原理、数据表示、模型计算和分析决策连成完整链条。掌握本章的标准，不是记住模型名称，而是能够说明数据如何生成、结论怎样验证、方法在哪些条件下失效。</w:t>
      </w:r>
    </w:p>
    <w:p>
      <w:pPr>
        <w:pStyle w:val="2"/>
      </w:pPr>
      <w:r>
        <w:t>【思考题与计算题】</w:t>
      </w:r>
    </w:p>
    <w:p>
      <w:pPr>
        <w:ind w:firstLine="0"/>
      </w:pPr>
      <w:r>
        <w:t>1. 为“建立一套可复算的拉曼光谱清洗与可视化流程”画出测量链并标出三处可能失真位置。</w:t>
      </w:r>
    </w:p>
    <w:p>
      <w:pPr>
        <w:ind w:firstLine="0"/>
      </w:pPr>
      <w:r>
        <w:t>2. 选择一个核心方法，写出输入、输出、参数、假设和两个失效条件。</w:t>
      </w:r>
    </w:p>
    <w:p>
      <w:pPr>
        <w:ind w:firstLine="0"/>
      </w:pPr>
      <w:r>
        <w:t>3. 建立经典基线，给出复杂模型必须超过的独立评价门槛。</w:t>
      </w:r>
    </w:p>
    <w:p>
      <w:pPr>
        <w:ind w:firstLine="0"/>
      </w:pPr>
      <w:r>
        <w:t>4. 设计符合未来使用条件的分组或外推划分，并与随机划分比较。</w:t>
      </w:r>
    </w:p>
    <w:p>
      <w:pPr>
        <w:ind w:firstLine="0"/>
      </w:pPr>
      <w:r>
        <w:t>5. 完成配套代码，增加一个单元测试和一个失败样本可视化。</w:t>
      </w:r>
    </w:p>
    <w:p>
      <w:pPr>
        <w:ind w:firstLine="0"/>
      </w:pPr>
      <w:r>
        <w:t>6. 设计能区分化学信息与批次捷径的对照实验。</w:t>
      </w:r>
    </w:p>
    <w:sectPr w:rsidR="00DF2813">
      <w:headerReference w:type="default" r:id="rId9"/>
      <w:footerReference w:type="default" r:id="rId10"/>
      <w:pgSz w:w="10488" w:h="14740"/>
      <w:pgMar w:top="1417" w:right="1247" w:bottom="1417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41C9A" w14:textId="77777777" w:rsidR="000B6296" w:rsidRDefault="000B6296">
      <w:pPr>
        <w:spacing w:after="0"/>
      </w:pPr>
      <w:r>
        <w:separator/>
      </w:r>
    </w:p>
  </w:endnote>
  <w:endnote w:type="continuationSeparator" w:id="0">
    <w:p w14:paraId="02E66D36" w14:textId="77777777" w:rsidR="000B6296" w:rsidRDefault="000B62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E3B54" w14:textId="77777777" w:rsidR="00DF2813" w:rsidRDefault="00DF281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AC7C5" w14:textId="486F403A" w:rsidR="00DF2813" w:rsidRDefault="000B6296">
    <w:pPr>
      <w:jc w:val="center"/>
    </w:pPr>
    <w:r/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71DDB" w14:textId="77777777" w:rsidR="000B6296" w:rsidRDefault="000B6296">
      <w:pPr>
        <w:spacing w:after="0"/>
      </w:pPr>
      <w:r>
        <w:separator/>
      </w:r>
    </w:p>
  </w:footnote>
  <w:footnote w:type="continuationSeparator" w:id="0">
    <w:p w14:paraId="10E87919" w14:textId="77777777" w:rsidR="000B6296" w:rsidRDefault="000B62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A9FA5" w14:textId="77777777" w:rsidR="00DF2813" w:rsidRDefault="00DF28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B503F" w14:textId="77777777" w:rsidR="00DF2813" w:rsidRDefault="000B6296">
    <w:pPr>
      <w:jc w:val="center"/>
    </w:pPr>
    <w:r>
      <w:t>智能分析化学 · 第2章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000A99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00A9941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00A99413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6"/>
    <w:multiLevelType w:val="multilevel"/>
    <w:tmpl w:val="00A99416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7"/>
    <w:multiLevelType w:val="multilevel"/>
    <w:tmpl w:val="00A99417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9"/>
    <w:multiLevelType w:val="multilevel"/>
    <w:tmpl w:val="00A99419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10"/>
    <w:multiLevelType w:val="multilevel"/>
    <w:tmpl w:val="0A994110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A994111"/>
    <w:multiLevelType w:val="multilevel"/>
    <w:tmpl w:val="0A994111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A994113"/>
    <w:multiLevelType w:val="multilevel"/>
    <w:tmpl w:val="0A994113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2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6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8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6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64">
    <w:abstractNumId w:val="9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0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5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9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2813"/>
    <w:rsid w:val="000B6296"/>
    <w:rsid w:val="003208BF"/>
    <w:rsid w:val="00DF2813"/>
    <w:rsid w:val="06A724A7"/>
    <w:rsid w:val="192E7DCB"/>
    <w:rsid w:val="3C4076A1"/>
    <w:rsid w:val="60143417"/>
    <w:rsid w:val="629F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6579"/>
  <w15:docId w15:val="{205839D2-68C0-46F1-AD46-0C8BD552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footnote reference" w:qFormat="1"/>
    <w:lsdException w:name="Title" w:qFormat="1"/>
    <w:lsdException w:name="Default Paragraph Font" w:semiHidden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24" w:lineRule="auto"/>
      <w:ind w:firstLine="460"/>
    </w:pPr>
    <w:rPr>
      <w:rFonts w:eastAsiaTheme="minorHAnsi" w:ascii="Arial Unicode MS" w:hAnsi="Arial Unicode MS" w:eastAsia="Arial Unicode MS" w:cs="Arial Unicode MS"/>
      <w:sz w:val="23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character" w:default="1" w:styleId="a1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a2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  <w:rPr>
      <w:rFonts w:ascii="Arial Unicode MS" w:hAnsi="Arial Unicode MS" w:eastAsia="Arial Unicode MS" w:cs="Arial Unicode MS"/>
    </w:rPr>
  </w:style>
  <w:style w:type="paragraph" w:styleId="a5">
    <w:name w:val="caption"/>
    <w:basedOn w:val="a"/>
    <w:pPr>
      <w:spacing w:after="120"/>
    </w:pPr>
    <w:rPr>
      <w:rFonts w:ascii="Arial Unicode MS" w:hAnsi="Arial Unicode MS" w:eastAsia="Arial Unicode MS" w:cs="Arial Unicode MS"/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  <w:rPr>
      <w:rFonts w:ascii="Arial Unicode MS" w:hAnsi="Arial Unicode MS" w:eastAsia="Arial Unicode MS" w:cs="Arial Unicode MS"/>
    </w:r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rFonts w:ascii="Arial Unicode MS" w:hAnsi="Arial Unicode MS" w:eastAsia="Arial Unicode MS" w:cs="Arial Unicode MS"/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45A8A"/>
      <w:sz w:val="36"/>
      <w:szCs w:val="36"/>
    </w:rPr>
  </w:style>
  <w:style w:type="paragraph" w:styleId="aa">
    <w:name w:val="footnote text"/>
    <w:basedOn w:val="a"/>
    <w:uiPriority w:val="9"/>
    <w:unhideWhenUsed/>
    <w:qFormat/>
    <w:rPr>
      <w:rFonts w:ascii="Arial Unicode MS" w:hAnsi="Arial Unicode MS" w:eastAsia="Arial Unicode MS" w:cs="Arial Unicode MS"/>
    </w:rPr>
  </w:style>
  <w:style w:type="character" w:styleId="ab">
    <w:name w:val="Hyperlink"/>
    <w:basedOn w:val="a4"/>
    <w:qFormat/>
    <w:rPr>
      <w:rFonts w:ascii="Arial Unicode MS" w:hAnsi="Arial Unicode MS" w:eastAsia="Arial Unicode MS" w:cs="Arial Unicode MS"/>
      <w:color w:val="4F81BD" w:themeColor="accent1"/>
    </w:rPr>
  </w:style>
  <w:style w:type="character" w:customStyle="1" w:styleId="a4">
    <w:name w:val="正文文本 字符"/>
    <w:basedOn w:val="a1"/>
    <w:link w:val="a0"/>
    <w:qFormat/>
    <w:rPr>
      <w:rFonts w:ascii="Arial Unicode MS" w:hAnsi="Arial Unicode MS" w:eastAsia="Arial Unicode MS" w:cs="Arial Unicode MS"/>
    </w:rPr>
  </w:style>
  <w:style w:type="character" w:styleId="ac">
    <w:name w:val="footnote reference"/>
    <w:basedOn w:val="a4"/>
    <w:qFormat/>
    <w:rPr>
      <w:rFonts w:ascii="Arial Unicode MS" w:hAnsi="Arial Unicode MS" w:eastAsia="Arial Unicode MS" w:cs="Arial Unicode MS"/>
      <w:vertAlign w:val="superscript"/>
    </w:rPr>
  </w:style>
  <w:style w:type="paragraph" w:customStyle="1" w:styleId="FirstParagraph">
    <w:name w:val="First Paragraph"/>
    <w:basedOn w:val="a0"/>
    <w:next w:val="a0"/>
    <w:qFormat/>
    <w:rPr>
      <w:rFonts w:ascii="Arial Unicode MS" w:hAnsi="Arial Unicode MS" w:eastAsia="Arial Unicode MS" w:cs="Arial Unicode MS"/>
    </w:rPr>
  </w:style>
  <w:style w:type="paragraph" w:customStyle="1" w:styleId="Compact">
    <w:name w:val="Compact"/>
    <w:basedOn w:val="a0"/>
    <w:qFormat/>
    <w:pPr>
      <w:spacing w:before="36" w:after="36"/>
    </w:pPr>
    <w:rPr>
      <w:rFonts w:ascii="Arial Unicode MS" w:hAnsi="Arial Unicode MS" w:eastAsia="Arial Unicode MS" w:cs="Arial Unicode MS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rFonts w:ascii="Arial Unicode MS" w:hAnsi="Arial Unicode MS" w:eastAsia="Arial Unicode MS" w:cs="Arial Unicode MS"/>
      <w:sz w:val="20"/>
      <w:szCs w:val="20"/>
    </w:rPr>
  </w:style>
  <w:style w:type="paragraph" w:customStyle="1" w:styleId="10">
    <w:name w:val="书目1"/>
    <w:basedOn w:val="a"/>
    <w:qFormat/>
    <w:rPr>
      <w:rFonts w:ascii="Arial Unicode MS" w:hAnsi="Arial Unicode MS" w:eastAsia="Arial Unicode MS" w:cs="Arial Unicode MS"/>
    </w:rPr>
  </w:style>
  <w:style w:type="table" w:customStyle="1" w:styleId="Table">
    <w:name w:val="Table"/>
    <w:semiHidden/>
    <w:unhideWhenUsed/>
    <w:qFormat/>
    <w:rPr>
      <w:rFonts w:ascii="Arial Unicode MS" w:hAnsi="Arial Unicode MS" w:eastAsia="Arial Unicode MS" w:cs="Arial Unicode M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rFonts w:ascii="Arial Unicode MS" w:hAnsi="Arial Unicode MS" w:eastAsia="Arial Unicode MS" w:cs="Arial Unicode MS"/>
      <w:b/>
    </w:rPr>
  </w:style>
  <w:style w:type="paragraph" w:customStyle="1" w:styleId="Definition">
    <w:name w:val="Definition"/>
    <w:basedOn w:val="a"/>
    <w:rPr>
      <w:rFonts w:ascii="Arial Unicode MS" w:hAnsi="Arial Unicode MS" w:eastAsia="Arial Unicode MS" w:cs="Arial Unicode MS"/>
    </w:rPr>
  </w:style>
  <w:style w:type="paragraph" w:customStyle="1" w:styleId="TableCaption">
    <w:name w:val="Table Caption"/>
    <w:basedOn w:val="a5"/>
    <w:qFormat/>
    <w:pPr>
      <w:keepNext/>
    </w:pPr>
    <w:rPr>
      <w:rFonts w:ascii="Arial Unicode MS" w:hAnsi="Arial Unicode MS" w:eastAsia="Arial Unicode MS" w:cs="Arial Unicode MS"/>
    </w:rPr>
  </w:style>
  <w:style w:type="paragraph" w:customStyle="1" w:styleId="ImageCaption">
    <w:name w:val="Image Caption"/>
    <w:basedOn w:val="a5"/>
    <w:qFormat/>
    <w:rPr>
      <w:rFonts w:ascii="Arial Unicode MS" w:hAnsi="Arial Unicode MS" w:eastAsia="Arial Unicode MS" w:cs="Arial Unicode MS"/>
    </w:rPr>
  </w:style>
  <w:style w:type="paragraph" w:customStyle="1" w:styleId="Figure">
    <w:name w:val="Figure"/>
    <w:basedOn w:val="a"/>
    <w:qFormat/>
    <w:rPr>
      <w:rFonts w:ascii="Arial Unicode MS" w:hAnsi="Arial Unicode MS" w:eastAsia="Arial Unicode MS" w:cs="Arial Unicode MS"/>
    </w:rPr>
  </w:style>
  <w:style w:type="paragraph" w:customStyle="1" w:styleId="CaptionedFigure">
    <w:name w:val="Captioned Figure"/>
    <w:basedOn w:val="Figure"/>
    <w:qFormat/>
    <w:pPr>
      <w:keepNext/>
    </w:pPr>
    <w:rPr>
      <w:rFonts w:ascii="Arial Unicode MS" w:hAnsi="Arial Unicode MS" w:eastAsia="Arial Unicode MS" w:cs="Arial Unicode MS"/>
    </w:rPr>
  </w:style>
  <w:style w:type="character" w:customStyle="1" w:styleId="VerbatimChar">
    <w:name w:val="Verbatim Char"/>
    <w:basedOn w:val="a4"/>
    <w:link w:val="SourceCode"/>
    <w:qFormat/>
    <w:rPr>
      <w:rFonts w:ascii="Arial Unicode MS" w:hAnsi="Arial Unicode MS" w:eastAsia="Arial Unicode MS" w:cs="Arial Unicode MS"/>
      <w:sz w:val="22"/>
    </w:rPr>
  </w:style>
  <w:style w:type="paragraph" w:customStyle="1" w:styleId="SourceCode">
    <w:name w:val="Source Code"/>
    <w:basedOn w:val="a"/>
    <w:link w:val="VerbatimChar"/>
    <w:qFormat/>
    <w:pPr>
      <w:shd w:val="clear" w:color="auto" w:fill="F8F8F8"/>
      <w:wordWrap w:val="0"/>
    </w:pPr>
    <w:rPr>
      <w:rFonts w:ascii="Arial Unicode MS" w:hAnsi="Arial Unicode MS" w:eastAsia="Arial Unicode MS" w:cs="Arial Unicode MS"/>
    </w:rPr>
  </w:style>
  <w:style w:type="character" w:customStyle="1" w:styleId="SectionNumber">
    <w:name w:val="Section Number"/>
    <w:basedOn w:val="a4"/>
    <w:qFormat/>
    <w:rPr>
      <w:rFonts w:ascii="Arial Unicode MS" w:hAnsi="Arial Unicode MS" w:eastAsia="Arial Unicode MS" w:cs="Arial Unicode MS"/>
    </w:rPr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="Arial Unicode MS" w:hAnsi="Arial Unicode MS" w:eastAsia="Arial Unicode MS" w:cs="Arial Unicode MS"/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qFormat/>
    <w:rPr>
      <w:rFonts w:ascii="Arial Unicode MS" w:hAnsi="Arial Unicode MS" w:eastAsia="Arial Unicode MS" w:cs="Arial Unicode M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CommentTok">
    <w:name w:val="Comment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qFormat/>
    <w:rPr>
      <w:rFonts w:ascii="Arial Unicode MS" w:hAnsi="Arial Unicode MS" w:eastAsia="Arial Unicode MS" w:cs="Arial Unicode M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qFormat/>
    <w:rPr>
      <w:rFonts w:ascii="Arial Unicode MS" w:hAnsi="Arial Unicode MS" w:eastAsia="Arial Unicode MS" w:cs="Arial Unicode M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ExtensionTok">
    <w:name w:val="Extensio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PreprocessorTok">
    <w:name w:val="Preprocessor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qFormat/>
    <w:rPr>
      <w:rFonts w:ascii="Arial Unicode MS" w:hAnsi="Arial Unicode MS" w:eastAsia="Arial Unicode MS" w:cs="Arial Unicode M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InformationTok">
    <w:name w:val="Inform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qFormat/>
    <w:rPr>
      <w:rFonts w:ascii="Arial Unicode MS" w:hAnsi="Arial Unicode MS" w:eastAsia="Arial Unicode MS" w:cs="Arial Unicode M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qFormat/>
    <w:rPr>
      <w:rFonts w:ascii="Arial Unicode MS" w:hAnsi="Arial Unicode MS" w:eastAsia="Arial Unicode MS" w:cs="Arial Unicode M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paragraph" w:customStyle="1" w:styleId="CodeBlock">
    <w:name w:val="Code Block"/>
    <w:pPr>
      <w:spacing w:line="240" w:lineRule="auto"/>
      <w:ind w:firstLine="0" w:left="283"/>
      <w:shd w:fill="F2F2F2"/>
    </w:pPr>
    <w:rPr>
      <w:rFonts w:ascii="Menlo" w:hAnsi="Menlo" w:eastAsia="Menlo" w:cs="Menl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497</Pages>
  <Words>78486</Words>
  <Characters>447373</Characters>
  <Application>Microsoft Office Word</Application>
  <DocSecurity>0</DocSecurity>
  <Lines>3728</Lines>
  <Paragraphs>1049</Paragraphs>
  <ScaleCrop>false</ScaleCrop>
  <Company/>
  <LinksUpToDate>false</LinksUpToDate>
  <CharactersWithSpaces>524810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2026-05-06T14:15:00Z</dcterms:created>
  <dcterms:modified xsi:type="dcterms:W3CDTF">2026-05-07T01:22:00Z</dcterms:modified>
  <dc:title>第2章 化学数据的采集、预处理、可视化与计算基础</dc:title>
  <dc:subject>《智能分析化学》出版内容初稿v2.2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eyJoZGlkIjoiMDljYzUzMWQ4OWI0YzBkYjYzMDRhZTY5ZjZkYmFmYTgiLCJ1c2VySWQiOiIzNDY3ODI5MDMifQ==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74DB65D882BD4BF7A9A58B5557D771E8_12</vt:lpwstr>
  </property>
</Properties>
</file>