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9"/>
        <w:ind w:firstLine="0"/>
        <w:jc w:val="center"/>
      </w:pPr>
      <w:r>
        <w:t>第5章 实验设计、贝叶斯推理与主动学习</w:t>
      </w:r>
    </w:p>
    <w:p>
      <w:pPr>
        <w:pStyle w:val="a8"/>
        <w:ind w:firstLine="0"/>
        <w:jc w:val="center"/>
      </w:pPr>
      <w:r>
        <w:t>第2篇 化学数据的模型、表示与生成</w:t>
      </w:r>
    </w:p>
    <w:p>
      <w:pPr>
        <w:pStyle w:val="a8"/>
        <w:ind w:firstLine="0"/>
        <w:jc w:val="center"/>
      </w:pPr>
      <w:r>
        <w:t>出版内容初稿 v2.2</w:t>
      </w:r>
    </w:p>
    <w:p>
      <w:pPr>
        <w:pStyle w:val="2"/>
      </w:pPr>
      <w:r>
        <w:t>【章首导引】</w:t>
      </w:r>
    </w:p>
    <w:p>
      <w:r>
        <w:t>当实验昂贵、样品有限时，怎样用最少测量获得最多信息？ 本章以昂贵、受约束且可序贯执行的实验条件为对象，落实“把经典实验设计、概率更新、主动学习和贝叶斯优化放在同一实验决策框架内。”。贯穿案例为“在有限次数内优化反应响应并保留确认实验”。</w:t>
      </w:r>
    </w:p>
    <w:p>
      <w:pPr>
        <w:pStyle w:val="2"/>
      </w:pPr>
      <w:r>
        <w:t>学习目标</w:t>
      </w:r>
    </w:p>
    <w:p>
      <w:pPr>
        <w:ind w:firstLine="0"/>
      </w:pPr>
      <w:r>
        <w:t>（1）能够说明昂贵、受约束且可序贯执行的实验条件在本章中的数据结构与主要信息来源。</w:t>
      </w:r>
    </w:p>
    <w:p>
      <w:pPr>
        <w:ind w:firstLine="0"/>
      </w:pPr>
      <w:r>
        <w:t>（2）能够解释本章关键方法的输入、输出、参数、假设和失效条件。</w:t>
      </w:r>
    </w:p>
    <w:p>
      <w:pPr>
        <w:ind w:firstLine="0"/>
      </w:pPr>
      <w:r>
        <w:t>（3）能够以“把实验设计、不确定度和下一次选点连接起来”设计训练、验证和独立测试。</w:t>
      </w:r>
    </w:p>
    <w:p>
      <w:pPr>
        <w:ind w:firstLine="0"/>
      </w:pPr>
      <w:r>
        <w:t>（4）能够完成“在有限次数内优化反应响应并保留确认实验”的最小代码实验并分析失败样本。</w:t>
      </w:r>
    </w:p>
    <w:p>
      <w:pPr>
        <w:ind w:firstLine="0"/>
        <w:jc w:val="center"/>
      </w:pPr>
      <w:r>
        <w:drawing>
          <wp:inline xmlns:a="http://schemas.openxmlformats.org/drawingml/2006/main" xmlns:pic="http://schemas.openxmlformats.org/drawingml/2006/picture">
            <wp:extent cx="5112000" cy="3322800"/>
            <wp:docPr id="1" name="Picture 1"/>
            <wp:cNvGraphicFramePr>
              <a:graphicFrameLocks noChangeAspect="1"/>
            </wp:cNvGraphicFramePr>
            <a:graphic>
              <a:graphicData uri="http://schemas.openxmlformats.org/drawingml/2006/picture">
                <pic:pic>
                  <pic:nvPicPr>
                    <pic:cNvPr id="0" name="第05章_知识图谱_预览.png"/>
                    <pic:cNvPicPr/>
                  </pic:nvPicPr>
                  <pic:blipFill>
                    <a:blip r:embed="rId13"/>
                    <a:stretch>
                      <a:fillRect/>
                    </a:stretch>
                  </pic:blipFill>
                  <pic:spPr>
                    <a:xfrm>
                      <a:off x="0" y="0"/>
                      <a:ext cx="5112000" cy="3322800"/>
                    </a:xfrm>
                    <a:prstGeom prst="rect"/>
                  </pic:spPr>
                </pic:pic>
              </a:graphicData>
            </a:graphic>
          </wp:inline>
        </w:drawing>
      </w:r>
    </w:p>
    <w:p>
      <w:pPr>
        <w:pStyle w:val="a5"/>
        <w:ind w:firstLine="0"/>
        <w:jc w:val="center"/>
      </w:pPr>
      <w:r>
        <w:t>图5-1  第5章知识图谱</w:t>
      </w:r>
    </w:p>
    <w:p>
      <w:pPr>
        <w:pStyle w:val="2"/>
      </w:pPr>
      <w:r>
        <w:t>5.1 因素、水平、响应与可辨识性</w:t>
      </w:r>
    </w:p>
    <w:p>
      <w:r>
        <w:t>本节围绕“因素、水平、响应与可辨识性”展开。分析对象是昂贵、受约束且可序贯执行的实验条件，核心不是罗列名词，而是说明因素、水平、响应和约束、主效应、交互作用和曲率、可辨识性与实验范围、分析目标和错误代价怎样进入同一条测量与推断链。读者首先要辨认哪些量来自真实样品，哪些量由仪器转换得到，哪些量由算法估计；三类量若混在一起，模型精度就很难被解释。</w:t>
      </w:r>
    </w:p>
    <w:p>
      <w:r>
        <w:t>在“因素、水平、响应与可辨识性”中，技术路线遵循“把实验设计、不确定度和下一次选点连接起来”。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在有限次数内优化反应响应并保留确认实验”落实到分析目标和错误代价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5.1.1 因素、水平、响应和约束</w:t>
      </w:r>
    </w:p>
    <w:p>
      <w:r>
        <w:t>就“因素、水平、响应和约束”而言，在“因素、水平、响应与可辨识性”中，因素、水平、响应和约束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因素、水平、响应和约束”用于“因素、水平、响应与可辨识性”时，本书用“在有限次数内优化反应响应并保留确认实验”检验因素、水平、响应和约束。实现时遵循“把实验设计、不确定度和下一次选点连接起来”，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5.1.2 主效应、交互作用和曲率</w:t>
      </w:r>
    </w:p>
    <w:p>
      <w:r>
        <w:t>就“主效应、交互作用和曲率”而言，围绕“主效应、交互作用和曲率”，实验设计通过有结构地选择因子组合，使主效应、交互作用和曲率可被估计。随机化抵御时间漂移，重复估计实验误差，区组隔离已知批次。筛选设计适合找出重要因素，响应面设计则用于局部优化。</w:t>
      </w:r>
    </w:p>
    <w:p>
      <w:r>
        <w:t>把“主效应、交互作用和曲率”用于“因素、水平、响应与可辨识性”时，在“因素、水平、响应与可辨识性”的语境下，二次响应面包含线性项、交互项和平方项。因子范围过窄无法识别曲率，过宽则可能跨越不同机理或安全区域。模型得到的数学最优点还需通过确认实验和稳健性试验验证。若该步骤改变了样品单位、统计独立性或物理峰形，必须在独立数据上重新证明其有效性。</w:t>
      </w:r>
    </w:p>
    <w:p>
      <w:pPr>
        <w:pStyle w:val="3"/>
      </w:pPr>
      <w:r>
        <w:t>5.1.3 可辨识性与实验范围</w:t>
      </w:r>
    </w:p>
    <w:p>
      <w:r>
        <w:t>就“可辨识性与实验范围”而言，在“因素、水平、响应与可辨识性”中，可辨识性与实验范围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可辨识性与实验范围”用于“因素、水平、响应与可辨识性”时，本书用“在有限次数内优化反应响应并保留确认实验”检验可辨识性与实验范围。实现时遵循“把实验设计、不确定度和下一次选点连接起来”，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5.1.4 分析目标和错误代价</w:t>
      </w:r>
    </w:p>
    <w:p>
      <w:r>
        <w:t>就“分析目标和错误代价”而言，在“因素、水平、响应与可辨识性”中，分析目标和错误代价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分析目标和错误代价”用于“因素、水平、响应与可辨识性”时，本书用“在有限次数内优化反应响应并保留确认实验”检验分析目标和错误代价。实现时遵循“把实验设计、不确定度和下一次选点连接起来”，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5.2 随机化、重复、区组和筛选设计</w:t>
      </w:r>
    </w:p>
    <w:p>
      <w:r>
        <w:t>本节围绕“随机化、重复、区组和筛选设计”展开。分析对象是昂贵、受约束且可序贯执行的实验条件，核心不是罗列名词，而是说明完全随机设计与区组设计、全因子与部分因子设计、正交设计和筛选设计、重复、随机化和中心点怎样进入同一条测量与推断链。读者首先要辨认哪些量来自真实样品，哪些量由仪器转换得到，哪些量由算法估计；三类量若混在一起，模型精度就很难被解释。</w:t>
      </w:r>
    </w:p>
    <w:p>
      <w:r>
        <w:t>在“随机化、重复、区组和筛选设计”中，技术路线遵循“把实验设计、不确定度和下一次选点连接起来”。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在有限次数内优化反应响应并保留确认实验”落实到重复、随机化和中心点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5.2.1 完全随机设计与区组设计</w:t>
      </w:r>
    </w:p>
    <w:p>
      <w:r>
        <w:t>就“完全随机设计与区组设计”而言，在“随机化、重复、区组和筛选设计”中，完全随机设计与区组设计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完全随机设计与区组设计”用于“随机化、重复、区组和筛选设计”时，本书用“在有限次数内优化反应响应并保留确认实验”检验完全随机设计与区组设计。实现时遵循“把实验设计、不确定度和下一次选点连接起来”，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5.2.2 全因子与部分因子设计</w:t>
      </w:r>
    </w:p>
    <w:p>
      <w:r>
        <w:t>就“全因子与部分因子设计”而言，围绕“全因子与部分因子设计”，实验设计通过有结构地选择因子组合，使主效应、交互作用和曲率可被估计。随机化抵御时间漂移，重复估计实验误差，区组隔离已知批次。筛选设计适合找出重要因素，响应面设计则用于局部优化。</w:t>
      </w:r>
    </w:p>
    <w:p>
      <w:r>
        <w:t>把“全因子与部分因子设计”用于“随机化、重复、区组和筛选设计”时，在“随机化、重复、区组和筛选设计”的语境下，二次响应面包含线性项、交互项和平方项。因子范围过窄无法识别曲率，过宽则可能跨越不同机理或安全区域。模型得到的数学最优点还需通过确认实验和稳健性试验验证。若该步骤改变了样品单位、统计独立性或物理峰形，必须在独立数据上重新证明其有效性。</w:t>
      </w:r>
    </w:p>
    <w:p>
      <w:pPr>
        <w:pStyle w:val="3"/>
      </w:pPr>
      <w:r>
        <w:t>5.2.3 正交设计和筛选设计</w:t>
      </w:r>
    </w:p>
    <w:p>
      <w:r>
        <w:t>就“正交设计和筛选设计”而言，在“随机化、重复、区组和筛选设计”中，正交设计和筛选设计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正交设计和筛选设计”用于“随机化、重复、区组和筛选设计”时，本书用“在有限次数内优化反应响应并保留确认实验”检验正交设计和筛选设计。实现时遵循“把实验设计、不确定度和下一次选点连接起来”，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5.2.4 重复、随机化和中心点</w:t>
      </w:r>
    </w:p>
    <w:p>
      <w:r>
        <w:t>就“重复、随机化和中心点”而言，在“随机化、重复、区组和筛选设计”中，重复、随机化和中心点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重复、随机化和中心点”用于“随机化、重复、区组和筛选设计”时，本书用“在有限次数内优化反应响应并保留确认实验”检验重复、随机化和中心点。实现时遵循“把实验设计、不确定度和下一次选点连接起来”，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5.3 响应面、交互作用与确认实验</w:t>
      </w:r>
    </w:p>
    <w:p>
      <w:r>
        <w:t>本节围绕“响应面、交互作用与确认实验”展开。分析对象是昂贵、受约束且可序贯执行的实验条件，核心不是罗列名词，而是说明一阶和二阶响应面、中心复合与Box–Behnken设计、交互项和平方项、最优点、确认实验和稳健性怎样进入同一条测量与推断链。读者首先要辨认哪些量来自真实样品，哪些量由仪器转换得到，哪些量由算法估计；三类量若混在一起，模型精度就很难被解释。</w:t>
      </w:r>
    </w:p>
    <w:p>
      <w:r>
        <w:t>在“响应面、交互作用与确认实验”中，技术路线遵循“把实验设计、不确定度和下一次选点连接起来”。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在有限次数内优化反应响应并保留确认实验”落实到最优点、确认实验和稳健性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5.3.1 一阶和二阶响应面</w:t>
      </w:r>
    </w:p>
    <w:p>
      <w:r>
        <w:t>就“一阶和二阶响应面”而言，围绕“一阶和二阶响应面”，实验设计通过有结构地选择因子组合，使主效应、交互作用和曲率可被估计。随机化抵御时间漂移，重复估计实验误差，区组隔离已知批次。筛选设计适合找出重要因素，响应面设计则用于局部优化。</w:t>
      </w:r>
    </w:p>
    <w:p>
      <w:r>
        <w:t>把“一阶和二阶响应面”用于“响应面、交互作用与确认实验”时，在“响应面、交互作用与确认实验”的语境下，二次响应面包含线性项、交互项和平方项。因子范围过窄无法识别曲率，过宽则可能跨越不同机理或安全区域。模型得到的数学最优点还需通过确认实验和稳健性试验验证。在真实项目中，还应保存参数、软件版本和输入校验结果，以便定位变化来自样品还是计算。</w:t>
      </w:r>
    </w:p>
    <w:p>
      <w:pPr>
        <w:pStyle w:val="3"/>
      </w:pPr>
      <w:r>
        <w:t>5.3.2 中心复合与Box–Behnken设计</w:t>
      </w:r>
    </w:p>
    <w:p>
      <w:r>
        <w:t>就“中心复合与Box–Behnken设计”而言，围绕“中心复合与Box–Behnken设计”，实验设计通过有结构地选择因子组合，使主效应、交互作用和曲率可被估计。随机化抵御时间漂移，重复估计实验误差，区组隔离已知批次。筛选设计适合找出重要因素，响应面设计则用于局部优化。</w:t>
      </w:r>
    </w:p>
    <w:p>
      <w:r>
        <w:t>把“中心复合与Box–Behnken设计”用于“响应面、交互作用与确认实验”时，在“响应面、交互作用与确认实验”的语境下，二次响应面包含线性项、交互项和平方项。因子范围过窄无法识别曲率，过宽则可能跨越不同机理或安全区域。模型得到的数学最优点还需通过确认实验和稳健性试验验证。若该步骤改变了样品单位、统计独立性或物理峰形，必须在独立数据上重新证明其有效性。</w:t>
      </w:r>
    </w:p>
    <w:p>
      <w:pPr>
        <w:pStyle w:val="3"/>
      </w:pPr>
      <w:r>
        <w:t>5.3.3 交互项和平方项</w:t>
      </w:r>
    </w:p>
    <w:p>
      <w:r>
        <w:t>就“交互项和平方项”而言，在“响应面、交互作用与确认实验”中，交互项和平方项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交互项和平方项”用于“响应面、交互作用与确认实验”时，本书用“在有限次数内优化反应响应并保留确认实验”检验交互项和平方项。实现时遵循“把实验设计、不确定度和下一次选点连接起来”，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5.3.4 最优点、确认实验和稳健性</w:t>
      </w:r>
    </w:p>
    <w:p>
      <w:r>
        <w:t>就“最优点、确认实验和稳健性”而言，在“响应面、交互作用与确认实验”中，最优点、确认实验和稳健性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最优点、确认实验和稳健性”用于“响应面、交互作用与确认实验”时，本书用“在有限次数内优化反应响应并保留确认实验”检验最优点、确认实验和稳健性。实现时遵循“把实验设计、不确定度和下一次选点连接起来”，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5.4 贝叶斯证据更新与先验敏感性</w:t>
      </w:r>
    </w:p>
    <w:p>
      <w:r>
        <w:t>本节围绕“贝叶斯证据更新与先验敏感性”展开。分析对象是昂贵、受约束且可序贯执行的实验条件，核心不是罗列名词，而是说明先验、似然、证据和后验、共轭更新和数值推断、可信区间与预测分布、先验敏感性和模型比较怎样进入同一条测量与推断链。读者首先要辨认哪些量来自真实样品，哪些量由仪器转换得到，哪些量由算法估计；三类量若混在一起，模型精度就很难被解释。</w:t>
      </w:r>
    </w:p>
    <w:p>
      <w:r>
        <w:t>在“贝叶斯证据更新与先验敏感性”中，技术路线遵循“把实验设计、不确定度和下一次选点连接起来”。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在有限次数内优化反应响应并保留确认实验”落实到先验敏感性和模型比较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5.4.1 先验、似然、证据和后验</w:t>
      </w:r>
    </w:p>
    <w:p>
      <w:r>
        <w:t>就“先验、似然、证据和后验”而言，在“贝叶斯证据更新与先验敏感性”中，先验、似然、证据和后验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先验、似然、证据和后验”用于“贝叶斯证据更新与先验敏感性”时，本书用“在有限次数内优化反应响应并保留确认实验”检验先验、似然、证据和后验。实现时遵循“把实验设计、不确定度和下一次选点连接起来”，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5.4.2 共轭更新和数值推断</w:t>
      </w:r>
    </w:p>
    <w:p>
      <w:r>
        <w:t>就“共轭更新和数值推断”而言，在“贝叶斯证据更新与先验敏感性”中，共轭更新和数值推断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共轭更新和数值推断”用于“贝叶斯证据更新与先验敏感性”时，本书用“在有限次数内优化反应响应并保留确认实验”检验共轭更新和数值推断。实现时遵循“把实验设计、不确定度和下一次选点连接起来”，先建立经典基线，再对参数敏感性、独立样品和失败对象进行检查。若结果只能在同批数据或单次划分中成立，应把它视为探索性现象而非稳定规律。若该步骤改变了样品单位、统计独立性或物理峰形，必须在独立数据上重新证明其有效性。</w:t>
      </w:r>
    </w:p>
    <w:p>
      <w:pPr>
        <w:pStyle w:val="3"/>
      </w:pPr>
      <w:r>
        <w:t>5.4.3 可信区间与预测分布</w:t>
      </w:r>
    </w:p>
    <w:p>
      <w:r>
        <w:t>就“可信区间与预测分布”而言，在“贝叶斯证据更新与先验敏感性”中，可信区间与预测分布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可信区间与预测分布”用于“贝叶斯证据更新与先验敏感性”时，本书用“在有限次数内优化反应响应并保留确认实验”检验可信区间与预测分布。实现时遵循“把实验设计、不确定度和下一次选点连接起来”，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5.4.4 先验敏感性和模型比较</w:t>
      </w:r>
    </w:p>
    <w:p>
      <w:r>
        <w:t>就“先验敏感性和模型比较”而言，在“贝叶斯证据更新与先验敏感性”中，先验敏感性和模型比较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先验敏感性和模型比较”用于“贝叶斯证据更新与先验敏感性”时，本书用“在有限次数内优化反应响应并保留确认实验”检验先验敏感性和模型比较。实现时遵循“把实验设计、不确定度和下一次选点连接起来”，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5.5 高斯过程与预测不确定性</w:t>
      </w:r>
    </w:p>
    <w:p>
      <w:r>
        <w:t>本节围绕“高斯过程与预测不确定性”展开。分析对象是昂贵、受约束且可序贯执行的实验条件，核心不是罗列名词，而是说明均值函数和核函数、后验均值与后验方差、长度尺度和噪声参数、小样本不确定性和外推怎样进入同一条测量与推断链。读者首先要辨认哪些量来自真实样品，哪些量由仪器转换得到，哪些量由算法估计；三类量若混在一起，模型精度就很难被解释。</w:t>
      </w:r>
    </w:p>
    <w:p>
      <w:r>
        <w:t>在“高斯过程与预测不确定性”中，技术路线遵循“把实验设计、不确定度和下一次选点连接起来”。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在有限次数内优化反应响应并保留确认实验”落实到小样本不确定性和外推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5.5.1 均值函数和核函数</w:t>
      </w:r>
    </w:p>
    <w:p>
      <w:r>
        <w:t>就“均值函数和核函数”而言，围绕“均值函数和核函数”，核方法用样品间相似度隐式构造高维特征空间。线性核对应内积，RBF核根据距离产生局部相似性，多项式核引入特征交互。核函数及其参数共同定义模型对“相似”的判断。</w:t>
      </w:r>
    </w:p>
    <w:p>
      <w:r>
        <w:t>把“均值函数和核函数”用于“高斯过程与预测不确定性”时，在“高斯过程与预测不确定性”的语境下，在光谱或分子任务中，距离度量常受缩放和表示影响。RBF核宽度过小会形成高度局部的决策边界，过大则接近线性模型。核参数应通过嵌套验证选择，并用外部样品检验。在真实项目中，还应保存参数、软件版本和输入校验结果，以便定位变化来自样品还是计算。</w:t>
      </w:r>
    </w:p>
    <w:p>
      <w:pPr>
        <w:pStyle w:val="3"/>
      </w:pPr>
      <w:r>
        <w:t>5.5.2 后验均值与后验方差</w:t>
      </w:r>
    </w:p>
    <w:p>
      <w:r>
        <w:t>就“后验均值与后验方差”而言，在“高斯过程与预测不确定性”中，后验均值与后验方差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后验均值与后验方差”用于“高斯过程与预测不确定性”时，本书用“在有限次数内优化反应响应并保留确认实验”检验后验均值与后验方差。实现时遵循“把实验设计、不确定度和下一次选点连接起来”，先建立经典基线，再对参数敏感性、独立样品和失败对象进行检查。若结果只能在同批数据或单次划分中成立，应把它视为探索性现象而非稳定规律。若该步骤改变了样品单位、统计独立性或物理峰形，必须在独立数据上重新证明其有效性。</w:t>
      </w:r>
    </w:p>
    <w:p>
      <w:pPr>
        <w:pStyle w:val="3"/>
      </w:pPr>
      <w:r>
        <w:t>5.5.3 长度尺度和噪声参数</w:t>
      </w:r>
    </w:p>
    <w:p>
      <w:r>
        <w:t>就“长度尺度和噪声参数”而言，在“高斯过程与预测不确定性”中，长度尺度和噪声参数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长度尺度和噪声参数”用于“高斯过程与预测不确定性”时，本书用“在有限次数内优化反应响应并保留确认实验”检验长度尺度和噪声参数。实现时遵循“把实验设计、不确定度和下一次选点连接起来”，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5.5.4 小样本不确定性和外推</w:t>
      </w:r>
    </w:p>
    <w:p>
      <w:r>
        <w:t>就“小样本不确定性和外推”而言，围绕“小样本不确定性和外推”，随机误差反映重复测量的波动，系统偏差使结果稳定地偏离参照，不确定度则量化在现有知识下结果可能处于的范围。三者属于不同概念。高重复性不代表无偏，模型测试误差很低也不代表参照标签准确。</w:t>
      </w:r>
    </w:p>
    <w:p>
      <w:r>
        <w:t>把“小样本不确定性和外推”用于“高斯过程与预测不确定性”时，在“高斯过程与预测不确定性”的语境下，不确定度应沿采样、制样、校准、仪器、预处理和模型逐步传播。对于线性关系可使用一阶误差传播，对于明显非线性或参数相关的系统可使用蒙特卡洛抽样。报告时应给出覆盖概率、区间构造方法和适用条件，而不是只给一个小数位很多的点估计。最终报告需要给出适用范围和拒绝条件，使方法在证据不足时能够停止输出。</w:t>
      </w:r>
    </w:p>
    <w:p>
      <w:pPr>
        <w:pStyle w:val="2"/>
      </w:pPr>
      <w:r>
        <w:t>5.6 主动学习：选择最值得测量的样品</w:t>
      </w:r>
    </w:p>
    <w:p>
      <w:r>
        <w:t>本节围绕“主动学习：选择最值得测量的样品”展开。分析对象是昂贵、受约束且可序贯执行的实验条件，核心不是罗列名词，而是说明查询策略与信息价值、不确定性采样、委员会分歧和期望模型变化、样品选择与标签成本怎样进入同一条测量与推断链。读者首先要辨认哪些量来自真实样品，哪些量由仪器转换得到，哪些量由算法估计；三类量若混在一起，模型精度就很难被解释。</w:t>
      </w:r>
    </w:p>
    <w:p>
      <w:r>
        <w:t>在“主动学习：选择最值得测量的样品”中，技术路线遵循“把实验设计、不确定度和下一次选点连接起来”。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在有限次数内优化反应响应并保留确认实验”落实到样品选择与标签成本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5.6.1 查询策略与信息价值</w:t>
      </w:r>
    </w:p>
    <w:p>
      <w:r>
        <w:t>就“查询策略与信息价值”而言，在“主动学习：选择最值得测量的样品”中，查询策略与信息价值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查询策略与信息价值”用于“主动学习：选择最值得测量的样品”时，本书用“在有限次数内优化反应响应并保留确认实验”检验查询策略与信息价值。实现时遵循“把实验设计、不确定度和下一次选点连接起来”，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5.6.2 不确定性采样</w:t>
      </w:r>
    </w:p>
    <w:p>
      <w:r>
        <w:t>就“不确定性采样”而言，围绕“不确定性采样”，随机误差反映重复测量的波动，系统偏差使结果稳定地偏离参照，不确定度则量化在现有知识下结果可能处于的范围。三者属于不同概念。高重复性不代表无偏，模型测试误差很低也不代表参照标签准确。</w:t>
      </w:r>
    </w:p>
    <w:p>
      <w:r>
        <w:t>把“不确定性采样”用于“主动学习：选择最值得测量的样品”时，在“主动学习：选择最值得测量的样品”的语境下，不确定度应沿采样、制样、校准、仪器、预处理和模型逐步传播。对于线性关系可使用一阶误差传播，对于明显非线性或参数相关的系统可使用蒙特卡洛抽样。报告时应给出覆盖概率、区间构造方法和适用条件，而不是只给一个小数位很多的点估计。若该步骤改变了样品单位、统计独立性或物理峰形，必须在独立数据上重新证明其有效性。</w:t>
      </w:r>
    </w:p>
    <w:p>
      <w:pPr>
        <w:pStyle w:val="3"/>
      </w:pPr>
      <w:r>
        <w:t>5.6.3 委员会分歧和期望模型变化</w:t>
      </w:r>
    </w:p>
    <w:p>
      <w:r>
        <w:t>就“委员会分歧和期望模型变化”而言，在“主动学习：选择最值得测量的样品”中，委员会分歧和期望模型变化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委员会分歧和期望模型变化”用于“主动学习：选择最值得测量的样品”时，本书用“在有限次数内优化反应响应并保留确认实验”检验委员会分歧和期望模型变化。实现时遵循“把实验设计、不确定度和下一次选点连接起来”，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5.6.4 样品选择与标签成本</w:t>
      </w:r>
    </w:p>
    <w:p>
      <w:r>
        <w:t>就“样品选择与标签成本”而言，在“主动学习：选择最值得测量的样品”中，样品选择与标签成本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样品选择与标签成本”用于“主动学习：选择最值得测量的样品”时，本书用“在有限次数内优化反应响应并保留确认实验”检验样品选择与标签成本。实现时遵循“把实验设计、不确定度和下一次选点连接起来”，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5.7 贝叶斯优化：探索、利用与实验约束</w:t>
      </w:r>
    </w:p>
    <w:p>
      <w:r>
        <w:t>本节围绕“贝叶斯优化：探索、利用与实验约束”展开。分析对象是昂贵、受约束且可序贯执行的实验条件，核心不是罗列名词，而是说明代理模型和昂贵目标函数、Expected Improvement与UCB、探索—利用平衡、安全、可行性和资源约束怎样进入同一条测量与推断链。读者首先要辨认哪些量来自真实样品，哪些量由仪器转换得到，哪些量由算法估计；三类量若混在一起，模型精度就很难被解释。</w:t>
      </w:r>
    </w:p>
    <w:p>
      <w:r>
        <w:t>在“贝叶斯优化：探索、利用与实验约束”中，技术路线遵循“把实验设计、不确定度和下一次选点连接起来”。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在有限次数内优化反应响应并保留确认实验”落实到多目标优化与停止条件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5.7.1 代理模型和昂贵目标函数</w:t>
      </w:r>
    </w:p>
    <w:p>
      <w:r>
        <w:t>就“代理模型和昂贵目标函数”而言，在“贝叶斯优化：探索、利用与实验约束”中，代理模型和昂贵目标函数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代理模型和昂贵目标函数”用于“贝叶斯优化：探索、利用与实验约束”时，本书用“在有限次数内优化反应响应并保留确认实验”检验代理模型和昂贵目标函数。实现时遵循“把实验设计、不确定度和下一次选点连接起来”，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5.7.2 Expected Improvement与UCB</w:t>
      </w:r>
    </w:p>
    <w:p>
      <w:r>
        <w:t>就“Expected Improvement与UCB”而言，围绕“Expected Improvement与UCB”，高斯过程用均值函数和核函数定义函数值之间的联合分布。给定观测后，可解析得到新点的后验均值和方差。均值用于预测，方差表达由数据覆盖和核假设共同决定的认知不确定性。</w:t>
      </w:r>
    </w:p>
    <w:p>
      <w:r>
        <w:t>把“Expected Improvement与UCB”用于“贝叶斯优化：探索、利用与实验约束”时，在“贝叶斯优化：探索、利用与实验约束”的语境下，获取函数把预测分布转为下一次实验的选择标准。UCB以μ+κσ权衡高预测值和高不确定性；期望改进计算相对当前最优值的期望收益。安全约束、可合成性和仪器范围必须先过滤候选，再进行获取函数排序。若该步骤改变了样品单位、统计独立性或物理峰形，必须在独立数据上重新证明其有效性。</w:t>
      </w:r>
    </w:p>
    <w:p>
      <w:pPr>
        <w:pStyle w:val="3"/>
      </w:pPr>
      <w:r>
        <w:t>5.7.3 探索—利用平衡</w:t>
      </w:r>
    </w:p>
    <w:p>
      <w:r>
        <w:t>就“探索—利用平衡”而言，在“贝叶斯优化：探索、利用与实验约束”中，探索—利用平衡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探索—利用平衡”用于“贝叶斯优化：探索、利用与实验约束”时，本书用“在有限次数内优化反应响应并保留确认实验”检验探索—利用平衡。实现时遵循“把实验设计、不确定度和下一次选点连接起来”，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5.7.4 安全、可行性和资源约束</w:t>
      </w:r>
    </w:p>
    <w:p>
      <w:r>
        <w:t>就“安全、可行性和资源约束”而言，在“贝叶斯优化：探索、利用与实验约束”中，安全、可行性和资源约束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安全、可行性和资源约束”用于“贝叶斯优化：探索、利用与实验约束”时，本书用“在有限次数内优化反应响应并保留确认实验”检验安全、可行性和资源约束。实现时遵循“把实验设计、不确定度和下一次选点连接起来”，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3"/>
      </w:pPr>
      <w:r>
        <w:t>5.7.5 多目标优化与停止条件</w:t>
      </w:r>
    </w:p>
    <w:p>
      <w:r>
        <w:t>就“多目标优化与停止条件”而言，在“贝叶斯优化：探索、利用与实验约束”中，多目标优化与停止条件具体限定了昂贵、受约束且可序贯执行的实验条件的一个技术接口。它必须被写成可检查的输入、变换和输出：输入保留样品与仪器条件，变换说明参数从何处估计，输出对应可观察量或候选判断；缺少任何一层，概念就无法进入实验和代码。</w:t>
      </w:r>
    </w:p>
    <w:p>
      <w:r>
        <w:t>把“多目标优化与停止条件”用于“贝叶斯优化：探索、利用与实验约束”时，本书用“在有限次数内优化反应响应并保留确认实验”检验多目标优化与停止条件。实现时遵循“把实验设计、不确定度和下一次选点连接起来”，先建立经典基线，再对参数敏感性、独立样品和失败对象进行检查。若结果只能在同批数据或单次划分中成立，应把它视为探索性现象而非稳定规律。教学上应把该概念落实为可观察变量、可运行程序和可反驳检验三层。</w:t>
      </w:r>
    </w:p>
    <w:p>
      <w:pPr>
        <w:pStyle w:val="2"/>
      </w:pPr>
      <w:r>
        <w:t>关键关系与计算抓手</w:t>
      </w:r>
    </w:p>
    <w:p>
      <w:pPr>
        <w:ind w:firstLine="0"/>
      </w:pPr>
      <w:r>
        <w:rPr>
          <w:b/>
          <w:color w:val="345A8A"/>
        </w:rPr>
        <w:t>（1）p(θ|D)∝p(D|θ)p(θ)</w:t>
      </w:r>
    </w:p>
    <w:p>
      <w:pPr>
        <w:ind w:firstLine="0"/>
      </w:pPr>
      <w:r>
        <w:rPr>
          <w:b/>
          <w:color w:val="345A8A"/>
        </w:rPr>
        <w:t>（2）UCB(x)=μ(x)+κσ(x)</w:t>
      </w:r>
    </w:p>
    <w:p>
      <w:pPr>
        <w:pStyle w:val="2"/>
      </w:pPr>
      <w:r>
        <w:t>本章综合案例</w:t>
      </w:r>
    </w:p>
    <w:p>
      <w:r>
        <w:t>本章案例为“在有限次数内优化反应响应并保留确认实验”。先冻结问题、样品单位、测量协议和独立测试边界，再建立可诊断的经典基线。新增模型组件必须解决已识别的误差来源，并通过相同测试集、消融和失败样本分析证明价值。</w:t>
      </w:r>
    </w:p>
    <w:p>
      <w:r>
        <w:t>案例交付物包括问题卡、数据字典、运行日志、关键图表、错误对象和可执行代码。模型给出的结构、机制或实验建议属于待验证假设，需由互补测量或后续干预确认。</w:t>
      </w:r>
    </w:p>
    <w:p>
      <w:pPr>
        <w:pStyle w:val="2"/>
      </w:pPr>
      <w:r>
        <w:t>代码实践</w:t>
      </w:r>
    </w:p>
    <w:p>
      <w:r>
        <w:t>实现高斯过程与EI/UCB，记录每轮候选、实验结果和后验变化。</w:t>
      </w:r>
    </w:p>
    <w:p>
      <w:pPr>
        <w:pStyle w:val="CodeBlock"/>
        <w:spacing w:after="0"/>
        <w:ind w:firstLine="0"/>
      </w:pPr>
      <w:r>
        <w:t>"""第5章代码练习：实验设计、贝叶斯推理与主动学习</w:t>
      </w:r>
    </w:p>
    <w:p>
      <w:pPr>
        <w:pStyle w:val="CodeBlock"/>
        <w:spacing w:after="0"/>
        <w:ind w:firstLine="0"/>
      </w:pPr>
      <w:r>
        <w:t xml:space="preserve"> </w:t>
      </w:r>
    </w:p>
    <w:p>
      <w:pPr>
        <w:pStyle w:val="CodeBlock"/>
        <w:spacing w:after="0"/>
        <w:ind w:firstLine="0"/>
      </w:pPr>
      <w:r>
        <w:t>任务：实现高斯过程与EI/UCB，记录每轮候选、实验结果和后验变化。</w:t>
      </w:r>
    </w:p>
    <w:p>
      <w:pPr>
        <w:pStyle w:val="CodeBlock"/>
        <w:spacing w:after="0"/>
        <w:ind w:firstLine="0"/>
      </w:pPr>
      <w:r>
        <w:t>运行方式：python chapter_exercise.py</w:t>
      </w:r>
    </w:p>
    <w:p>
      <w:pPr>
        <w:pStyle w:val="CodeBlock"/>
        <w:spacing w:after="0"/>
        <w:ind w:firstLine="0"/>
      </w:pPr>
      <w:r>
        <w:t>所有合成数据仅用于验证接口；换用真实数据时必须保留样品/批次分组。</w:t>
      </w:r>
    </w:p>
    <w:p>
      <w:pPr>
        <w:pStyle w:val="CodeBlock"/>
        <w:spacing w:after="0"/>
        <w:ind w:firstLine="0"/>
      </w:pPr>
      <w:r>
        <w:t>"""</w:t>
      </w:r>
    </w:p>
    <w:p>
      <w:pPr>
        <w:pStyle w:val="CodeBlock"/>
        <w:spacing w:after="0"/>
        <w:ind w:firstLine="0"/>
      </w:pPr>
      <w:r>
        <w:t xml:space="preserve"> </w:t>
      </w:r>
    </w:p>
    <w:p>
      <w:pPr>
        <w:pStyle w:val="CodeBlock"/>
        <w:spacing w:after="0"/>
        <w:ind w:firstLine="0"/>
      </w:pPr>
      <w:r>
        <w:t>import numpy as np</w:t>
      </w:r>
    </w:p>
    <w:p>
      <w:pPr>
        <w:pStyle w:val="CodeBlock"/>
        <w:spacing w:after="0"/>
        <w:ind w:firstLine="0"/>
      </w:pPr>
      <w:r>
        <w:t xml:space="preserve"> </w:t>
      </w:r>
    </w:p>
    <w:p>
      <w:pPr>
        <w:pStyle w:val="CodeBlock"/>
        <w:spacing w:after="0"/>
        <w:ind w:firstLine="0"/>
      </w:pPr>
      <w:r>
        <w:t>rng = np.random.default_rng(42)</w:t>
      </w:r>
    </w:p>
    <w:p>
      <w:pPr>
        <w:pStyle w:val="CodeBlock"/>
        <w:spacing w:after="0"/>
        <w:ind w:firstLine="0"/>
      </w:pPr>
      <w:r>
        <w:t xml:space="preserve"> </w:t>
      </w:r>
    </w:p>
    <w:p>
      <w:pPr>
        <w:pStyle w:val="CodeBlock"/>
        <w:spacing w:after="0"/>
        <w:ind w:firstLine="0"/>
      </w:pPr>
      <w:r>
        <w:t>mean=rng.normal(size=30)</w:t>
      </w:r>
    </w:p>
    <w:p>
      <w:pPr>
        <w:pStyle w:val="CodeBlock"/>
        <w:spacing w:after="0"/>
        <w:ind w:firstLine="0"/>
      </w:pPr>
      <w:r>
        <w:t>std=rng.uniform(0.05,0.5,size=30)</w:t>
      </w:r>
    </w:p>
    <w:p>
      <w:pPr>
        <w:pStyle w:val="CodeBlock"/>
        <w:spacing w:after="0"/>
        <w:ind w:firstLine="0"/>
      </w:pPr>
      <w:r>
        <w:t>safe_mask=rng.random(30)&gt;0.15</w:t>
      </w:r>
    </w:p>
    <w:p>
      <w:pPr>
        <w:pStyle w:val="CodeBlock"/>
        <w:spacing w:after="0"/>
        <w:ind w:firstLine="0"/>
      </w:pPr>
      <w:r>
        <w:t>kappa=1.96</w:t>
      </w:r>
    </w:p>
    <w:p>
      <w:pPr>
        <w:pStyle w:val="CodeBlock"/>
        <w:spacing w:after="0"/>
        <w:ind w:firstLine="0"/>
      </w:pPr>
      <w:r>
        <w:t>ucb=mean+kappa*std</w:t>
      </w:r>
    </w:p>
    <w:p>
      <w:pPr>
        <w:pStyle w:val="CodeBlock"/>
        <w:spacing w:after="0"/>
        <w:ind w:firstLine="0"/>
      </w:pPr>
      <w:r>
        <w:t>next_id=int(np.argmax(np.where(safe_mask,ucb,-np.inf)))</w:t>
      </w:r>
    </w:p>
    <w:p>
      <w:pPr>
        <w:pStyle w:val="CodeBlock"/>
        <w:spacing w:after="0"/>
        <w:ind w:firstLine="0"/>
      </w:pPr>
      <w:r>
        <w:t>print({'next':next_id,'mean':mean[next_id],'std':std[next_id]})</w:t>
      </w:r>
    </w:p>
    <w:p>
      <w:pPr>
        <w:pStyle w:val="CodeBlock"/>
        <w:spacing w:after="0"/>
        <w:ind w:firstLine="0"/>
      </w:pPr>
      <w:r>
        <w:t xml:space="preserve"> </w:t>
      </w:r>
    </w:p>
    <w:p>
      <w:pPr>
        <w:pStyle w:val="CodeBlock"/>
        <w:spacing w:after="0"/>
        <w:ind w:firstLine="0"/>
      </w:pPr>
      <w:r>
        <w:t># TODO 1: 用课程或开放数据替换合成输入，明确对象为受温度、配比和危险边界约束的反应空间。</w:t>
      </w:r>
    </w:p>
    <w:p>
      <w:pPr>
        <w:pStyle w:val="CodeBlock"/>
        <w:spacing w:after="0"/>
        <w:ind w:firstLine="0"/>
      </w:pPr>
      <w:r>
        <w:t># TODO 2: 实现用未参与优化的确认实验检验推荐条件，并与随机划分或默认流程对照。</w:t>
      </w:r>
    </w:p>
    <w:p>
      <w:pPr>
        <w:pStyle w:val="CodeBlock"/>
        <w:spacing w:after="0"/>
        <w:ind w:firstLine="0"/>
      </w:pPr>
      <w:r>
        <w:t># TODO 3: 输出区分模型不确定性、实验噪声和边界外推，据此判断能否在预算内选择下一轮安全且有信息量的实验。</w:t>
      </w:r>
    </w:p>
    <w:p>
      <w:pPr>
        <w:pStyle w:val="2"/>
      </w:pPr>
      <w:r>
        <w:t>【本章小结】</w:t>
      </w:r>
    </w:p>
    <w:p>
      <w:r>
        <w:t>本章以昂贵、受约束且可序贯执行的实验条件为对象，把测量原理、数据表示、模型计算和分析决策连成完整链条。掌握本章的标准，不是记住模型名称，而是能够说明数据如何生成、结论怎样验证、方法在哪些条件下失效。</w:t>
      </w:r>
    </w:p>
    <w:p>
      <w:pPr>
        <w:pStyle w:val="2"/>
      </w:pPr>
      <w:r>
        <w:t>【思考题与计算题】</w:t>
      </w:r>
    </w:p>
    <w:p>
      <w:pPr>
        <w:ind w:firstLine="0"/>
      </w:pPr>
      <w:r>
        <w:t>1. 为“在有限次数内优化反应响应并保留确认实验”画出测量链并标出三处可能失真位置。</w:t>
      </w:r>
    </w:p>
    <w:p>
      <w:pPr>
        <w:ind w:firstLine="0"/>
      </w:pPr>
      <w:r>
        <w:t>2. 选择一个核心方法，写出输入、输出、参数、假设和两个失效条件。</w:t>
      </w:r>
    </w:p>
    <w:p>
      <w:pPr>
        <w:ind w:firstLine="0"/>
      </w:pPr>
      <w:r>
        <w:t>3. 建立经典基线，给出复杂模型必须超过的独立评价门槛。</w:t>
      </w:r>
    </w:p>
    <w:p>
      <w:pPr>
        <w:ind w:firstLine="0"/>
      </w:pPr>
      <w:r>
        <w:t>4. 设计符合未来使用条件的分组或外推划分，并与随机划分比较。</w:t>
      </w:r>
    </w:p>
    <w:p>
      <w:pPr>
        <w:ind w:firstLine="0"/>
      </w:pPr>
      <w:r>
        <w:t>5. 完成配套代码，增加一个单元测试和一个失败样本可视化。</w:t>
      </w:r>
    </w:p>
    <w:p>
      <w:pPr>
        <w:ind w:firstLine="0"/>
      </w:pPr>
      <w:r>
        <w:t>6. 设计能区分化学信息与批次捷径的对照实验。</w:t>
      </w:r>
    </w:p>
    <w:sectPr w:rsidR="00DF2813">
      <w:headerReference w:type="default" r:id="rId9"/>
      <w:footerReference w:type="default" r:id="rId10"/>
      <w:pgSz w:w="10488" w:h="14740"/>
      <w:pgMar w:top="1417" w:right="1247" w:bottom="141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41C9A" w14:textId="77777777" w:rsidR="000B6296" w:rsidRDefault="000B6296">
      <w:pPr>
        <w:spacing w:after="0"/>
      </w:pPr>
      <w:r>
        <w:separator/>
      </w:r>
    </w:p>
  </w:endnote>
  <w:endnote w:type="continuationSeparator" w:id="0">
    <w:p w14:paraId="02E66D36" w14:textId="77777777" w:rsidR="000B6296" w:rsidRDefault="000B6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E3B54" w14:textId="77777777" w:rsidR="00DF2813" w:rsidRDefault="00DF281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AC7C5" w14:textId="486F403A" w:rsidR="00DF2813" w:rsidRDefault="000B6296">
    <w:pPr>
      <w:jc w:val="center"/>
    </w:pPr>
    <w: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71DDB" w14:textId="77777777" w:rsidR="000B6296" w:rsidRDefault="000B6296">
      <w:pPr>
        <w:spacing w:after="0"/>
      </w:pPr>
      <w:r>
        <w:separator/>
      </w:r>
    </w:p>
  </w:footnote>
  <w:footnote w:type="continuationSeparator" w:id="0">
    <w:p w14:paraId="10E87919" w14:textId="77777777" w:rsidR="000B6296" w:rsidRDefault="000B6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A9FA5" w14:textId="77777777" w:rsidR="00DF2813" w:rsidRDefault="00DF281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B503F" w14:textId="77777777" w:rsidR="00DF2813" w:rsidRDefault="000B6296">
    <w:pPr>
      <w:jc w:val="center"/>
    </w:pPr>
    <w:r>
      <w:t>智能分析化学 · 第5章</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0000A991"/>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00A99411"/>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2"/>
    <w:multiLevelType w:val="multilevel"/>
    <w:tmpl w:val="00A99412"/>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3" w15:restartNumberingAfterBreak="0">
    <w:nsid w:val="00A99413"/>
    <w:multiLevelType w:val="multilevel"/>
    <w:tmpl w:val="00A99413"/>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4" w15:restartNumberingAfterBreak="0">
    <w:nsid w:val="00A99416"/>
    <w:multiLevelType w:val="multilevel"/>
    <w:tmpl w:val="00A99416"/>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5" w15:restartNumberingAfterBreak="0">
    <w:nsid w:val="00A99417"/>
    <w:multiLevelType w:val="multilevel"/>
    <w:tmpl w:val="00A99417"/>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6" w15:restartNumberingAfterBreak="0">
    <w:nsid w:val="00A99419"/>
    <w:multiLevelType w:val="multilevel"/>
    <w:tmpl w:val="00A99419"/>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7" w15:restartNumberingAfterBreak="0">
    <w:nsid w:val="0A994110"/>
    <w:multiLevelType w:val="multilevel"/>
    <w:tmpl w:val="0A994110"/>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8" w15:restartNumberingAfterBreak="0">
    <w:nsid w:val="0A994111"/>
    <w:multiLevelType w:val="multilevel"/>
    <w:tmpl w:val="0A994111"/>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 w15:restartNumberingAfterBreak="0">
    <w:nsid w:val="0A994113"/>
    <w:multiLevelType w:val="multilevel"/>
    <w:tmpl w:val="0A994113"/>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4">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2">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0">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8">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64">
    <w:abstractNumId w:val="9"/>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0">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5">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9">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grammar="clean"/>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DF2813"/>
    <w:rsid w:val="000B6296"/>
    <w:rsid w:val="003208BF"/>
    <w:rsid w:val="00DF2813"/>
    <w:rsid w:val="06A724A7"/>
    <w:rsid w:val="192E7DCB"/>
    <w:rsid w:val="3C4076A1"/>
    <w:rsid w:val="60143417"/>
    <w:rsid w:val="629F2D68"/>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B6579"/>
  <w15:docId w15:val="{205839D2-68C0-46F1-AD46-0C8BD5521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footnote text" w:uiPriority="9" w:unhideWhenUsed="1" w:qFormat="1"/>
    <w:lsdException w:name="footnote reference" w:qFormat="1"/>
    <w:lsdException w:name="Title" w:qFormat="1"/>
    <w:lsdException w:name="Default Paragraph Font" w:semiHidden="1" w:unhideWhenUsed="1"/>
    <w:lsdException w:name="Body Text" w:qFormat="1"/>
    <w:lsdException w:name="Subtitle"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324" w:lineRule="auto"/>
      <w:ind w:firstLine="460"/>
    </w:pPr>
    <w:rPr>
      <w:rFonts w:eastAsiaTheme="minorHAnsi" w:ascii="Arial Unicode MS" w:hAnsi="Arial Unicode MS" w:eastAsia="Arial Unicode MS" w:cs="Arial Unicode MS"/>
      <w:sz w:val="23"/>
      <w:szCs w:val="24"/>
      <w:lang w:eastAsia="en-US"/>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ascii="Arial Unicode MS" w:hAnsi="Arial Unicode MS" w:eastAsia="Arial Unicode MS" w:cs="Arial Unicode MS"/>
      <w:b/>
      <w:bCs/>
      <w:color w:val="4F81BD"/>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ascii="Arial Unicode MS" w:hAnsi="Arial Unicode MS" w:eastAsia="Arial Unicode MS" w:cs="Arial Unicode MS"/>
      <w:b/>
      <w:bCs/>
      <w:color w:val="4F81BD"/>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ascii="Arial Unicode MS" w:hAnsi="Arial Unicode MS" w:eastAsia="Arial Unicode MS" w:cs="Arial Unicode MS"/>
      <w:b/>
      <w:bCs/>
      <w:color w:val="4F81BD"/>
      <w:sz w:val="24"/>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ascii="Arial Unicode MS" w:hAnsi="Arial Unicode MS" w:eastAsia="Arial Unicode MS" w:cs="Arial Unicode MS"/>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ascii="Arial Unicode MS" w:hAnsi="Arial Unicode MS" w:eastAsia="Arial Unicode MS" w:cs="Arial Unicode MS"/>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ascii="Arial Unicode MS" w:hAnsi="Arial Unicode MS" w:eastAsia="Arial Unicode MS" w:cs="Arial Unicode MS"/>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ascii="Arial Unicode MS" w:hAnsi="Arial Unicode MS" w:eastAsia="Arial Unicode MS" w:cs="Arial Unicode MS"/>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ascii="Arial Unicode MS" w:hAnsi="Arial Unicode MS" w:eastAsia="Arial Unicode MS" w:cs="Arial Unicode MS"/>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ascii="Arial Unicode MS" w:hAnsi="Arial Unicode MS" w:eastAsia="Arial Unicode MS" w:cs="Arial Unicode MS"/>
      <w:color w:val="4F81BD" w:themeColor="accent1"/>
    </w:rPr>
  </w:style>
  <w:style w:type="character" w:default="1" w:styleId="a1">
    <w:name w:val="Default Paragraph Font"/>
    <w:uiPriority w:val="1"/>
    <w:semiHidden/>
    <w:unhideWhenUsed/>
    <w:rPr>
      <w:rFonts w:ascii="Arial Unicode MS" w:hAnsi="Arial Unicode MS" w:eastAsia="Arial Unicode MS" w:cs="Arial Unicode MS"/>
    </w:rPr>
  </w:style>
  <w:style w:type="table" w:default="1" w:styleId="a2">
    <w:name w:val="Normal Table"/>
    <w:uiPriority w:val="99"/>
    <w:semiHidden/>
    <w:unhideWhenUsed/>
    <w:rPr>
      <w:rFonts w:ascii="Arial Unicode MS" w:hAnsi="Arial Unicode MS" w:eastAsia="Arial Unicode MS" w:cs="Arial Unicode MS"/>
    </w:rPr>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rPr>
      <w:rFonts w:ascii="Arial Unicode MS" w:hAnsi="Arial Unicode MS" w:eastAsia="Arial Unicode MS" w:cs="Arial Unicode MS"/>
    </w:rPr>
  </w:style>
  <w:style w:type="paragraph" w:styleId="a5">
    <w:name w:val="caption"/>
    <w:basedOn w:val="a"/>
    <w:pPr>
      <w:spacing w:after="120"/>
    </w:pPr>
    <w:rPr>
      <w:rFonts w:ascii="Arial Unicode MS" w:hAnsi="Arial Unicode MS" w:eastAsia="Arial Unicode MS" w:cs="Arial Unicode MS"/>
      <w:i/>
    </w:rPr>
  </w:style>
  <w:style w:type="paragraph" w:styleId="a6">
    <w:name w:val="Block Text"/>
    <w:basedOn w:val="a0"/>
    <w:next w:val="a0"/>
    <w:uiPriority w:val="9"/>
    <w:unhideWhenUsed/>
    <w:qFormat/>
    <w:pPr>
      <w:spacing w:before="100" w:after="100"/>
      <w:ind w:left="480" w:right="480"/>
    </w:pPr>
    <w:rPr>
      <w:rFonts w:ascii="Arial Unicode MS" w:hAnsi="Arial Unicode MS" w:eastAsia="Arial Unicode MS" w:cs="Arial Unicode MS"/>
    </w:rPr>
  </w:style>
  <w:style w:type="paragraph" w:styleId="a7">
    <w:name w:val="Date"/>
    <w:next w:val="a0"/>
    <w:qFormat/>
    <w:pPr>
      <w:keepNext/>
      <w:keepLines/>
      <w:spacing w:after="200"/>
      <w:jc w:val="center"/>
    </w:pPr>
    <w:rPr>
      <w:rFonts w:eastAsiaTheme="minorHAnsi" w:ascii="Arial Unicode MS" w:hAnsi="Arial Unicode MS" w:eastAsia="Arial Unicode MS" w:cs="Arial Unicode MS"/>
      <w:sz w:val="24"/>
      <w:szCs w:val="24"/>
      <w:lang w:eastAsia="en-US"/>
    </w:rPr>
  </w:style>
  <w:style w:type="paragraph" w:styleId="a8">
    <w:name w:val="Subtitle"/>
    <w:basedOn w:val="a9"/>
    <w:next w:val="a0"/>
    <w:qFormat/>
    <w:pPr>
      <w:spacing w:before="240"/>
    </w:pPr>
    <w:rPr>
      <w:rFonts w:ascii="Arial Unicode MS" w:hAnsi="Arial Unicode MS" w:eastAsia="Arial Unicode MS" w:cs="Arial Unicode MS"/>
      <w:sz w:val="30"/>
      <w:szCs w:val="30"/>
    </w:rPr>
  </w:style>
  <w:style w:type="paragraph" w:styleId="a9">
    <w:name w:val="Title"/>
    <w:basedOn w:val="a"/>
    <w:next w:val="a0"/>
    <w:qFormat/>
    <w:pPr>
      <w:keepNext/>
      <w:keepLines/>
      <w:spacing w:before="480" w:after="240"/>
      <w:jc w:val="center"/>
    </w:pPr>
    <w:rPr>
      <w:rFonts w:asciiTheme="majorHAnsi" w:eastAsiaTheme="majorEastAsia" w:hAnsiTheme="majorHAnsi" w:cstheme="majorBidi" w:ascii="Arial Unicode MS" w:hAnsi="Arial Unicode MS" w:eastAsia="Arial Unicode MS" w:cs="Arial Unicode MS"/>
      <w:b/>
      <w:bCs/>
      <w:color w:val="345A8A"/>
      <w:sz w:val="36"/>
      <w:szCs w:val="36"/>
    </w:rPr>
  </w:style>
  <w:style w:type="paragraph" w:styleId="aa">
    <w:name w:val="footnote text"/>
    <w:basedOn w:val="a"/>
    <w:uiPriority w:val="9"/>
    <w:unhideWhenUsed/>
    <w:qFormat/>
    <w:rPr>
      <w:rFonts w:ascii="Arial Unicode MS" w:hAnsi="Arial Unicode MS" w:eastAsia="Arial Unicode MS" w:cs="Arial Unicode MS"/>
    </w:rPr>
  </w:style>
  <w:style w:type="character" w:styleId="ab">
    <w:name w:val="Hyperlink"/>
    <w:basedOn w:val="a4"/>
    <w:qFormat/>
    <w:rPr>
      <w:rFonts w:ascii="Arial Unicode MS" w:hAnsi="Arial Unicode MS" w:eastAsia="Arial Unicode MS" w:cs="Arial Unicode MS"/>
      <w:color w:val="4F81BD" w:themeColor="accent1"/>
    </w:rPr>
  </w:style>
  <w:style w:type="character" w:customStyle="1" w:styleId="a4">
    <w:name w:val="正文文本 字符"/>
    <w:basedOn w:val="a1"/>
    <w:link w:val="a0"/>
    <w:qFormat/>
    <w:rPr>
      <w:rFonts w:ascii="Arial Unicode MS" w:hAnsi="Arial Unicode MS" w:eastAsia="Arial Unicode MS" w:cs="Arial Unicode MS"/>
    </w:rPr>
  </w:style>
  <w:style w:type="character" w:styleId="ac">
    <w:name w:val="footnote reference"/>
    <w:basedOn w:val="a4"/>
    <w:qFormat/>
    <w:rPr>
      <w:rFonts w:ascii="Arial Unicode MS" w:hAnsi="Arial Unicode MS" w:eastAsia="Arial Unicode MS" w:cs="Arial Unicode MS"/>
      <w:vertAlign w:val="superscript"/>
    </w:rPr>
  </w:style>
  <w:style w:type="paragraph" w:customStyle="1" w:styleId="FirstParagraph">
    <w:name w:val="First Paragraph"/>
    <w:basedOn w:val="a0"/>
    <w:next w:val="a0"/>
    <w:qFormat/>
    <w:rPr>
      <w:rFonts w:ascii="Arial Unicode MS" w:hAnsi="Arial Unicode MS" w:eastAsia="Arial Unicode MS" w:cs="Arial Unicode MS"/>
    </w:rPr>
  </w:style>
  <w:style w:type="paragraph" w:customStyle="1" w:styleId="Compact">
    <w:name w:val="Compact"/>
    <w:basedOn w:val="a0"/>
    <w:qFormat/>
    <w:pPr>
      <w:spacing w:before="36" w:after="36"/>
    </w:pPr>
    <w:rPr>
      <w:rFonts w:ascii="Arial Unicode MS" w:hAnsi="Arial Unicode MS" w:eastAsia="Arial Unicode MS" w:cs="Arial Unicode MS"/>
    </w:rPr>
  </w:style>
  <w:style w:type="paragraph" w:customStyle="1" w:styleId="Author">
    <w:name w:val="Author"/>
    <w:next w:val="a0"/>
    <w:qFormat/>
    <w:pPr>
      <w:keepNext/>
      <w:keepLines/>
      <w:spacing w:after="200"/>
      <w:jc w:val="center"/>
    </w:pPr>
    <w:rPr>
      <w:rFonts w:eastAsiaTheme="minorHAnsi" w:ascii="Arial Unicode MS" w:hAnsi="Arial Unicode MS" w:eastAsia="Arial Unicode MS" w:cs="Arial Unicode MS"/>
      <w:sz w:val="24"/>
      <w:szCs w:val="24"/>
      <w:lang w:eastAsia="en-US"/>
    </w:rPr>
  </w:style>
  <w:style w:type="paragraph" w:customStyle="1" w:styleId="Abstract">
    <w:name w:val="Abstract"/>
    <w:basedOn w:val="a"/>
    <w:next w:val="a0"/>
    <w:qFormat/>
    <w:pPr>
      <w:keepNext/>
      <w:keepLines/>
      <w:spacing w:before="300" w:after="300"/>
    </w:pPr>
    <w:rPr>
      <w:rFonts w:ascii="Arial Unicode MS" w:hAnsi="Arial Unicode MS" w:eastAsia="Arial Unicode MS" w:cs="Arial Unicode MS"/>
      <w:sz w:val="20"/>
      <w:szCs w:val="20"/>
    </w:rPr>
  </w:style>
  <w:style w:type="paragraph" w:customStyle="1" w:styleId="10">
    <w:name w:val="书目1"/>
    <w:basedOn w:val="a"/>
    <w:qFormat/>
    <w:rPr>
      <w:rFonts w:ascii="Arial Unicode MS" w:hAnsi="Arial Unicode MS" w:eastAsia="Arial Unicode MS" w:cs="Arial Unicode MS"/>
    </w:rPr>
  </w:style>
  <w:style w:type="table" w:customStyle="1" w:styleId="Table">
    <w:name w:val="Table"/>
    <w:semiHidden/>
    <w:unhideWhenUsed/>
    <w:qFormat/>
    <w:rPr>
      <w:rFonts w:ascii="Arial Unicode MS" w:hAnsi="Arial Unicode MS" w:eastAsia="Arial Unicode MS" w:cs="Arial Unicode MS"/>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rFonts w:ascii="Arial Unicode MS" w:hAnsi="Arial Unicode MS" w:eastAsia="Arial Unicode MS" w:cs="Arial Unicode MS"/>
      <w:b/>
    </w:rPr>
  </w:style>
  <w:style w:type="paragraph" w:customStyle="1" w:styleId="Definition">
    <w:name w:val="Definition"/>
    <w:basedOn w:val="a"/>
    <w:rPr>
      <w:rFonts w:ascii="Arial Unicode MS" w:hAnsi="Arial Unicode MS" w:eastAsia="Arial Unicode MS" w:cs="Arial Unicode MS"/>
    </w:rPr>
  </w:style>
  <w:style w:type="paragraph" w:customStyle="1" w:styleId="TableCaption">
    <w:name w:val="Table Caption"/>
    <w:basedOn w:val="a5"/>
    <w:qFormat/>
    <w:pPr>
      <w:keepNext/>
    </w:pPr>
    <w:rPr>
      <w:rFonts w:ascii="Arial Unicode MS" w:hAnsi="Arial Unicode MS" w:eastAsia="Arial Unicode MS" w:cs="Arial Unicode MS"/>
    </w:rPr>
  </w:style>
  <w:style w:type="paragraph" w:customStyle="1" w:styleId="ImageCaption">
    <w:name w:val="Image Caption"/>
    <w:basedOn w:val="a5"/>
    <w:qFormat/>
    <w:rPr>
      <w:rFonts w:ascii="Arial Unicode MS" w:hAnsi="Arial Unicode MS" w:eastAsia="Arial Unicode MS" w:cs="Arial Unicode MS"/>
    </w:rPr>
  </w:style>
  <w:style w:type="paragraph" w:customStyle="1" w:styleId="Figure">
    <w:name w:val="Figure"/>
    <w:basedOn w:val="a"/>
    <w:qFormat/>
    <w:rPr>
      <w:rFonts w:ascii="Arial Unicode MS" w:hAnsi="Arial Unicode MS" w:eastAsia="Arial Unicode MS" w:cs="Arial Unicode MS"/>
    </w:rPr>
  </w:style>
  <w:style w:type="paragraph" w:customStyle="1" w:styleId="CaptionedFigure">
    <w:name w:val="Captioned Figure"/>
    <w:basedOn w:val="Figure"/>
    <w:qFormat/>
    <w:pPr>
      <w:keepNext/>
    </w:pPr>
    <w:rPr>
      <w:rFonts w:ascii="Arial Unicode MS" w:hAnsi="Arial Unicode MS" w:eastAsia="Arial Unicode MS" w:cs="Arial Unicode MS"/>
    </w:rPr>
  </w:style>
  <w:style w:type="character" w:customStyle="1" w:styleId="VerbatimChar">
    <w:name w:val="Verbatim Char"/>
    <w:basedOn w:val="a4"/>
    <w:link w:val="SourceCode"/>
    <w:qFormat/>
    <w:rPr>
      <w:rFonts w:ascii="Arial Unicode MS" w:hAnsi="Arial Unicode MS" w:eastAsia="Arial Unicode MS" w:cs="Arial Unicode MS"/>
      <w:sz w:val="22"/>
    </w:rPr>
  </w:style>
  <w:style w:type="paragraph" w:customStyle="1" w:styleId="SourceCode">
    <w:name w:val="Source Code"/>
    <w:basedOn w:val="a"/>
    <w:link w:val="VerbatimChar"/>
    <w:qFormat/>
    <w:pPr>
      <w:shd w:val="clear" w:color="auto" w:fill="F8F8F8"/>
      <w:wordWrap w:val="0"/>
    </w:pPr>
    <w:rPr>
      <w:rFonts w:ascii="Arial Unicode MS" w:hAnsi="Arial Unicode MS" w:eastAsia="Arial Unicode MS" w:cs="Arial Unicode MS"/>
    </w:rPr>
  </w:style>
  <w:style w:type="character" w:customStyle="1" w:styleId="SectionNumber">
    <w:name w:val="Section Number"/>
    <w:basedOn w:val="a4"/>
    <w:qFormat/>
    <w:rPr>
      <w:rFonts w:ascii="Arial Unicode MS" w:hAnsi="Arial Unicode MS" w:eastAsia="Arial Unicode MS" w:cs="Arial Unicode MS"/>
    </w:rPr>
  </w:style>
  <w:style w:type="paragraph" w:customStyle="1" w:styleId="TOC1">
    <w:name w:val="TOC 标题1"/>
    <w:basedOn w:val="1"/>
    <w:next w:val="a0"/>
    <w:uiPriority w:val="39"/>
    <w:unhideWhenUsed/>
    <w:qFormat/>
    <w:pPr>
      <w:spacing w:before="240" w:line="259" w:lineRule="auto"/>
      <w:outlineLvl w:val="9"/>
    </w:pPr>
    <w:rPr>
      <w:rFonts w:ascii="Arial Unicode MS" w:hAnsi="Arial Unicode MS" w:eastAsia="Arial Unicode MS" w:cs="Arial Unicode MS"/>
      <w:b w:val="0"/>
      <w:bCs w:val="0"/>
      <w:color w:val="365F91" w:themeColor="accent1" w:themeShade="BF"/>
    </w:rPr>
  </w:style>
  <w:style w:type="character" w:customStyle="1" w:styleId="KeywordTok">
    <w:name w:val="KeywordTok"/>
    <w:basedOn w:val="VerbatimChar"/>
    <w:qFormat/>
    <w:rPr>
      <w:rFonts w:ascii="Arial Unicode MS" w:hAnsi="Arial Unicode MS" w:eastAsia="Arial Unicode MS" w:cs="Arial Unicode MS"/>
      <w:b/>
      <w:color w:val="204A87"/>
      <w:sz w:val="22"/>
      <w:shd w:val="clear" w:color="auto" w:fill="F8F8F8"/>
    </w:rPr>
  </w:style>
  <w:style w:type="character" w:customStyle="1" w:styleId="DataTypeTok">
    <w:name w:val="DataTypeTok"/>
    <w:basedOn w:val="VerbatimChar"/>
    <w:qFormat/>
    <w:rPr>
      <w:rFonts w:ascii="Arial Unicode MS" w:hAnsi="Arial Unicode MS" w:eastAsia="Arial Unicode MS" w:cs="Arial Unicode MS"/>
      <w:color w:val="204A87"/>
      <w:sz w:val="22"/>
      <w:shd w:val="clear" w:color="auto" w:fill="F8F8F8"/>
    </w:rPr>
  </w:style>
  <w:style w:type="character" w:customStyle="1" w:styleId="DecValTok">
    <w:name w:val="DecValTok"/>
    <w:basedOn w:val="VerbatimChar"/>
    <w:qFormat/>
    <w:rPr>
      <w:rFonts w:ascii="Arial Unicode MS" w:hAnsi="Arial Unicode MS" w:eastAsia="Arial Unicode MS" w:cs="Arial Unicode MS"/>
      <w:color w:val="0000CF"/>
      <w:sz w:val="22"/>
      <w:shd w:val="clear" w:color="auto" w:fill="F8F8F8"/>
    </w:rPr>
  </w:style>
  <w:style w:type="character" w:customStyle="1" w:styleId="BaseNTok">
    <w:name w:val="BaseNTok"/>
    <w:basedOn w:val="VerbatimChar"/>
    <w:qFormat/>
    <w:rPr>
      <w:rFonts w:ascii="Arial Unicode MS" w:hAnsi="Arial Unicode MS" w:eastAsia="Arial Unicode MS" w:cs="Arial Unicode MS"/>
      <w:color w:val="0000CF"/>
      <w:sz w:val="22"/>
      <w:shd w:val="clear" w:color="auto" w:fill="F8F8F8"/>
    </w:rPr>
  </w:style>
  <w:style w:type="character" w:customStyle="1" w:styleId="FloatTok">
    <w:name w:val="FloatTok"/>
    <w:basedOn w:val="VerbatimChar"/>
    <w:qFormat/>
    <w:rPr>
      <w:rFonts w:ascii="Arial Unicode MS" w:hAnsi="Arial Unicode MS" w:eastAsia="Arial Unicode MS" w:cs="Arial Unicode MS"/>
      <w:color w:val="0000CF"/>
      <w:sz w:val="22"/>
      <w:shd w:val="clear" w:color="auto" w:fill="F8F8F8"/>
    </w:rPr>
  </w:style>
  <w:style w:type="character" w:customStyle="1" w:styleId="ConstantTok">
    <w:name w:val="ConstantTok"/>
    <w:basedOn w:val="VerbatimChar"/>
    <w:qFormat/>
    <w:rPr>
      <w:rFonts w:ascii="Arial Unicode MS" w:hAnsi="Arial Unicode MS" w:eastAsia="Arial Unicode MS" w:cs="Arial Unicode MS"/>
      <w:color w:val="000000"/>
      <w:sz w:val="22"/>
      <w:shd w:val="clear" w:color="auto" w:fill="F8F8F8"/>
    </w:rPr>
  </w:style>
  <w:style w:type="character" w:customStyle="1" w:styleId="CharTok">
    <w:name w:val="CharTok"/>
    <w:basedOn w:val="VerbatimChar"/>
    <w:qFormat/>
    <w:rPr>
      <w:rFonts w:ascii="Arial Unicode MS" w:hAnsi="Arial Unicode MS" w:eastAsia="Arial Unicode MS" w:cs="Arial Unicode MS"/>
      <w:color w:val="4E9A06"/>
      <w:sz w:val="22"/>
      <w:shd w:val="clear" w:color="auto" w:fill="F8F8F8"/>
    </w:rPr>
  </w:style>
  <w:style w:type="character" w:customStyle="1" w:styleId="SpecialCharTok">
    <w:name w:val="SpecialCharTok"/>
    <w:basedOn w:val="VerbatimChar"/>
    <w:qFormat/>
    <w:rPr>
      <w:rFonts w:ascii="Arial Unicode MS" w:hAnsi="Arial Unicode MS" w:eastAsia="Arial Unicode MS" w:cs="Arial Unicode MS"/>
      <w:color w:val="000000"/>
      <w:sz w:val="22"/>
      <w:shd w:val="clear" w:color="auto" w:fill="F8F8F8"/>
    </w:rPr>
  </w:style>
  <w:style w:type="character" w:customStyle="1" w:styleId="StringTok">
    <w:name w:val="StringTok"/>
    <w:basedOn w:val="VerbatimChar"/>
    <w:qFormat/>
    <w:rPr>
      <w:rFonts w:ascii="Arial Unicode MS" w:hAnsi="Arial Unicode MS" w:eastAsia="Arial Unicode MS" w:cs="Arial Unicode MS"/>
      <w:color w:val="4E9A06"/>
      <w:sz w:val="22"/>
      <w:shd w:val="clear" w:color="auto" w:fill="F8F8F8"/>
    </w:rPr>
  </w:style>
  <w:style w:type="character" w:customStyle="1" w:styleId="VerbatimStringTok">
    <w:name w:val="VerbatimStringTok"/>
    <w:basedOn w:val="VerbatimChar"/>
    <w:rPr>
      <w:rFonts w:ascii="Arial Unicode MS" w:hAnsi="Arial Unicode MS" w:eastAsia="Arial Unicode MS" w:cs="Arial Unicode MS"/>
      <w:color w:val="4E9A06"/>
      <w:sz w:val="22"/>
      <w:shd w:val="clear" w:color="auto" w:fill="F8F8F8"/>
    </w:rPr>
  </w:style>
  <w:style w:type="character" w:customStyle="1" w:styleId="SpecialStringTok">
    <w:name w:val="SpecialStringTok"/>
    <w:basedOn w:val="VerbatimChar"/>
    <w:qFormat/>
    <w:rPr>
      <w:rFonts w:ascii="Arial Unicode MS" w:hAnsi="Arial Unicode MS" w:eastAsia="Arial Unicode MS" w:cs="Arial Unicode MS"/>
      <w:color w:val="4E9A06"/>
      <w:sz w:val="22"/>
      <w:shd w:val="clear" w:color="auto" w:fill="F8F8F8"/>
    </w:rPr>
  </w:style>
  <w:style w:type="character" w:customStyle="1" w:styleId="ImportTok">
    <w:name w:val="ImportTok"/>
    <w:basedOn w:val="VerbatimChar"/>
    <w:qFormat/>
    <w:rPr>
      <w:rFonts w:ascii="Arial Unicode MS" w:hAnsi="Arial Unicode MS" w:eastAsia="Arial Unicode MS" w:cs="Arial Unicode MS"/>
      <w:sz w:val="22"/>
      <w:shd w:val="clear" w:color="auto" w:fill="F8F8F8"/>
    </w:rPr>
  </w:style>
  <w:style w:type="character" w:customStyle="1" w:styleId="CommentTok">
    <w:name w:val="CommentTok"/>
    <w:basedOn w:val="VerbatimChar"/>
    <w:qFormat/>
    <w:rPr>
      <w:rFonts w:ascii="Arial Unicode MS" w:hAnsi="Arial Unicode MS" w:eastAsia="Arial Unicode MS" w:cs="Arial Unicode MS"/>
      <w:i/>
      <w:color w:val="8F5902"/>
      <w:sz w:val="22"/>
      <w:shd w:val="clear" w:color="auto" w:fill="F8F8F8"/>
    </w:rPr>
  </w:style>
  <w:style w:type="character" w:customStyle="1" w:styleId="DocumentationTok">
    <w:name w:val="DocumentationTok"/>
    <w:basedOn w:val="VerbatimChar"/>
    <w:qFormat/>
    <w:rPr>
      <w:rFonts w:ascii="Arial Unicode MS" w:hAnsi="Arial Unicode MS" w:eastAsia="Arial Unicode MS" w:cs="Arial Unicode MS"/>
      <w:b/>
      <w:i/>
      <w:color w:val="8F5902"/>
      <w:sz w:val="22"/>
      <w:shd w:val="clear" w:color="auto" w:fill="F8F8F8"/>
    </w:rPr>
  </w:style>
  <w:style w:type="character" w:customStyle="1" w:styleId="AnnotationTok">
    <w:name w:val="AnnotationTok"/>
    <w:basedOn w:val="VerbatimChar"/>
    <w:qFormat/>
    <w:rPr>
      <w:rFonts w:ascii="Arial Unicode MS" w:hAnsi="Arial Unicode MS" w:eastAsia="Arial Unicode MS" w:cs="Arial Unicode MS"/>
      <w:b/>
      <w:i/>
      <w:color w:val="8F5902"/>
      <w:sz w:val="22"/>
      <w:shd w:val="clear" w:color="auto" w:fill="F8F8F8"/>
    </w:rPr>
  </w:style>
  <w:style w:type="character" w:customStyle="1" w:styleId="CommentVarTok">
    <w:name w:val="CommentVarTok"/>
    <w:basedOn w:val="VerbatimChar"/>
    <w:qFormat/>
    <w:rPr>
      <w:rFonts w:ascii="Arial Unicode MS" w:hAnsi="Arial Unicode MS" w:eastAsia="Arial Unicode MS" w:cs="Arial Unicode MS"/>
      <w:b/>
      <w:i/>
      <w:color w:val="8F5902"/>
      <w:sz w:val="22"/>
      <w:shd w:val="clear" w:color="auto" w:fill="F8F8F8"/>
    </w:rPr>
  </w:style>
  <w:style w:type="character" w:customStyle="1" w:styleId="OtherTok">
    <w:name w:val="OtherTok"/>
    <w:basedOn w:val="VerbatimChar"/>
    <w:qFormat/>
    <w:rPr>
      <w:rFonts w:ascii="Arial Unicode MS" w:hAnsi="Arial Unicode MS" w:eastAsia="Arial Unicode MS" w:cs="Arial Unicode MS"/>
      <w:color w:val="8F5902"/>
      <w:sz w:val="22"/>
      <w:shd w:val="clear" w:color="auto" w:fill="F8F8F8"/>
    </w:rPr>
  </w:style>
  <w:style w:type="character" w:customStyle="1" w:styleId="FunctionTok">
    <w:name w:val="FunctionTok"/>
    <w:basedOn w:val="VerbatimChar"/>
    <w:qFormat/>
    <w:rPr>
      <w:rFonts w:ascii="Arial Unicode MS" w:hAnsi="Arial Unicode MS" w:eastAsia="Arial Unicode MS" w:cs="Arial Unicode MS"/>
      <w:color w:val="000000"/>
      <w:sz w:val="22"/>
      <w:shd w:val="clear" w:color="auto" w:fill="F8F8F8"/>
    </w:rPr>
  </w:style>
  <w:style w:type="character" w:customStyle="1" w:styleId="VariableTok">
    <w:name w:val="VariableTok"/>
    <w:basedOn w:val="VerbatimChar"/>
    <w:qFormat/>
    <w:rPr>
      <w:rFonts w:ascii="Arial Unicode MS" w:hAnsi="Arial Unicode MS" w:eastAsia="Arial Unicode MS" w:cs="Arial Unicode MS"/>
      <w:color w:val="000000"/>
      <w:sz w:val="22"/>
      <w:shd w:val="clear" w:color="auto" w:fill="F8F8F8"/>
    </w:rPr>
  </w:style>
  <w:style w:type="character" w:customStyle="1" w:styleId="ControlFlowTok">
    <w:name w:val="ControlFlowTok"/>
    <w:basedOn w:val="VerbatimChar"/>
    <w:qFormat/>
    <w:rPr>
      <w:rFonts w:ascii="Arial Unicode MS" w:hAnsi="Arial Unicode MS" w:eastAsia="Arial Unicode MS" w:cs="Arial Unicode MS"/>
      <w:b/>
      <w:color w:val="204A87"/>
      <w:sz w:val="22"/>
      <w:shd w:val="clear" w:color="auto" w:fill="F8F8F8"/>
    </w:rPr>
  </w:style>
  <w:style w:type="character" w:customStyle="1" w:styleId="OperatorTok">
    <w:name w:val="OperatorTok"/>
    <w:basedOn w:val="VerbatimChar"/>
    <w:qFormat/>
    <w:rPr>
      <w:rFonts w:ascii="Arial Unicode MS" w:hAnsi="Arial Unicode MS" w:eastAsia="Arial Unicode MS" w:cs="Arial Unicode MS"/>
      <w:b/>
      <w:color w:val="CE5C00"/>
      <w:sz w:val="22"/>
      <w:shd w:val="clear" w:color="auto" w:fill="F8F8F8"/>
    </w:rPr>
  </w:style>
  <w:style w:type="character" w:customStyle="1" w:styleId="BuiltInTok">
    <w:name w:val="BuiltInTok"/>
    <w:basedOn w:val="VerbatimChar"/>
    <w:qFormat/>
    <w:rPr>
      <w:rFonts w:ascii="Arial Unicode MS" w:hAnsi="Arial Unicode MS" w:eastAsia="Arial Unicode MS" w:cs="Arial Unicode MS"/>
      <w:sz w:val="22"/>
      <w:shd w:val="clear" w:color="auto" w:fill="F8F8F8"/>
    </w:rPr>
  </w:style>
  <w:style w:type="character" w:customStyle="1" w:styleId="ExtensionTok">
    <w:name w:val="ExtensionTok"/>
    <w:basedOn w:val="VerbatimChar"/>
    <w:qFormat/>
    <w:rPr>
      <w:rFonts w:ascii="Arial Unicode MS" w:hAnsi="Arial Unicode MS" w:eastAsia="Arial Unicode MS" w:cs="Arial Unicode MS"/>
      <w:sz w:val="22"/>
      <w:shd w:val="clear" w:color="auto" w:fill="F8F8F8"/>
    </w:rPr>
  </w:style>
  <w:style w:type="character" w:customStyle="1" w:styleId="PreprocessorTok">
    <w:name w:val="PreprocessorTok"/>
    <w:basedOn w:val="VerbatimChar"/>
    <w:qFormat/>
    <w:rPr>
      <w:rFonts w:ascii="Arial Unicode MS" w:hAnsi="Arial Unicode MS" w:eastAsia="Arial Unicode MS" w:cs="Arial Unicode MS"/>
      <w:i/>
      <w:color w:val="8F5902"/>
      <w:sz w:val="22"/>
      <w:shd w:val="clear" w:color="auto" w:fill="F8F8F8"/>
    </w:rPr>
  </w:style>
  <w:style w:type="character" w:customStyle="1" w:styleId="AttributeTok">
    <w:name w:val="AttributeTok"/>
    <w:basedOn w:val="VerbatimChar"/>
    <w:qFormat/>
    <w:rPr>
      <w:rFonts w:ascii="Arial Unicode MS" w:hAnsi="Arial Unicode MS" w:eastAsia="Arial Unicode MS" w:cs="Arial Unicode MS"/>
      <w:color w:val="C4A000"/>
      <w:sz w:val="22"/>
      <w:shd w:val="clear" w:color="auto" w:fill="F8F8F8"/>
    </w:rPr>
  </w:style>
  <w:style w:type="character" w:customStyle="1" w:styleId="RegionMarkerTok">
    <w:name w:val="RegionMarkerTok"/>
    <w:basedOn w:val="VerbatimChar"/>
    <w:qFormat/>
    <w:rPr>
      <w:rFonts w:ascii="Arial Unicode MS" w:hAnsi="Arial Unicode MS" w:eastAsia="Arial Unicode MS" w:cs="Arial Unicode MS"/>
      <w:sz w:val="22"/>
      <w:shd w:val="clear" w:color="auto" w:fill="F8F8F8"/>
    </w:rPr>
  </w:style>
  <w:style w:type="character" w:customStyle="1" w:styleId="InformationTok">
    <w:name w:val="InformationTok"/>
    <w:basedOn w:val="VerbatimChar"/>
    <w:qFormat/>
    <w:rPr>
      <w:rFonts w:ascii="Arial Unicode MS" w:hAnsi="Arial Unicode MS" w:eastAsia="Arial Unicode MS" w:cs="Arial Unicode MS"/>
      <w:b/>
      <w:i/>
      <w:color w:val="8F5902"/>
      <w:sz w:val="22"/>
      <w:shd w:val="clear" w:color="auto" w:fill="F8F8F8"/>
    </w:rPr>
  </w:style>
  <w:style w:type="character" w:customStyle="1" w:styleId="WarningTok">
    <w:name w:val="WarningTok"/>
    <w:basedOn w:val="VerbatimChar"/>
    <w:qFormat/>
    <w:rPr>
      <w:rFonts w:ascii="Arial Unicode MS" w:hAnsi="Arial Unicode MS" w:eastAsia="Arial Unicode MS" w:cs="Arial Unicode MS"/>
      <w:b/>
      <w:i/>
      <w:color w:val="8F5902"/>
      <w:sz w:val="22"/>
      <w:shd w:val="clear" w:color="auto" w:fill="F8F8F8"/>
    </w:rPr>
  </w:style>
  <w:style w:type="character" w:customStyle="1" w:styleId="AlertTok">
    <w:name w:val="AlertTok"/>
    <w:basedOn w:val="VerbatimChar"/>
    <w:qFormat/>
    <w:rPr>
      <w:rFonts w:ascii="Arial Unicode MS" w:hAnsi="Arial Unicode MS" w:eastAsia="Arial Unicode MS" w:cs="Arial Unicode MS"/>
      <w:color w:val="EF2929"/>
      <w:sz w:val="22"/>
      <w:shd w:val="clear" w:color="auto" w:fill="F8F8F8"/>
    </w:rPr>
  </w:style>
  <w:style w:type="character" w:customStyle="1" w:styleId="ErrorTok">
    <w:name w:val="ErrorTok"/>
    <w:basedOn w:val="VerbatimChar"/>
    <w:qFormat/>
    <w:rPr>
      <w:rFonts w:ascii="Arial Unicode MS" w:hAnsi="Arial Unicode MS" w:eastAsia="Arial Unicode MS" w:cs="Arial Unicode MS"/>
      <w:b/>
      <w:color w:val="A40000"/>
      <w:sz w:val="22"/>
      <w:shd w:val="clear" w:color="auto" w:fill="F8F8F8"/>
    </w:rPr>
  </w:style>
  <w:style w:type="character" w:customStyle="1" w:styleId="NormalTok">
    <w:name w:val="NormalTok"/>
    <w:basedOn w:val="VerbatimChar"/>
    <w:qFormat/>
    <w:rPr>
      <w:rFonts w:ascii="Arial Unicode MS" w:hAnsi="Arial Unicode MS" w:eastAsia="Arial Unicode MS" w:cs="Arial Unicode MS"/>
      <w:sz w:val="22"/>
      <w:shd w:val="clear" w:color="auto" w:fill="F8F8F8"/>
    </w:rPr>
  </w:style>
  <w:style w:type="paragraph" w:customStyle="1" w:styleId="CodeBlock">
    <w:name w:val="Code Block"/>
    <w:pPr>
      <w:spacing w:line="240" w:lineRule="auto"/>
      <w:ind w:firstLine="0" w:left="283"/>
      <w:shd w:fill="F2F2F2"/>
    </w:pPr>
    <w:rPr>
      <w:rFonts w:ascii="Menlo" w:hAnsi="Menlo" w:eastAsia="Menlo" w:cs="Menlo"/>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497</Pages>
  <Words>78486</Words>
  <Characters>447373</Characters>
  <Application>Microsoft Office Word</Application>
  <DocSecurity>0</DocSecurity>
  <Lines>3728</Lines>
  <Paragraphs>1049</Paragraphs>
  <ScaleCrop>false</ScaleCrop>
  <Company/>
  <LinksUpToDate>false</LinksUpToDate>
  <CharactersWithSpaces>524810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2026-05-06T14:15:00Z</dcterms:created>
  <dcterms:modified xsi:type="dcterms:W3CDTF">2026-05-07T01:22:00Z</dcterms:modified>
  <dc:title>第5章 实验设计、贝叶斯推理与主动学习</dc:title>
  <dc:subject>《智能分析化学》出版内容初稿v2.2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eyJoZGlkIjoiMDljYzUzMWQ4OWI0YzBkYjYzMDRhZTY5ZjZkYmFmYTgiLCJ1c2VySWQiOiIzNDY3ODI5MDMifQ==</vt:lpwstr>
  </property>
  <property fmtid="{D5CDD505-2E9C-101B-9397-08002B2CF9AE}" pid="3" name="KSOProductBuildVer">
    <vt:lpwstr>2052-12.1.0.25865</vt:lpwstr>
  </property>
  <property fmtid="{D5CDD505-2E9C-101B-9397-08002B2CF9AE}" pid="4" name="ICV">
    <vt:lpwstr>74DB65D882BD4BF7A9A58B5557D771E8_12</vt:lpwstr>
  </property>
</Properties>
</file>