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9"/>
        <w:ind w:firstLine="0"/>
        <w:jc w:val="center"/>
      </w:pPr>
      <w:r>
        <w:t>第6章 分子表征与结构—性质关系</w:t>
      </w:r>
    </w:p>
    <w:p>
      <w:pPr>
        <w:pStyle w:val="a8"/>
        <w:ind w:firstLine="0"/>
        <w:jc w:val="center"/>
      </w:pPr>
      <w:r>
        <w:t>第2篇 化学数据的模型、表示与生成</w:t>
      </w:r>
    </w:p>
    <w:p>
      <w:pPr>
        <w:pStyle w:val="a8"/>
        <w:ind w:firstLine="0"/>
        <w:jc w:val="center"/>
      </w:pPr>
      <w:r>
        <w:t>出版内容初稿 v2.2</w:t>
      </w:r>
    </w:p>
    <w:p>
      <w:pPr>
        <w:pStyle w:val="2"/>
      </w:pPr>
      <w:r>
        <w:t>【章首导引】</w:t>
      </w:r>
    </w:p>
    <w:p>
      <w:r>
        <w:t>怎样把分子结构编码成既可计算、又保留任务相关化学信息的表示？ 本章以分子结构、构象与性质终点为对象，落实“保留QSAR/QSPR和物理有机化学经典知识，并连接现代分子学习。”。贯穿案例为“比较异构体在描述符、指纹、分子图和三维表示中的差异”。</w:t>
      </w:r>
    </w:p>
    <w:p>
      <w:pPr>
        <w:pStyle w:val="2"/>
      </w:pPr>
      <w:r>
        <w:t>学习目标</w:t>
      </w:r>
    </w:p>
    <w:p>
      <w:pPr>
        <w:ind w:firstLine="0"/>
      </w:pPr>
      <w:r>
        <w:t>（1）能够说明分子结构、构象与性质终点在本章中的数据结构与主要信息来源。</w:t>
      </w:r>
    </w:p>
    <w:p>
      <w:pPr>
        <w:ind w:firstLine="0"/>
      </w:pPr>
      <w:r>
        <w:t>（2）能够解释本章关键方法的输入、输出、参数、假设和失效条件。</w:t>
      </w:r>
    </w:p>
    <w:p>
      <w:pPr>
        <w:ind w:firstLine="0"/>
      </w:pPr>
      <w:r>
        <w:t>（3）能够以“让表示保留任务所需信息并用结构外推检验”设计训练、验证和独立测试。</w:t>
      </w:r>
    </w:p>
    <w:p>
      <w:pPr>
        <w:ind w:firstLine="0"/>
      </w:pPr>
      <w:r>
        <w:t>（4）能够完成“比较异构体在描述符、指纹、分子图和三维表示中的差异”的最小代码实验并分析失败样本。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332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06章_知识图谱_预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32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5"/>
        <w:ind w:firstLine="0"/>
        <w:jc w:val="center"/>
      </w:pPr>
      <w:r>
        <w:t>图6-1  第6章知识图谱</w:t>
      </w:r>
    </w:p>
    <w:p>
      <w:pPr>
        <w:pStyle w:val="2"/>
      </w:pPr>
      <w:r>
        <w:t>6.1 从QSAR/QSPR到分子机器学习</w:t>
      </w:r>
    </w:p>
    <w:p>
      <w:r>
        <w:t>本节围绕“从QSAR/QSPR到分子机器学习”展开。分析对象是分子结构、构象与性质终点，核心不是罗列名词，而是说明QSAR/QSPR的问题定义、终点、分子集合和建模流程、经典物理有机化学到现代AI、相关性、预测性和机制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从QSAR/QSPR到分子机器学习”中，技术路线遵循“让表示保留任务所需信息并用结构外推检验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比较异构体在描述符、指纹、分子图和三维表示中的差异”落实到相关性、预测性和机制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6.1.1 QSAR/QSPR的问题定义</w:t>
      </w:r>
    </w:p>
    <w:p>
      <w:r>
        <w:t>就“QSAR/QSPR的问题定义”而言，围绕“QSAR/QSPR的问题定义”，分子指纹把局部子结构或拓扑环境编码为位向量。Tanimoto系数用交集位数除以并集位数衡量相似性。它适合库检索和邻域分析，但相似度数值依赖指纹类型、半径和位长。</w:t>
      </w:r>
    </w:p>
    <w:p>
      <w:r>
        <w:t>把“QSAR/QSPR的问题定义”用于“从QSAR/QSPR到分子机器学习”时，在“从QSAR/QSPR到分子机器学习”的语境下，QSAR/QSPR的核心不是选择最复杂回归器，而是保证分子身份标准化、表示保留目标相关信息、划分能够检验结构外推。随机划分常把相似骨架分散到两侧，骨架或时间划分更接近真实发现任务。若该步骤改变了样品单位、统计独立性或物理峰形，必须在独立数据上重新证明其有效性。</w:t>
      </w:r>
    </w:p>
    <w:p>
      <w:pPr>
        <w:pStyle w:val="3"/>
      </w:pPr>
      <w:r>
        <w:t>6.1.2 终点、分子集合和建模流程</w:t>
      </w:r>
    </w:p>
    <w:p>
      <w:r>
        <w:t>就“终点、分子集合和建模流程”而言，在“从QSAR/QSPR到分子机器学习”中，终点、分子集合和建模流程具体限定了分子结构、构象与性质终点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终点、分子集合和建模流程”用于“从QSAR/QSPR到分子机器学习”时，本书用“比较异构体在描述符、指纹、分子图和三维表示中的差异”检验终点、分子集合和建模流程。实现时遵循“让表示保留任务所需信息并用结构外推检验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6.1.3 经典物理有机化学到现代AI</w:t>
      </w:r>
    </w:p>
    <w:p>
      <w:r>
        <w:t>就“经典物理有机化学到现代AI”而言，在“从QSAR/QSPR到分子机器学习”中，经典物理有机化学到现代AI具体限定了分子结构、构象与性质终点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经典物理有机化学到现代AI”用于“从QSAR/QSPR到分子机器学习”时，本书用“比较异构体在描述符、指纹、分子图和三维表示中的差异”检验经典物理有机化学到现代AI。实现时遵循“让表示保留任务所需信息并用结构外推检验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6.1.4 相关性、预测性和机制</w:t>
      </w:r>
    </w:p>
    <w:p>
      <w:r>
        <w:t>就“相关性、预测性和机制”而言，相关性、预测性和机制属于从观测反推对象的逆问题，常存在多解性。同一峰可由多个结构片段贡献，同一空间热点也可能受厚度、照明或离子抑制影响；因此模型输出首先是候选解释，而不是自动成立的机制。</w:t>
      </w:r>
    </w:p>
    <w:p>
      <w:r>
        <w:t>把“相关性、预测性和机制”用于“从QSAR/QSPR到分子机器学习”时，可信解释需要至少一条独立证据链：改变实验条件观察可预测响应、使用互补仪器验证候选，或以标准物质复现特征。显著性图、注意力和SHAP可定位模型依赖，却不能替代干预和机理实验。教学上应把该概念落实为可观察变量、可运行程序和可反驳检验三层。</w:t>
      </w:r>
    </w:p>
    <w:p>
      <w:pPr>
        <w:pStyle w:val="2"/>
      </w:pPr>
      <w:r>
        <w:t>6.2 Hammett、Taft、Sterimol与Hansch模型</w:t>
      </w:r>
    </w:p>
    <w:p>
      <w:r>
        <w:t>本节围绕“Hammett、Taft、Sterimol与Hansch模型”展开。分析对象是分子结构、构象与性质终点，核心不是罗列名词，而是说明Hammett方程、σ与ρ、Taft极性和位阻参数、Sterimol几何参数、Hansch疏水—电子—位阻模型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Hammett、Taft、Sterimol与Hansch模型”中，技术路线遵循“让表示保留任务所需信息并用结构外推检验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比较异构体在描述符、指纹、分子图和三维表示中的差异”落实到线性自由能关系的适用边界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6.2.1 Hammett方程、σ与ρ</w:t>
      </w:r>
    </w:p>
    <w:p>
      <w:r>
        <w:t>就“Hammett方程、σ与ρ”而言，在“Hammett、Taft、Sterimol与Hansch模型”中，Hammett方程、σ与ρ具体限定了分子结构、构象与性质终点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Hammett方程、σ与ρ”用于“Hammett、Taft、Sterimol与Hansch模型”时，本书用“比较异构体在描述符、指纹、分子图和三维表示中的差异”检验Hammett方程、σ与ρ。实现时遵循“让表示保留任务所需信息并用结构外推检验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3"/>
      </w:pPr>
      <w:r>
        <w:t>6.2.2 Taft极性和位阻参数</w:t>
      </w:r>
    </w:p>
    <w:p>
      <w:r>
        <w:t>就“Taft极性和位阻参数”而言，在“Hammett、Taft、Sterimol与Hansch模型”中，Taft极性和位阻参数具体限定了分子结构、构象与性质终点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Taft极性和位阻参数”用于“Hammett、Taft、Sterimol与Hansch模型”时，本书用“比较异构体在描述符、指纹、分子图和三维表示中的差异”检验Taft极性和位阻参数。实现时遵循“让表示保留任务所需信息并用结构外推检验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6.2.3 Sterimol几何参数</w:t>
      </w:r>
    </w:p>
    <w:p>
      <w:r>
        <w:t>就“Sterimol几何参数”而言，在“Hammett、Taft、Sterimol与Hansch模型”中，Sterimol几何参数具体限定了分子结构、构象与性质终点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Sterimol几何参数”用于“Hammett、Taft、Sterimol与Hansch模型”时，本书用“比较异构体在描述符、指纹、分子图和三维表示中的差异”检验Sterimol几何参数。实现时遵循“让表示保留任务所需信息并用结构外推检验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6.2.4 Hansch疏水—电子—位阻模型</w:t>
      </w:r>
    </w:p>
    <w:p>
      <w:r>
        <w:t>就“Hansch疏水—电子—位阻模型”而言，在“Hammett、Taft、Sterimol与Hansch模型”中，Hansch疏水—电子—位阻模型具体限定了分子结构、构象与性质终点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Hansch疏水—电子—位阻模型”用于“Hammett、Taft、Sterimol与Hansch模型”时，本书用“比较异构体在描述符、指纹、分子图和三维表示中的差异”检验Hansch疏水—电子—位阻模型。实现时遵循“让表示保留任务所需信息并用结构外推检验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6.2.5 线性自由能关系的适用边界</w:t>
      </w:r>
    </w:p>
    <w:p>
      <w:r>
        <w:t>就“线性自由能关系的适用边界”而言，在“Hammett、Taft、Sterimol与Hansch模型”中，线性自由能关系的适用边界具体限定了分子结构、构象与性质终点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线性自由能关系的适用边界”用于“Hammett、Taft、Sterimol与Hansch模型”时，本书用“比较异构体在描述符、指纹、分子图和三维表示中的差异”检验线性自由能关系的适用边界。实现时遵循“让表示保留任务所需信息并用结构外推检验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2"/>
      </w:pPr>
      <w:r>
        <w:t>6.3 全局、拓扑、电子与光谱描述符</w:t>
      </w:r>
    </w:p>
    <w:p>
      <w:r>
        <w:t>本节围绕“全局、拓扑、电子与光谱描述符”展开。分析对象是分子结构、构象与性质终点，核心不是罗列名词，而是说明分子量、氢键与极性表面积、LogP、pKa和溶解度、HOMO/LUMO、原子电荷和EState、振动频率与NMR化学位移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全局、拓扑、电子与光谱描述符”中，技术路线遵循“让表示保留任务所需信息并用结构外推检验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比较异构体在描述符、指纹、分子图和三维表示中的差异”落实到RDKit描述符和量纲检查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6.3.1 分子量、氢键与极性表面积</w:t>
      </w:r>
    </w:p>
    <w:p>
      <w:r>
        <w:t>就“分子量、氢键与极性表面积”而言，在“全局、拓扑、电子与光谱描述符”中，分子量、氢键与极性表面积具体限定了分子结构、构象与性质终点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分子量、氢键与极性表面积”用于“全局、拓扑、电子与光谱描述符”时，本书用“比较异构体在描述符、指纹、分子图和三维表示中的差异”检验分子量、氢键与极性表面积。实现时遵循“让表示保留任务所需信息并用结构外推检验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3"/>
      </w:pPr>
      <w:r>
        <w:t>6.3.2 LogP、pKa和溶解度</w:t>
      </w:r>
    </w:p>
    <w:p>
      <w:r>
        <w:t>就“LogP、pKa和溶解度”而言，在“全局、拓扑、电子与光谱描述符”中，LogP、pKa和溶解度具体限定了分子结构、构象与性质终点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LogP、pKa和溶解度”用于“全局、拓扑、电子与光谱描述符”时，本书用“比较异构体在描述符、指纹、分子图和三维表示中的差异”检验LogP、pKa和溶解度。实现时遵循“让表示保留任务所需信息并用结构外推检验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6.3.3 HOMO/LUMO、原子电荷和EState</w:t>
      </w:r>
    </w:p>
    <w:p>
      <w:r>
        <w:t>就“HOMO/LUMO、原子电荷和EState”而言，在“全局、拓扑、电子与光谱描述符”中，HOMO/LUMO、原子电荷和EState具体限定了分子结构、构象与性质终点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HOMO/LUMO、原子电荷和EState”用于“全局、拓扑、电子与光谱描述符”时，本书用“比较异构体在描述符、指纹、分子图和三维表示中的差异”检验HOMO/LUMO、原子电荷和EState。实现时遵循“让表示保留任务所需信息并用结构外推检验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6.3.4 振动频率与NMR化学位移</w:t>
      </w:r>
    </w:p>
    <w:p>
      <w:r>
        <w:t>就“振动频率与NMR化学位移”而言，围绕“振动频率与NMR化学位移”，NMR化学位移反映局部电子环境，积分与核数相关，裂分和耦合常数提供连接信息。原始自由感应衰减经加窗、零填充、傅里叶变换、相位和基线校正后形成频谱，每一步都会影响峰形与定量。</w:t>
      </w:r>
    </w:p>
    <w:p>
      <w:r>
        <w:t>把“振动频率与NMR化学位移”用于“全局、拓扑、电子与光谱描述符”时，在“全局、拓扑、电子与光谱描述符”的语境下，自动归属应维护候选结构和证据矩阵。模型预测的化学位移误差必须与候选之间的真实差异比较；当多个候选均落在误差范围内，应引入二维NMR、MS或IR证据，而不是强制给出唯一答案。教学上应把该概念落实为可观察变量、可运行程序和可反驳检验三层。</w:t>
      </w:r>
    </w:p>
    <w:p>
      <w:pPr>
        <w:pStyle w:val="3"/>
      </w:pPr>
      <w:r>
        <w:t>6.3.5 RDKit描述符和量纲检查</w:t>
      </w:r>
    </w:p>
    <w:p>
      <w:r>
        <w:t>就“RDKit描述符和量纲检查”而言，在“全局、拓扑、电子与光谱描述符”中，RDKit描述符和量纲检查具体限定了分子结构、构象与性质终点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RDKit描述符和量纲检查”用于“全局、拓扑、电子与光谱描述符”时，本书用“比较异构体在描述符、指纹、分子图和三维表示中的差异”检验RDKit描述符和量纲检查。实现时遵循“让表示保留任务所需信息并用结构外推检验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2"/>
      </w:pPr>
      <w:r>
        <w:t>6.4 SMILES、分子指纹与Tanimoto相似性</w:t>
      </w:r>
    </w:p>
    <w:p>
      <w:r>
        <w:t>本节围绕“SMILES、分子指纹与Tanimoto相似性”展开。分析对象是分子结构、构象与性质终点，核心不是罗列名词，而是说明SMILES语法、规范化和立体化学、子结构、药效团和拓扑路径、Morgan/ECFP指纹、Tanimoto相似度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SMILES、分子指纹与Tanimoto相似性”中，技术路线遵循“让表示保留任务所需信息并用结构外推检验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比较异构体在描述符、指纹、分子图和三维表示中的差异”落实到指纹碰撞与异构体区分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6.4.1 SMILES语法、规范化和立体化学</w:t>
      </w:r>
    </w:p>
    <w:p>
      <w:r>
        <w:t>就“SMILES语法、规范化和立体化学”而言，在“SMILES、分子指纹与Tanimoto相似性”中，SMILES语法、规范化和立体化学具体限定了分子结构、构象与性质终点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SMILES语法、规范化和立体化学”用于“SMILES、分子指纹与Tanimoto相似性”时，本书用“比较异构体在描述符、指纹、分子图和三维表示中的差异”检验SMILES语法、规范化和立体化学。实现时遵循“让表示保留任务所需信息并用结构外推检验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3"/>
      </w:pPr>
      <w:r>
        <w:t>6.4.2 子结构、药效团和拓扑路径</w:t>
      </w:r>
    </w:p>
    <w:p>
      <w:r>
        <w:t>就“子结构、药效团和拓扑路径”而言，子结构、药效团和拓扑路径属于从观测反推对象的逆问题，常存在多解性。同一峰可由多个结构片段贡献，同一空间热点也可能受厚度、照明或离子抑制影响；因此模型输出首先是候选解释，而不是自动成立的机制。</w:t>
      </w:r>
    </w:p>
    <w:p>
      <w:r>
        <w:t>把“子结构、药效团和拓扑路径”用于“SMILES、分子指纹与Tanimoto相似性”时，可信解释需要至少一条独立证据链：改变实验条件观察可预测响应、使用互补仪器验证候选，或以标准物质复现特征。显著性图、注意力和SHAP可定位模型依赖，却不能替代干预和机理实验。读图或读指标时应返回原始数据抽查，避免把表示空间中的几何关系直接当成化学机制。</w:t>
      </w:r>
    </w:p>
    <w:p>
      <w:pPr>
        <w:pStyle w:val="3"/>
      </w:pPr>
      <w:r>
        <w:t>6.4.3 Morgan/ECFP指纹</w:t>
      </w:r>
    </w:p>
    <w:p>
      <w:r>
        <w:t>就“Morgan/ECFP指纹”而言，围绕“Morgan/ECFP指纹”，分子指纹把局部子结构或拓扑环境编码为位向量。Tanimoto系数用交集位数除以并集位数衡量相似性。它适合库检索和邻域分析，但相似度数值依赖指纹类型、半径和位长。</w:t>
      </w:r>
    </w:p>
    <w:p>
      <w:r>
        <w:t>把“Morgan/ECFP指纹”用于“SMILES、分子指纹与Tanimoto相似性”时，在“SMILES、分子指纹与Tanimoto相似性”的语境下，QSAR/QSPR的核心不是选择最复杂回归器，而是保证分子身份标准化、表示保留目标相关信息、划分能够检验结构外推。随机划分常把相似骨架分散到两侧，骨架或时间划分更接近真实发现任务。最终报告需要给出适用范围和拒绝条件，使方法在证据不足时能够停止输出。</w:t>
      </w:r>
    </w:p>
    <w:p>
      <w:pPr>
        <w:pStyle w:val="3"/>
      </w:pPr>
      <w:r>
        <w:t>6.4.4 Tanimoto相似度</w:t>
      </w:r>
    </w:p>
    <w:p>
      <w:r>
        <w:t>就“Tanimoto相似度”而言，围绕“Tanimoto相似度”，分子指纹把局部子结构或拓扑环境编码为位向量。Tanimoto系数用交集位数除以并集位数衡量相似性。它适合库检索和邻域分析，但相似度数值依赖指纹类型、半径和位长。</w:t>
      </w:r>
    </w:p>
    <w:p>
      <w:r>
        <w:t>把“Tanimoto相似度”用于“SMILES、分子指纹与Tanimoto相似性”时，在“SMILES、分子指纹与Tanimoto相似性”的语境下，QSAR/QSPR的核心不是选择最复杂回归器，而是保证分子身份标准化、表示保留目标相关信息、划分能够检验结构外推。随机划分常把相似骨架分散到两侧，骨架或时间划分更接近真实发现任务。教学上应把该概念落实为可观察变量、可运行程序和可反驳检验三层。</w:t>
      </w:r>
    </w:p>
    <w:p>
      <w:pPr>
        <w:pStyle w:val="3"/>
      </w:pPr>
      <w:r>
        <w:t>6.4.5 指纹碰撞与异构体区分</w:t>
      </w:r>
    </w:p>
    <w:p>
      <w:r>
        <w:t>就“指纹碰撞与异构体区分”而言，围绕“指纹碰撞与异构体区分”，分子指纹把局部子结构或拓扑环境编码为位向量。Tanimoto系数用交集位数除以并集位数衡量相似性。它适合库检索和邻域分析，但相似度数值依赖指纹类型、半径和位长。</w:t>
      </w:r>
    </w:p>
    <w:p>
      <w:r>
        <w:t>把“指纹碰撞与异构体区分”用于“SMILES、分子指纹与Tanimoto相似性”时，在“SMILES、分子指纹与Tanimoto相似性”的语境下，QSAR/QSPR的核心不是选择最复杂回归器，而是保证分子身份标准化、表示保留目标相关信息、划分能够检验结构外推。随机划分常把相似骨架分散到两侧，骨架或时间划分更接近真实发现任务。在真实项目中，还应保存参数、软件版本和输入校验结果，以便定位变化来自样品还是计算。</w:t>
      </w:r>
    </w:p>
    <w:p>
      <w:pPr>
        <w:pStyle w:val="2"/>
      </w:pPr>
      <w:r>
        <w:t>6.5 二维分子图、消息传递与图级预测</w:t>
      </w:r>
    </w:p>
    <w:p>
      <w:r>
        <w:t>本节围绕“二维分子图、消息传递与图级预测”展开。分析对象是分子结构、构象与性质终点，核心不是罗列名词，而是说明原子节点、化学键边和邻接矩阵、节点/边特征、消息传递与感受野、池化和分子级预测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二维分子图、消息传递与图级预测”中，技术路线遵循“让表示保留任务所需信息并用结构外推检验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比较异构体在描述符、指纹、分子图和三维表示中的差异”落实到过平滑和长程关系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6.5.1 原子节点、化学键边和邻接矩阵</w:t>
      </w:r>
    </w:p>
    <w:p>
      <w:r>
        <w:t>就“原子节点、化学键边和邻接矩阵”而言，围绕“原子节点、化学键边和邻接矩阵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原子节点、化学键边和邻接矩阵”用于“二维分子图、消息传递与图级预测”时，在“二维分子图、消息传递与图级预测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若该步骤改变了样品单位、统计独立性或物理峰形，必须在独立数据上重新证明其有效性。</w:t>
      </w:r>
    </w:p>
    <w:p>
      <w:pPr>
        <w:pStyle w:val="3"/>
      </w:pPr>
      <w:r>
        <w:t>6.5.2 节点/边特征</w:t>
      </w:r>
    </w:p>
    <w:p>
      <w:r>
        <w:t>就“节点/边特征”而言，在“二维分子图、消息传递与图级预测”中，节点/边特征具体限定了分子结构、构象与性质终点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节点/边特征”用于“二维分子图、消息传递与图级预测”时，本书用“比较异构体在描述符、指纹、分子图和三维表示中的差异”检验节点/边特征。实现时遵循“让表示保留任务所需信息并用结构外推检验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6.5.3 消息传递与感受野</w:t>
      </w:r>
    </w:p>
    <w:p>
      <w:r>
        <w:t>就“消息传递与感受野”而言，围绕“消息传递与感受野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消息传递与感受野”用于“二维分子图、消息传递与图级预测”时，在“二维分子图、消息传递与图级预测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最终报告需要给出适用范围和拒绝条件，使方法在证据不足时能够停止输出。</w:t>
      </w:r>
    </w:p>
    <w:p>
      <w:pPr>
        <w:pStyle w:val="3"/>
      </w:pPr>
      <w:r>
        <w:t>6.5.4 池化和分子级预测</w:t>
      </w:r>
    </w:p>
    <w:p>
      <w:r>
        <w:t>就“池化和分子级预测”而言，在“二维分子图、消息传递与图级预测”中，池化和分子级预测具体限定了分子结构、构象与性质终点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池化和分子级预测”用于“二维分子图、消息传递与图级预测”时，本书用“比较异构体在描述符、指纹、分子图和三维表示中的差异”检验池化和分子级预测。实现时遵循“让表示保留任务所需信息并用结构外推检验”，先建立经典基线，再对参数敏感性、独立样品和失败对象进行检查。若结果只能在同批数据或单次划分中成立，应把它视为探索性现象而非稳定规律。教学上应把该概念落实为可观察变量、可运行程序和可反驳检验三层。</w:t>
      </w:r>
    </w:p>
    <w:p>
      <w:pPr>
        <w:pStyle w:val="3"/>
      </w:pPr>
      <w:r>
        <w:t>6.5.5 过平滑和长程关系</w:t>
      </w:r>
    </w:p>
    <w:p>
      <w:r>
        <w:t>就“过平滑和长程关系”而言，在“二维分子图、消息传递与图级预测”中，过平滑和长程关系具体限定了分子结构、构象与性质终点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过平滑和长程关系”用于“二维分子图、消息传递与图级预测”时，本书用“比较异构体在描述符、指纹、分子图和三维表示中的差异”检验过平滑和长程关系。实现时遵循“让表示保留任务所需信息并用结构外推检验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2"/>
      </w:pPr>
      <w:r>
        <w:t>6.6 三维构象、对称性、不变性与等变性</w:t>
      </w:r>
    </w:p>
    <w:p>
      <w:r>
        <w:t>本节围绕“三维构象、对称性、不变性与等变性”展开。分析对象是分子结构、构象与性质终点，核心不是罗列名词，而是说明三维构象集合、距离、角度和扭转角、旋转/平移不变性、SE(3)等变模型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三维构象、对称性、不变性与等变性”中，技术路线遵循“让表示保留任务所需信息并用结构外推检验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比较异构体在描述符、指纹、分子图和三维表示中的差异”落实到构象、质子化态和温度不确定性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6.6.1 三维构象集合</w:t>
      </w:r>
    </w:p>
    <w:p>
      <w:r>
        <w:t>就“三维构象集合”而言，在“三维构象、对称性、不变性与等变性”中，三维构象集合具体限定了分子结构、构象与性质终点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三维构象集合”用于“三维构象、对称性、不变性与等变性”时，本书用“比较异构体在描述符、指纹、分子图和三维表示中的差异”检验三维构象集合。实现时遵循“让表示保留任务所需信息并用结构外推检验”，先建立经典基线，再对参数敏感性、独立样品和失败对象进行检查。若结果只能在同批数据或单次划分中成立，应把它视为探索性现象而非稳定规律。若该步骤改变了样品单位、统计独立性或物理峰形，必须在独立数据上重新证明其有效性。</w:t>
      </w:r>
    </w:p>
    <w:p>
      <w:pPr>
        <w:pStyle w:val="3"/>
      </w:pPr>
      <w:r>
        <w:t>6.6.2 距离、角度和扭转角</w:t>
      </w:r>
    </w:p>
    <w:p>
      <w:r>
        <w:t>就“距离、角度和扭转角”而言，在“三维构象、对称性、不变性与等变性”中，距离、角度和扭转角具体限定了分子结构、构象与性质终点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距离、角度和扭转角”用于“三维构象、对称性、不变性与等变性”时，本书用“比较异构体在描述符、指纹、分子图和三维表示中的差异”检验距离、角度和扭转角。实现时遵循“让表示保留任务所需信息并用结构外推检验”，先建立经典基线，再对参数敏感性、独立样品和失败对象进行检查。若结果只能在同批数据或单次划分中成立，应把它视为探索性现象而非稳定规律。读图或读指标时应返回原始数据抽查，避免把表示空间中的几何关系直接当成化学机制。</w:t>
      </w:r>
    </w:p>
    <w:p>
      <w:pPr>
        <w:pStyle w:val="3"/>
      </w:pPr>
      <w:r>
        <w:t>6.6.3 旋转/平移不变性</w:t>
      </w:r>
    </w:p>
    <w:p>
      <w:r>
        <w:t>就“旋转/平移不变性”而言，在“三维构象、对称性、不变性与等变性”中，旋转/平移不变性具体限定了分子结构、构象与性质终点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旋转/平移不变性”用于“三维构象、对称性、不变性与等变性”时，本书用“比较异构体在描述符、指纹、分子图和三维表示中的差异”检验旋转/平移不变性。实现时遵循“让表示保留任务所需信息并用结构外推检验”，先建立经典基线，再对参数敏感性、独立样品和失败对象进行检查。若结果只能在同批数据或单次划分中成立，应把它视为探索性现象而非稳定规律。最终报告需要给出适用范围和拒绝条件，使方法在证据不足时能够停止输出。</w:t>
      </w:r>
    </w:p>
    <w:p>
      <w:pPr>
        <w:pStyle w:val="3"/>
      </w:pPr>
      <w:r>
        <w:t>6.6.4 SE(3)等变模型</w:t>
      </w:r>
    </w:p>
    <w:p>
      <w:r>
        <w:t>就“SE(3)等变模型”而言，围绕“SE(3)等变模型”，分子图以原子为节点、化学键为空间关系。消息传递网络在每一层聚合邻居信息并更新节点表示，多层传播扩大感受野。全局池化把节点表示汇总为分子级向量。</w:t>
      </w:r>
    </w:p>
    <w:p>
      <w:r>
        <w:t>把“SE(3)等变模型”用于“三维构象、对称性、不变性与等变性”时，在“三维构象、对称性、不变性与等变性”的语境下，二维图不能完整表达构象和空间相互作用。使用距离、角度或等变网络可以处理三维几何；SE(3)等变性要求模型输出随旋转和平移按物理规律变化。构象生成、温度和质子化态仍是输入不确定性的来源。教学上应把该概念落实为可观察变量、可运行程序和可反驳检验三层。</w:t>
      </w:r>
    </w:p>
    <w:p>
      <w:pPr>
        <w:pStyle w:val="3"/>
      </w:pPr>
      <w:r>
        <w:t>6.6.5 构象、质子化态和温度不确定性</w:t>
      </w:r>
    </w:p>
    <w:p>
      <w:r>
        <w:t>就“构象、质子化态和温度不确定性”而言，围绕“构象、质子化态和温度不确定性”，随机误差反映重复测量的波动，系统偏差使结果稳定地偏离参照，不确定度则量化在现有知识下结果可能处于的范围。三者属于不同概念。高重复性不代表无偏，模型测试误差很低也不代表参照标签准确。</w:t>
      </w:r>
    </w:p>
    <w:p>
      <w:r>
        <w:t>把“构象、质子化态和温度不确定性”用于“三维构象、对称性、不变性与等变性”时，在“三维构象、对称性、不变性与等变性”的语境下，不确定度应沿采样、制样、校准、仪器、预处理和模型逐步传播。对于线性关系可使用一阶误差传播，对于明显非线性或参数相关的系统可使用蒙特卡洛抽样。报告时应给出覆盖概率、区间构造方法和适用条件，而不是只给一个小数位很多的点估计。在真实项目中，还应保存参数、软件版本和输入校验结果，以便定位变化来自样品还是计算。</w:t>
      </w:r>
    </w:p>
    <w:p>
      <w:pPr>
        <w:pStyle w:val="2"/>
      </w:pPr>
      <w:r>
        <w:t>6.7 骨架划分、化学空间与表示适用域</w:t>
      </w:r>
    </w:p>
    <w:p>
      <w:r>
        <w:t>本节围绕“骨架划分、化学空间与表示适用域”展开。分析对象是分子结构、构象与性质终点，核心不是罗列名词，而是说明随机划分的结构泄漏、骨架、时间和聚类划分、插值和结构外推、杠杆、相似邻域和适用域怎样进入同一条测量与推断链。读者首先要辨认哪些量来自真实样品，哪些量由仪器转换得到，哪些量由算法估计；三类量若混在一起，模型精度就很难被解释。</w:t>
      </w:r>
    </w:p>
    <w:p>
      <w:r>
        <w:t>在“骨架划分、化学空间与表示适用域”中，技术路线遵循“让表示保留任务所需信息并用结构外推检验”。具体计算从可诊断的经典基线开始，再增加本节所需的非线性、结构先验或不确定度组件。新增组件必须回答一个明确问题，并在相同数据边界下与基线比较；只有平均分提高而误差结构没有改善，不能构成采用复杂模型的充分理由。</w:t>
      </w:r>
    </w:p>
    <w:p>
      <w:r>
        <w:t>本节把“比较异构体在描述符、指纹、分子图和三维表示中的差异”落实到分子模型验证原则这一检查点。验证时保留与未来使用条件一致的独立对象，检查坐标轴、单位、样品身份、批次、参数来源和失败样本。由此得到的结论才可用于下一步测量或实验，而不是停留在一张看似分离良好的图上。</w:t>
      </w:r>
    </w:p>
    <w:p>
      <w:pPr>
        <w:pStyle w:val="3"/>
      </w:pPr>
      <w:r>
        <w:t>6.7.1 随机划分的结构泄漏</w:t>
      </w:r>
    </w:p>
    <w:p>
      <w:r>
        <w:t>就“随机划分的结构泄漏”而言，随机划分的结构泄漏属于从观测反推对象的逆问题，常存在多解性。同一峰可由多个结构片段贡献，同一空间热点也可能受厚度、照明或离子抑制影响；因此模型输出首先是候选解释，而不是自动成立的机制。</w:t>
      </w:r>
    </w:p>
    <w:p>
      <w:r>
        <w:t>把“随机划分的结构泄漏”用于“骨架划分、化学空间与表示适用域”时，可信解释需要至少一条独立证据链：改变实验条件观察可预测响应、使用互补仪器验证候选，或以标准物质复现特征。显著性图、注意力和SHAP可定位模型依赖，却不能替代干预和机理实验。若该步骤改变了样品单位、统计独立性或物理峰形，必须在独立数据上重新证明其有效性。</w:t>
      </w:r>
    </w:p>
    <w:p>
      <w:pPr>
        <w:pStyle w:val="3"/>
      </w:pPr>
      <w:r>
        <w:t>6.7.2 骨架、时间和聚类划分</w:t>
      </w:r>
    </w:p>
    <w:p>
      <w:r>
        <w:t>就“骨架、时间和聚类划分”而言，骨架、时间和聚类划分要求测量时间尺度快于被研究过程的关键变化。采样、传质、仪器响应和数据处理都可能造成时间延迟；若响应时间与反应时间相当，记录到的曲线是系统动力学与仪器核的卷积。</w:t>
      </w:r>
    </w:p>
    <w:p>
      <w:r>
        <w:t>把“骨架、时间和聚类划分”用于“骨架划分、化学空间与表示适用域”时，建模时应保存真实时间戳、同步误差和操作事件，避免把等间隔文件序号当作真实时间。对于在线控制，还要区分毫秒级设备反馈与分钟级科学决策，并用状态估计处理不可直接观察的化学状态。读图或读指标时应返回原始数据抽查，避免把表示空间中的几何关系直接当成化学机制。</w:t>
      </w:r>
    </w:p>
    <w:p>
      <w:pPr>
        <w:pStyle w:val="3"/>
      </w:pPr>
      <w:r>
        <w:t>6.7.3 插值和结构外推</w:t>
      </w:r>
    </w:p>
    <w:p>
      <w:r>
        <w:t>就“插值和结构外推”而言，插值和结构外推属于从观测反推对象的逆问题，常存在多解性。同一峰可由多个结构片段贡献，同一空间热点也可能受厚度、照明或离子抑制影响；因此模型输出首先是候选解释，而不是自动成立的机制。</w:t>
      </w:r>
    </w:p>
    <w:p>
      <w:r>
        <w:t>把“插值和结构外推”用于“骨架划分、化学空间与表示适用域”时，可信解释需要至少一条独立证据链：改变实验条件观察可预测响应、使用互补仪器验证候选，或以标准物质复现特征。显著性图、注意力和SHAP可定位模型依赖，却不能替代干预和机理实验。最终报告需要给出适用范围和拒绝条件，使方法在证据不足时能够停止输出。</w:t>
      </w:r>
    </w:p>
    <w:p>
      <w:pPr>
        <w:pStyle w:val="3"/>
      </w:pPr>
      <w:r>
        <w:t>6.7.4 杠杆、相似邻域和适用域</w:t>
      </w:r>
    </w:p>
    <w:p>
      <w:r>
        <w:t>就“杠杆、相似邻域和适用域”而言，围绕“杠杆、相似邻域和适用域”，RMSE对大误差更敏感，MAE更接近典型绝对偏差；偏差则显示预测是否系统性高估或低估。单一指标会隐藏误差结构，因此还需绘制预测—参照图、残差—浓度图，并按批次、浓度和样品类型分层。</w:t>
      </w:r>
    </w:p>
    <w:p>
      <w:r>
        <w:t>把“杠杆、相似邻域和适用域”用于“骨架划分、化学空间与表示适用域”时，在“骨架划分、化学空间与表示适用域”的语境下，Hotelling T²描述样品在模型潜空间内的杠杆程度，Q残差描述样品不能被模型子空间解释的部分。二者结合可区分“位于已知方向的极端样品”和“具有新型结构的样品”，是建立适用域和异常诊断的重要工具。教学上应把该概念落实为可观察变量、可运行程序和可反驳检验三层。</w:t>
      </w:r>
    </w:p>
    <w:p>
      <w:pPr>
        <w:pStyle w:val="3"/>
      </w:pPr>
      <w:r>
        <w:t>6.7.5 分子模型验证原则</w:t>
      </w:r>
    </w:p>
    <w:p>
      <w:r>
        <w:t>就“分子模型验证原则”而言，在“骨架划分、化学空间与表示适用域”中，分子模型验证原则具体限定了分子结构、构象与性质终点的一个技术接口。它必须被写成可检查的输入、变换和输出：输入保留样品与仪器条件，变换说明参数从何处估计，输出对应可观察量或候选判断；缺少任何一层，概念就无法进入实验和代码。</w:t>
      </w:r>
    </w:p>
    <w:p>
      <w:r>
        <w:t>把“分子模型验证原则”用于“骨架划分、化学空间与表示适用域”时，本书用“比较异构体在描述符、指纹、分子图和三维表示中的差异”检验分子模型验证原则。实现时遵循“让表示保留任务所需信息并用结构外推检验”，先建立经典基线，再对参数敏感性、独立样品和失败对象进行检查。若结果只能在同批数据或单次划分中成立，应把它视为探索性现象而非稳定规律。在真实项目中，还应保存参数、软件版本和输入校验结果，以便定位变化来自样品还是计算。</w:t>
      </w:r>
    </w:p>
    <w:p>
      <w:pPr>
        <w:pStyle w:val="2"/>
      </w:pPr>
      <w:r>
        <w:t>关键关系与计算抓手</w:t>
      </w:r>
    </w:p>
    <w:p>
      <w:pPr>
        <w:ind w:firstLine="0"/>
      </w:pPr>
      <w:r>
        <w:rPr>
          <w:b/>
          <w:color w:val="345A8A"/>
        </w:rPr>
        <w:t>（1）y=f(structure)</w:t>
      </w:r>
    </w:p>
    <w:p>
      <w:pPr>
        <w:ind w:firstLine="0"/>
      </w:pPr>
      <w:r>
        <w:rPr>
          <w:b/>
          <w:color w:val="345A8A"/>
        </w:rPr>
        <w:t>（2）T(A,B)=|A∩B|/|A∪B|</w:t>
      </w:r>
    </w:p>
    <w:p>
      <w:pPr>
        <w:pStyle w:val="2"/>
      </w:pPr>
      <w:r>
        <w:t>本章综合案例</w:t>
      </w:r>
    </w:p>
    <w:p>
      <w:r>
        <w:t>本章案例为“比较异构体在描述符、指纹、分子图和三维表示中的差异”。先冻结问题、样品单位、测量协议和独立测试边界，再建立可诊断的经典基线。新增模型组件必须解决已识别的误差来源，并通过相同测试集、消融和失败样本分析证明价值。</w:t>
      </w:r>
    </w:p>
    <w:p>
      <w:r>
        <w:t>案例交付物包括问题卡、数据字典、运行日志、关键图表、错误对象和可执行代码。模型给出的结构、机制或实验建议属于待验证假设，需由互补测量或后续干预确认。</w:t>
      </w:r>
    </w:p>
    <w:p>
      <w:pPr>
        <w:pStyle w:val="2"/>
      </w:pPr>
      <w:r>
        <w:t>代码实践</w:t>
      </w:r>
    </w:p>
    <w:p>
      <w:r>
        <w:t>用简化分子图和路径指纹比较异构体，并执行骨架分组验证。</w:t>
      </w:r>
    </w:p>
    <w:p>
      <w:pPr>
        <w:pStyle w:val="CodeBlock"/>
        <w:spacing w:after="0"/>
        <w:ind w:firstLine="0"/>
      </w:pPr>
      <w:r>
        <w:t>"""第6章代码练习：分子表征与结构—性质关系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任务：用简化分子图和路径指纹比较异构体，并执行骨架分组验证。</w:t>
      </w:r>
    </w:p>
    <w:p>
      <w:pPr>
        <w:pStyle w:val="CodeBlock"/>
        <w:spacing w:after="0"/>
        <w:ind w:firstLine="0"/>
      </w:pPr>
      <w:r>
        <w:t>运行方式：python chapter_exercise.py</w:t>
      </w:r>
    </w:p>
    <w:p>
      <w:pPr>
        <w:pStyle w:val="CodeBlock"/>
        <w:spacing w:after="0"/>
        <w:ind w:firstLine="0"/>
      </w:pPr>
      <w:r>
        <w:t>所有合成数据仅用于验证接口；换用真实数据时必须保留样品/批次分组。</w:t>
      </w:r>
    </w:p>
    <w:p>
      <w:pPr>
        <w:pStyle w:val="CodeBlock"/>
        <w:spacing w:after="0"/>
        <w:ind w:firstLine="0"/>
      </w:pPr>
      <w:r>
        <w:t>"""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import numpy as np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rng = np.random.default_rng(42)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atoms=['C','C','O','H']</w:t>
      </w:r>
    </w:p>
    <w:p>
      <w:pPr>
        <w:pStyle w:val="CodeBlock"/>
        <w:spacing w:after="0"/>
        <w:ind w:firstLine="0"/>
      </w:pPr>
      <w:r>
        <w:t>bonds=[(0,1),(1,2),(0,3)]</w:t>
      </w:r>
    </w:p>
    <w:p>
      <w:pPr>
        <w:pStyle w:val="CodeBlock"/>
        <w:spacing w:after="0"/>
        <w:ind w:firstLine="0"/>
      </w:pPr>
      <w:r>
        <w:t>adj=np.zeros((len(atoms),len(atoms)),dtype=int)</w:t>
      </w:r>
    </w:p>
    <w:p>
      <w:pPr>
        <w:pStyle w:val="CodeBlock"/>
        <w:spacing w:after="0"/>
        <w:ind w:firstLine="0"/>
      </w:pPr>
      <w:r>
        <w:t>for i,j in bonds: adj[i,j]=adj[j,i]=1</w:t>
      </w:r>
    </w:p>
    <w:p>
      <w:pPr>
        <w:pStyle w:val="CodeBlock"/>
        <w:spacing w:after="0"/>
        <w:ind w:firstLine="0"/>
      </w:pPr>
      <w:r>
        <w:t>fingerprint=(adj@np.arange(1,len(atoms)+1))%2</w:t>
      </w:r>
    </w:p>
    <w:p>
      <w:pPr>
        <w:pStyle w:val="CodeBlock"/>
        <w:spacing w:after="0"/>
        <w:ind w:firstLine="0"/>
      </w:pPr>
      <w:r>
        <w:t xml:space="preserve"> </w:t>
      </w:r>
    </w:p>
    <w:p>
      <w:pPr>
        <w:pStyle w:val="CodeBlock"/>
        <w:spacing w:after="0"/>
        <w:ind w:firstLine="0"/>
      </w:pPr>
      <w:r>
        <w:t># TODO 1: 用课程或开放数据替换合成输入，明确对象为具有分子式、SMILES、指纹、二维图和构象的化合物。</w:t>
      </w:r>
    </w:p>
    <w:p>
      <w:pPr>
        <w:pStyle w:val="CodeBlock"/>
        <w:spacing w:after="0"/>
        <w:ind w:firstLine="0"/>
      </w:pPr>
      <w:r>
        <w:t># TODO 2: 实现按骨架而非随机分子留出测试集，并与随机划分或默认流程对照。</w:t>
      </w:r>
    </w:p>
    <w:p>
      <w:pPr>
        <w:pStyle w:val="CodeBlock"/>
        <w:spacing w:after="0"/>
        <w:ind w:firstLine="0"/>
      </w:pPr>
      <w:r>
        <w:t># TODO 3: 输出寻找异构体混淆、指纹碰撞和表示域外分子，据此判断能否为目标性质选择信息足够且成本合适的表示。</w:t>
      </w:r>
    </w:p>
    <w:p>
      <w:pPr>
        <w:pStyle w:val="2"/>
      </w:pPr>
      <w:r>
        <w:t>【本章小结】</w:t>
      </w:r>
    </w:p>
    <w:p>
      <w:r>
        <w:t>本章以分子结构、构象与性质终点为对象，把测量原理、数据表示、模型计算和分析决策连成完整链条。掌握本章的标准，不是记住模型名称，而是能够说明数据如何生成、结论怎样验证、方法在哪些条件下失效。</w:t>
      </w:r>
    </w:p>
    <w:p>
      <w:pPr>
        <w:pStyle w:val="2"/>
      </w:pPr>
      <w:r>
        <w:t>【思考题与计算题】</w:t>
      </w:r>
    </w:p>
    <w:p>
      <w:pPr>
        <w:ind w:firstLine="0"/>
      </w:pPr>
      <w:r>
        <w:t>1. 为“比较异构体在描述符、指纹、分子图和三维表示中的差异”画出测量链并标出三处可能失真位置。</w:t>
      </w:r>
    </w:p>
    <w:p>
      <w:pPr>
        <w:ind w:firstLine="0"/>
      </w:pPr>
      <w:r>
        <w:t>2. 选择一个核心方法，写出输入、输出、参数、假设和两个失效条件。</w:t>
      </w:r>
    </w:p>
    <w:p>
      <w:pPr>
        <w:ind w:firstLine="0"/>
      </w:pPr>
      <w:r>
        <w:t>3. 建立经典基线，给出复杂模型必须超过的独立评价门槛。</w:t>
      </w:r>
    </w:p>
    <w:p>
      <w:pPr>
        <w:ind w:firstLine="0"/>
      </w:pPr>
      <w:r>
        <w:t>4. 设计符合未来使用条件的分组或外推划分，并与随机划分比较。</w:t>
      </w:r>
    </w:p>
    <w:p>
      <w:pPr>
        <w:ind w:firstLine="0"/>
      </w:pPr>
      <w:r>
        <w:t>5. 完成配套代码，增加一个单元测试和一个失败样本可视化。</w:t>
      </w:r>
    </w:p>
    <w:p>
      <w:pPr>
        <w:ind w:firstLine="0"/>
      </w:pPr>
      <w:r>
        <w:t>6. 设计能区分化学信息与批次捷径的对照实验。</w:t>
      </w:r>
    </w:p>
    <w:sectPr w:rsidR="00DF2813">
      <w:headerReference w:type="default" r:id="rId9"/>
      <w:footerReference w:type="default" r:id="rId10"/>
      <w:pgSz w:w="10488" w:h="14740"/>
      <w:pgMar w:top="1417" w:right="1247" w:bottom="1417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41C9A" w14:textId="77777777" w:rsidR="000B6296" w:rsidRDefault="000B6296">
      <w:pPr>
        <w:spacing w:after="0"/>
      </w:pPr>
      <w:r>
        <w:separator/>
      </w:r>
    </w:p>
  </w:endnote>
  <w:endnote w:type="continuationSeparator" w:id="0">
    <w:p w14:paraId="02E66D36" w14:textId="77777777" w:rsidR="000B6296" w:rsidRDefault="000B62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E3B54" w14:textId="77777777" w:rsidR="00DF2813" w:rsidRDefault="00DF281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AC7C5" w14:textId="486F403A" w:rsidR="00DF2813" w:rsidRDefault="000B6296">
    <w:pPr>
      <w:jc w:val="center"/>
    </w:pPr>
    <w:r/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71DDB" w14:textId="77777777" w:rsidR="000B6296" w:rsidRDefault="000B6296">
      <w:pPr>
        <w:spacing w:after="0"/>
      </w:pPr>
      <w:r>
        <w:separator/>
      </w:r>
    </w:p>
  </w:footnote>
  <w:footnote w:type="continuationSeparator" w:id="0">
    <w:p w14:paraId="10E87919" w14:textId="77777777" w:rsidR="000B6296" w:rsidRDefault="000B629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A9FA5" w14:textId="77777777" w:rsidR="00DF2813" w:rsidRDefault="00DF281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B503F" w14:textId="77777777" w:rsidR="00DF2813" w:rsidRDefault="000B6296">
    <w:pPr>
      <w:jc w:val="center"/>
    </w:pPr>
    <w:r>
      <w:t>智能分析化学 · 第6章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0000A991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00A9941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00A99413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6"/>
    <w:multiLevelType w:val="multilevel"/>
    <w:tmpl w:val="00A99416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7"/>
    <w:multiLevelType w:val="multilevel"/>
    <w:tmpl w:val="00A99417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9"/>
    <w:multiLevelType w:val="multilevel"/>
    <w:tmpl w:val="00A99419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A994110"/>
    <w:multiLevelType w:val="multilevel"/>
    <w:tmpl w:val="0A994110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A994111"/>
    <w:multiLevelType w:val="multilevel"/>
    <w:tmpl w:val="0A994111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0A994113"/>
    <w:multiLevelType w:val="multilevel"/>
    <w:tmpl w:val="0A994113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4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5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2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6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0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4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8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6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64">
    <w:abstractNumId w:val="9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0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5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9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2813"/>
    <w:rsid w:val="000B6296"/>
    <w:rsid w:val="003208BF"/>
    <w:rsid w:val="00DF2813"/>
    <w:rsid w:val="06A724A7"/>
    <w:rsid w:val="192E7DCB"/>
    <w:rsid w:val="3C4076A1"/>
    <w:rsid w:val="60143417"/>
    <w:rsid w:val="629F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B6579"/>
  <w15:docId w15:val="{205839D2-68C0-46F1-AD46-0C8BD552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footnote reference" w:qFormat="1"/>
    <w:lsdException w:name="Title" w:qFormat="1"/>
    <w:lsdException w:name="Default Paragraph Font" w:semiHidden="1" w:unhideWhenUsed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324" w:lineRule="auto"/>
      <w:ind w:firstLine="460"/>
    </w:pPr>
    <w:rPr>
      <w:rFonts w:eastAsiaTheme="minorHAnsi" w:ascii="Arial Unicode MS" w:hAnsi="Arial Unicode MS" w:eastAsia="Arial Unicode MS" w:cs="Arial Unicode MS"/>
      <w:sz w:val="23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</w:rPr>
  </w:style>
  <w:style w:type="character" w:default="1" w:styleId="a1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a2">
    <w:name w:val="Normal Table"/>
    <w:uiPriority w:val="99"/>
    <w:semiHidden/>
    <w:unhideWhenUsed/>
    <w:rPr>
      <w:rFonts w:ascii="Arial Unicode MS" w:hAnsi="Arial Unicode MS" w:eastAsia="Arial Unicode MS" w:cs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  <w:rPr>
      <w:rFonts w:ascii="Arial Unicode MS" w:hAnsi="Arial Unicode MS" w:eastAsia="Arial Unicode MS" w:cs="Arial Unicode MS"/>
    </w:rPr>
  </w:style>
  <w:style w:type="paragraph" w:styleId="a5">
    <w:name w:val="caption"/>
    <w:basedOn w:val="a"/>
    <w:pPr>
      <w:spacing w:after="120"/>
    </w:pPr>
    <w:rPr>
      <w:rFonts w:ascii="Arial Unicode MS" w:hAnsi="Arial Unicode MS" w:eastAsia="Arial Unicode MS" w:cs="Arial Unicode MS"/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  <w:rPr>
      <w:rFonts w:ascii="Arial Unicode MS" w:hAnsi="Arial Unicode MS" w:eastAsia="Arial Unicode MS" w:cs="Arial Unicode MS"/>
    </w:r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 w:ascii="Arial Unicode MS" w:hAnsi="Arial Unicode MS" w:eastAsia="Arial Unicode MS" w:cs="Arial Unicode MS"/>
      <w:sz w:val="24"/>
      <w:szCs w:val="24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rFonts w:ascii="Arial Unicode MS" w:hAnsi="Arial Unicode MS" w:eastAsia="Arial Unicode MS" w:cs="Arial Unicode MS"/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45A8A"/>
      <w:sz w:val="36"/>
      <w:szCs w:val="36"/>
    </w:rPr>
  </w:style>
  <w:style w:type="paragraph" w:styleId="aa">
    <w:name w:val="footnote text"/>
    <w:basedOn w:val="a"/>
    <w:uiPriority w:val="9"/>
    <w:unhideWhenUsed/>
    <w:qFormat/>
    <w:rPr>
      <w:rFonts w:ascii="Arial Unicode MS" w:hAnsi="Arial Unicode MS" w:eastAsia="Arial Unicode MS" w:cs="Arial Unicode MS"/>
    </w:rPr>
  </w:style>
  <w:style w:type="character" w:styleId="ab">
    <w:name w:val="Hyperlink"/>
    <w:basedOn w:val="a4"/>
    <w:qFormat/>
    <w:rPr>
      <w:rFonts w:ascii="Arial Unicode MS" w:hAnsi="Arial Unicode MS" w:eastAsia="Arial Unicode MS" w:cs="Arial Unicode MS"/>
      <w:color w:val="4F81BD" w:themeColor="accent1"/>
    </w:rPr>
  </w:style>
  <w:style w:type="character" w:customStyle="1" w:styleId="a4">
    <w:name w:val="正文文本 字符"/>
    <w:basedOn w:val="a1"/>
    <w:link w:val="a0"/>
    <w:qFormat/>
    <w:rPr>
      <w:rFonts w:ascii="Arial Unicode MS" w:hAnsi="Arial Unicode MS" w:eastAsia="Arial Unicode MS" w:cs="Arial Unicode MS"/>
    </w:rPr>
  </w:style>
  <w:style w:type="character" w:styleId="ac">
    <w:name w:val="footnote reference"/>
    <w:basedOn w:val="a4"/>
    <w:qFormat/>
    <w:rPr>
      <w:rFonts w:ascii="Arial Unicode MS" w:hAnsi="Arial Unicode MS" w:eastAsia="Arial Unicode MS" w:cs="Arial Unicode MS"/>
      <w:vertAlign w:val="superscript"/>
    </w:rPr>
  </w:style>
  <w:style w:type="paragraph" w:customStyle="1" w:styleId="FirstParagraph">
    <w:name w:val="First Paragraph"/>
    <w:basedOn w:val="a0"/>
    <w:next w:val="a0"/>
    <w:qFormat/>
    <w:rPr>
      <w:rFonts w:ascii="Arial Unicode MS" w:hAnsi="Arial Unicode MS" w:eastAsia="Arial Unicode MS" w:cs="Arial Unicode MS"/>
    </w:rPr>
  </w:style>
  <w:style w:type="paragraph" w:customStyle="1" w:styleId="Compact">
    <w:name w:val="Compact"/>
    <w:basedOn w:val="a0"/>
    <w:qFormat/>
    <w:pPr>
      <w:spacing w:before="36" w:after="36"/>
    </w:pPr>
    <w:rPr>
      <w:rFonts w:ascii="Arial Unicode MS" w:hAnsi="Arial Unicode MS" w:eastAsia="Arial Unicode MS" w:cs="Arial Unicode MS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 w:ascii="Arial Unicode MS" w:hAnsi="Arial Unicode MS" w:eastAsia="Arial Unicode MS" w:cs="Arial Unicode MS"/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rFonts w:ascii="Arial Unicode MS" w:hAnsi="Arial Unicode MS" w:eastAsia="Arial Unicode MS" w:cs="Arial Unicode MS"/>
      <w:sz w:val="20"/>
      <w:szCs w:val="20"/>
    </w:rPr>
  </w:style>
  <w:style w:type="paragraph" w:customStyle="1" w:styleId="10">
    <w:name w:val="书目1"/>
    <w:basedOn w:val="a"/>
    <w:qFormat/>
    <w:rPr>
      <w:rFonts w:ascii="Arial Unicode MS" w:hAnsi="Arial Unicode MS" w:eastAsia="Arial Unicode MS" w:cs="Arial Unicode MS"/>
    </w:rPr>
  </w:style>
  <w:style w:type="table" w:customStyle="1" w:styleId="Table">
    <w:name w:val="Table"/>
    <w:semiHidden/>
    <w:unhideWhenUsed/>
    <w:qFormat/>
    <w:rPr>
      <w:rFonts w:ascii="Arial Unicode MS" w:hAnsi="Arial Unicode MS" w:eastAsia="Arial Unicode MS" w:cs="Arial Unicode M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rFonts w:ascii="Arial Unicode MS" w:hAnsi="Arial Unicode MS" w:eastAsia="Arial Unicode MS" w:cs="Arial Unicode MS"/>
      <w:b/>
    </w:rPr>
  </w:style>
  <w:style w:type="paragraph" w:customStyle="1" w:styleId="Definition">
    <w:name w:val="Definition"/>
    <w:basedOn w:val="a"/>
    <w:rPr>
      <w:rFonts w:ascii="Arial Unicode MS" w:hAnsi="Arial Unicode MS" w:eastAsia="Arial Unicode MS" w:cs="Arial Unicode MS"/>
    </w:rPr>
  </w:style>
  <w:style w:type="paragraph" w:customStyle="1" w:styleId="TableCaption">
    <w:name w:val="Table Caption"/>
    <w:basedOn w:val="a5"/>
    <w:qFormat/>
    <w:pPr>
      <w:keepNext/>
    </w:pPr>
    <w:rPr>
      <w:rFonts w:ascii="Arial Unicode MS" w:hAnsi="Arial Unicode MS" w:eastAsia="Arial Unicode MS" w:cs="Arial Unicode MS"/>
    </w:rPr>
  </w:style>
  <w:style w:type="paragraph" w:customStyle="1" w:styleId="ImageCaption">
    <w:name w:val="Image Caption"/>
    <w:basedOn w:val="a5"/>
    <w:qFormat/>
    <w:rPr>
      <w:rFonts w:ascii="Arial Unicode MS" w:hAnsi="Arial Unicode MS" w:eastAsia="Arial Unicode MS" w:cs="Arial Unicode MS"/>
    </w:rPr>
  </w:style>
  <w:style w:type="paragraph" w:customStyle="1" w:styleId="Figure">
    <w:name w:val="Figure"/>
    <w:basedOn w:val="a"/>
    <w:qFormat/>
    <w:rPr>
      <w:rFonts w:ascii="Arial Unicode MS" w:hAnsi="Arial Unicode MS" w:eastAsia="Arial Unicode MS" w:cs="Arial Unicode MS"/>
    </w:rPr>
  </w:style>
  <w:style w:type="paragraph" w:customStyle="1" w:styleId="CaptionedFigure">
    <w:name w:val="Captioned Figure"/>
    <w:basedOn w:val="Figure"/>
    <w:qFormat/>
    <w:pPr>
      <w:keepNext/>
    </w:pPr>
    <w:rPr>
      <w:rFonts w:ascii="Arial Unicode MS" w:hAnsi="Arial Unicode MS" w:eastAsia="Arial Unicode MS" w:cs="Arial Unicode MS"/>
    </w:rPr>
  </w:style>
  <w:style w:type="character" w:customStyle="1" w:styleId="VerbatimChar">
    <w:name w:val="Verbatim Char"/>
    <w:basedOn w:val="a4"/>
    <w:link w:val="SourceCode"/>
    <w:qFormat/>
    <w:rPr>
      <w:rFonts w:ascii="Arial Unicode MS" w:hAnsi="Arial Unicode MS" w:eastAsia="Arial Unicode MS" w:cs="Arial Unicode MS"/>
      <w:sz w:val="22"/>
    </w:rPr>
  </w:style>
  <w:style w:type="paragraph" w:customStyle="1" w:styleId="SourceCode">
    <w:name w:val="Source Code"/>
    <w:basedOn w:val="a"/>
    <w:link w:val="VerbatimChar"/>
    <w:qFormat/>
    <w:pPr>
      <w:shd w:val="clear" w:color="auto" w:fill="F8F8F8"/>
      <w:wordWrap w:val="0"/>
    </w:pPr>
    <w:rPr>
      <w:rFonts w:ascii="Arial Unicode MS" w:hAnsi="Arial Unicode MS" w:eastAsia="Arial Unicode MS" w:cs="Arial Unicode MS"/>
    </w:rPr>
  </w:style>
  <w:style w:type="character" w:customStyle="1" w:styleId="SectionNumber">
    <w:name w:val="Section Number"/>
    <w:basedOn w:val="a4"/>
    <w:qFormat/>
    <w:rPr>
      <w:rFonts w:ascii="Arial Unicode MS" w:hAnsi="Arial Unicode MS" w:eastAsia="Arial Unicode MS" w:cs="Arial Unicode MS"/>
    </w:rPr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="Arial Unicode MS" w:hAnsi="Arial Unicode MS" w:eastAsia="Arial Unicode MS" w:cs="Arial Unicode MS"/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Arial Unicode MS" w:hAnsi="Arial Unicode MS" w:eastAsia="Arial Unicode MS" w:cs="Arial Unicode M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qFormat/>
    <w:rPr>
      <w:rFonts w:ascii="Arial Unicode MS" w:hAnsi="Arial Unicode MS" w:eastAsia="Arial Unicode MS" w:cs="Arial Unicode M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qFormat/>
    <w:rPr>
      <w:rFonts w:ascii="Arial Unicode MS" w:hAnsi="Arial Unicode MS" w:eastAsia="Arial Unicode MS" w:cs="Arial Unicode M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qFormat/>
    <w:rPr>
      <w:rFonts w:ascii="Arial Unicode MS" w:hAnsi="Arial Unicode MS" w:eastAsia="Arial Unicode MS" w:cs="Arial Unicode M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CommentTok">
    <w:name w:val="CommentTok"/>
    <w:basedOn w:val="VerbatimChar"/>
    <w:qFormat/>
    <w:rPr>
      <w:rFonts w:ascii="Arial Unicode MS" w:hAnsi="Arial Unicode MS" w:eastAsia="Arial Unicode MS" w:cs="Arial Unicode M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qFormat/>
    <w:rPr>
      <w:rFonts w:ascii="Arial Unicode MS" w:hAnsi="Arial Unicode MS" w:eastAsia="Arial Unicode MS" w:cs="Arial Unicode M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qFormat/>
    <w:rPr>
      <w:rFonts w:ascii="Arial Unicode MS" w:hAnsi="Arial Unicode MS" w:eastAsia="Arial Unicode MS" w:cs="Arial Unicode M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qFormat/>
    <w:rPr>
      <w:rFonts w:ascii="Arial Unicode MS" w:hAnsi="Arial Unicode MS" w:eastAsia="Arial Unicode MS" w:cs="Arial Unicode M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qFormat/>
    <w:rPr>
      <w:rFonts w:ascii="Arial Unicode MS" w:hAnsi="Arial Unicode MS" w:eastAsia="Arial Unicode MS" w:cs="Arial Unicode M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ExtensionTok">
    <w:name w:val="Extension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PreprocessorTok">
    <w:name w:val="PreprocessorTok"/>
    <w:basedOn w:val="VerbatimChar"/>
    <w:qFormat/>
    <w:rPr>
      <w:rFonts w:ascii="Arial Unicode MS" w:hAnsi="Arial Unicode MS" w:eastAsia="Arial Unicode MS" w:cs="Arial Unicode M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qFormat/>
    <w:rPr>
      <w:rFonts w:ascii="Arial Unicode MS" w:hAnsi="Arial Unicode MS" w:eastAsia="Arial Unicode MS" w:cs="Arial Unicode M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character" w:customStyle="1" w:styleId="InformationTok">
    <w:name w:val="Information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qFormat/>
    <w:rPr>
      <w:rFonts w:ascii="Arial Unicode MS" w:hAnsi="Arial Unicode MS" w:eastAsia="Arial Unicode MS" w:cs="Arial Unicode M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qFormat/>
    <w:rPr>
      <w:rFonts w:ascii="Arial Unicode MS" w:hAnsi="Arial Unicode MS" w:eastAsia="Arial Unicode MS" w:cs="Arial Unicode M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qFormat/>
    <w:rPr>
      <w:rFonts w:ascii="Arial Unicode MS" w:hAnsi="Arial Unicode MS" w:eastAsia="Arial Unicode MS" w:cs="Arial Unicode M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qFormat/>
    <w:rPr>
      <w:rFonts w:ascii="Arial Unicode MS" w:hAnsi="Arial Unicode MS" w:eastAsia="Arial Unicode MS" w:cs="Arial Unicode MS"/>
      <w:sz w:val="22"/>
      <w:shd w:val="clear" w:color="auto" w:fill="F8F8F8"/>
    </w:rPr>
  </w:style>
  <w:style w:type="paragraph" w:customStyle="1" w:styleId="CodeBlock">
    <w:name w:val="Code Block"/>
    <w:pPr>
      <w:spacing w:line="240" w:lineRule="auto"/>
      <w:ind w:firstLine="0" w:left="283"/>
      <w:shd w:fill="F2F2F2"/>
    </w:pPr>
    <w:rPr>
      <w:rFonts w:ascii="Menlo" w:hAnsi="Menlo" w:eastAsia="Menlo" w:cs="Menl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497</Pages>
  <Words>78486</Words>
  <Characters>447373</Characters>
  <Application>Microsoft Office Word</Application>
  <DocSecurity>0</DocSecurity>
  <Lines>3728</Lines>
  <Paragraphs>1049</Paragraphs>
  <ScaleCrop>false</ScaleCrop>
  <Company/>
  <LinksUpToDate>false</LinksUpToDate>
  <CharactersWithSpaces>524810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2026-05-06T14:15:00Z</dcterms:created>
  <dcterms:modified xsi:type="dcterms:W3CDTF">2026-05-07T01:22:00Z</dcterms:modified>
  <dc:title>第6章 分子表征与结构—性质关系</dc:title>
  <dc:subject>《智能分析化学》出版内容初稿v2.2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eyJoZGlkIjoiMDljYzUzMWQ4OWI0YzBkYjYzMDRhZTY5ZjZkYmFmYTgiLCJ1c2VySWQiOiIzNDY3ODI5MDMifQ==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74DB65D882BD4BF7A9A58B5557D771E8_12</vt:lpwstr>
  </property>
</Properties>
</file>