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9"/>
        <w:ind w:firstLine="0"/>
        <w:jc w:val="center"/>
      </w:pPr>
      <w:r>
        <w:t>第7章 神经网络、Transformer、GNN与基础模型</w:t>
      </w:r>
    </w:p>
    <w:p>
      <w:pPr>
        <w:pStyle w:val="a8"/>
        <w:ind w:firstLine="0"/>
        <w:jc w:val="center"/>
      </w:pPr>
      <w:r>
        <w:t>第2篇 化学数据的模型、表示与生成</w:t>
      </w:r>
    </w:p>
    <w:p>
      <w:pPr>
        <w:pStyle w:val="a8"/>
        <w:ind w:firstLine="0"/>
        <w:jc w:val="center"/>
      </w:pPr>
      <w:r>
        <w:t>出版内容初稿 v2.2</w:t>
      </w:r>
    </w:p>
    <w:p>
      <w:pPr>
        <w:pStyle w:val="2"/>
      </w:pPr>
      <w:r>
        <w:t>【章首导引】</w:t>
      </w:r>
    </w:p>
    <w:p>
      <w:r>
        <w:t>不同网络结构的归纳偏置怎样对应谱图、图像、序列和分子图？ 本章以谱图、图像、分子图和序列为对象，落实“从训练原理讲到跨模态预训练，避免把模型名称与化学问题脱节。”。贯穿案例为“对同一光谱比较MLP、1D-CNN和Transformer”。</w:t>
      </w:r>
    </w:p>
    <w:p>
      <w:pPr>
        <w:pStyle w:val="2"/>
      </w:pPr>
      <w:r>
        <w:t>学习目标</w:t>
      </w:r>
    </w:p>
    <w:p>
      <w:pPr>
        <w:ind w:firstLine="0"/>
      </w:pPr>
      <w:r>
        <w:t>（1）能够说明谱图、图像、分子图和序列在本章中的数据结构与主要信息来源。</w:t>
      </w:r>
    </w:p>
    <w:p>
      <w:pPr>
        <w:ind w:firstLine="0"/>
      </w:pPr>
      <w:r>
        <w:t>（2）能够解释本章关键方法的输入、输出、参数、假设和失效条件。</w:t>
      </w:r>
    </w:p>
    <w:p>
      <w:pPr>
        <w:ind w:firstLine="0"/>
      </w:pPr>
      <w:r>
        <w:t>（3）能够以“让网络归纳偏置与数据结构匹配”设计训练、验证和独立测试。</w:t>
      </w:r>
    </w:p>
    <w:p>
      <w:pPr>
        <w:ind w:firstLine="0"/>
      </w:pPr>
      <w:r>
        <w:t>（4）能够完成“对同一光谱比较MLP、1D-CNN和Transformer”的最小代码实验并分析失败样本。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32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07章_知识图谱_预览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32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5"/>
        <w:ind w:firstLine="0"/>
        <w:jc w:val="center"/>
      </w:pPr>
      <w:r>
        <w:t>图7-1  第7章知识图谱</w:t>
      </w:r>
    </w:p>
    <w:p>
      <w:pPr>
        <w:pStyle w:val="2"/>
      </w:pPr>
      <w:r>
        <w:t>7.1 感知机、非线性表示与多层网络</w:t>
      </w:r>
    </w:p>
    <w:p>
      <w:r>
        <w:t>本节围绕“感知机、非线性表示与多层网络”展开。分析对象是谱图、图像、分子图和序列，核心不是罗列名词，而是说明神经元、权重、偏置与激活、隐藏层和非线性表达、前向传播、参数量和模型容量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感知机、非线性表示与多层网络”中，技术路线遵循“让网络归纳偏置与数据结构匹配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对同一光谱比较MLP、1D-CNN和Transformer”落实到参数量和模型容量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7.1.1 神经元、权重、偏置与激活</w:t>
      </w:r>
    </w:p>
    <w:p>
      <w:r>
        <w:t>就“神经元、权重、偏置与激活”而言，在“感知机、非线性表示与多层网络”中，神经元、权重、偏置与激活具体限定了谱图、图像、分子图和序列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神经元、权重、偏置与激活”用于“感知机、非线性表示与多层网络”时，本书用“对同一光谱比较MLP、1D-CNN和Transformer”检验神经元、权重、偏置与激活。实现时遵循“让网络归纳偏置与数据结构匹配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3"/>
      </w:pPr>
      <w:r>
        <w:t>7.1.2 隐藏层和非线性表达</w:t>
      </w:r>
    </w:p>
    <w:p>
      <w:r>
        <w:t>就“隐藏层和非线性表达”而言，在“感知机、非线性表示与多层网络”中，隐藏层和非线性表达具体限定了谱图、图像、分子图和序列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隐藏层和非线性表达”用于“感知机、非线性表示与多层网络”时，本书用“对同一光谱比较MLP、1D-CNN和Transformer”检验隐藏层和非线性表达。实现时遵循“让网络归纳偏置与数据结构匹配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3"/>
      </w:pPr>
      <w:r>
        <w:t>7.1.3 前向传播</w:t>
      </w:r>
    </w:p>
    <w:p>
      <w:r>
        <w:t>就“前向传播”而言，在“感知机、非线性表示与多层网络”中，前向传播具体限定了谱图、图像、分子图和序列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前向传播”用于“感知机、非线性表示与多层网络”时，本书用“对同一光谱比较MLP、1D-CNN和Transformer”检验前向传播。实现时遵循“让网络归纳偏置与数据结构匹配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7.1.4 参数量和模型容量</w:t>
      </w:r>
    </w:p>
    <w:p>
      <w:r>
        <w:t>就“参数量和模型容量”而言，在“感知机、非线性表示与多层网络”中，参数量和模型容量具体限定了谱图、图像、分子图和序列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参数量和模型容量”用于“感知机、非线性表示与多层网络”时，本书用“对同一光谱比较MLP、1D-CNN和Transformer”检验参数量和模型容量。实现时遵循“让网络归纳偏置与数据结构匹配”，先建立经典基线，再对参数敏感性、独立样品和失败对象进行检查。若结果只能在同批数据或单次划分中成立，应把它视为探索性现象而非稳定规律。在真实项目中，还应保存参数、软件版本和输入校验结果，以便定位变化来自样品还是计算。</w:t>
      </w:r>
    </w:p>
    <w:p>
      <w:pPr>
        <w:pStyle w:val="2"/>
      </w:pPr>
      <w:r>
        <w:t>7.2 损失函数、反向传播与优化稳定性</w:t>
      </w:r>
    </w:p>
    <w:p>
      <w:r>
        <w:t>本节围绕“损失函数、反向传播与优化稳定性”展开。分析对象是谱图、图像、分子图和序列，核心不是罗列名词，而是说明损失函数与任务目标、反向传播和链式法则、SGD、Adam与学习率、批量、初始化和归一化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损失函数、反向传播与优化稳定性”中，技术路线遵循“让网络归纳偏置与数据结构匹配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对同一光谱比较MLP、1D-CNN和Transformer”落实到正则化、早停与训练稳定性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7.2.1 损失函数与任务目标</w:t>
      </w:r>
    </w:p>
    <w:p>
      <w:r>
        <w:t>就“损失函数与任务目标”而言，在“损失函数、反向传播与优化稳定性”中，损失函数与任务目标具体限定了谱图、图像、分子图和序列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损失函数与任务目标”用于“损失函数、反向传播与优化稳定性”时，本书用“对同一光谱比较MLP、1D-CNN和Transformer”检验损失函数与任务目标。实现时遵循“让网络归纳偏置与数据结构匹配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3"/>
      </w:pPr>
      <w:r>
        <w:t>7.2.2 反向传播和链式法则</w:t>
      </w:r>
    </w:p>
    <w:p>
      <w:r>
        <w:t>就“反向传播和链式法则”而言，在“损失函数、反向传播与优化稳定性”中，反向传播和链式法则具体限定了谱图、图像、分子图和序列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反向传播和链式法则”用于“损失函数、反向传播与优化稳定性”时，本书用“对同一光谱比较MLP、1D-CNN和Transformer”检验反向传播和链式法则。实现时遵循“让网络归纳偏置与数据结构匹配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3"/>
      </w:pPr>
      <w:r>
        <w:t>7.2.3 SGD、Adam与学习率</w:t>
      </w:r>
    </w:p>
    <w:p>
      <w:r>
        <w:t>就“SGD、Adam与学习率”而言，在“损失函数、反向传播与优化稳定性”中，SGD、Adam与学习率具体限定了谱图、图像、分子图和序列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SGD、Adam与学习率”用于“损失函数、反向传播与优化稳定性”时，本书用“对同一光谱比较MLP、1D-CNN和Transformer”检验SGD、Adam与学习率。实现时遵循“让网络归纳偏置与数据结构匹配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7.2.4 批量、初始化和归一化</w:t>
      </w:r>
    </w:p>
    <w:p>
      <w:r>
        <w:t>就“批量、初始化和归一化”而言，在“损失函数、反向传播与优化稳定性”中，批量、初始化和归一化具体限定了谱图、图像、分子图和序列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批量、初始化和归一化”用于“损失函数、反向传播与优化稳定性”时，本书用“对同一光谱比较MLP、1D-CNN和Transformer”检验批量、初始化和归一化。实现时遵循“让网络归纳偏置与数据结构匹配”，先建立经典基线，再对参数敏感性、独立样品和失败对象进行检查。若结果只能在同批数据或单次划分中成立，应把它视为探索性现象而非稳定规律。在真实项目中，还应保存参数、软件版本和输入校验结果，以便定位变化来自样品还是计算。</w:t>
      </w:r>
    </w:p>
    <w:p>
      <w:pPr>
        <w:pStyle w:val="3"/>
      </w:pPr>
      <w:r>
        <w:t>7.2.5 正则化、早停与训练稳定性</w:t>
      </w:r>
    </w:p>
    <w:p>
      <w:r>
        <w:t>就“正则化、早停与训练稳定性”而言，围绕“正则化、早停与训练稳定性”，经验风险最小化在有限训练样本上优化平均损失。模型容量过高时，训练风险可以继续下降而真实风险上升。正则化通过限制参数、特征或函数复杂度，换取更稳定的外部性能。</w:t>
      </w:r>
    </w:p>
    <w:p>
      <w:r>
        <w:t>把“正则化、早停与训练稳定性”用于“损失函数、反向传播与优化稳定性”时，在“损失函数、反向传播与优化稳定性”的语境下，L1正则倾向产生稀疏系数，L2正则平滑地收缩全部系数。正则化强度属于超参数，必须在训练折内部选择。化学解释不能简单等同于非零系数，因为相关变量之间的权重可能不稳定。若该步骤改变了样品单位、统计独立性或物理峰形，必须在独立数据上重新证明其有效性。</w:t>
      </w:r>
    </w:p>
    <w:p>
      <w:pPr>
        <w:pStyle w:val="2"/>
      </w:pPr>
      <w:r>
        <w:t>7.3 CNN：局部结构、峰形与空间图像</w:t>
      </w:r>
    </w:p>
    <w:p>
      <w:r>
        <w:t>本节围绕“CNN：局部结构、峰形与空间图像”展开。分析对象是谱图、图像、分子图和序列，核心不是罗列名词，而是说明局部连接和权重共享、一维卷积与谱图、二维卷积与图像、池化、步长和感受野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CNN：局部结构、峰形与空间图像”中，技术路线遵循“让网络归纳偏置与数据结构匹配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对同一光谱比较MLP、1D-CNN和Transformer”落实到峰宽/对象尺度与卷积核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7.3.1 局部连接和权重共享</w:t>
      </w:r>
    </w:p>
    <w:p>
      <w:r>
        <w:t>就“局部连接和权重共享”而言，在“CNN：局部结构、峰形与空间图像”中，局部连接和权重共享具体限定了谱图、图像、分子图和序列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局部连接和权重共享”用于“CNN：局部结构、峰形与空间图像”时，本书用“对同一光谱比较MLP、1D-CNN和Transformer”检验局部连接和权重共享。实现时遵循“让网络归纳偏置与数据结构匹配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3"/>
      </w:pPr>
      <w:r>
        <w:t>7.3.2 一维卷积与谱图</w:t>
      </w:r>
    </w:p>
    <w:p>
      <w:r>
        <w:t>就“一维卷积与谱图”而言，围绕“一维卷积与谱图”，分子图以原子为节点、化学键为空间关系。消息传递网络在每一层聚合邻居信息并更新节点表示，多层传播扩大感受野。全局池化把节点表示汇总为分子级向量。</w:t>
      </w:r>
    </w:p>
    <w:p>
      <w:r>
        <w:t>把“一维卷积与谱图”用于“CNN：局部结构、峰形与空间图像”时，在“CNN：局部结构、峰形与空间图像”的语境下，二维图不能完整表达构象和空间相互作用。使用距离、角度或等变网络可以处理三维几何；SE(3)等变性要求模型输出随旋转和平移按物理规律变化。构象生成、温度和质子化态仍是输入不确定性的来源。最终报告需要给出适用范围和拒绝条件，使方法在证据不足时能够停止输出。</w:t>
      </w:r>
    </w:p>
    <w:p>
      <w:pPr>
        <w:pStyle w:val="3"/>
      </w:pPr>
      <w:r>
        <w:t>7.3.3 二维卷积与图像</w:t>
      </w:r>
    </w:p>
    <w:p>
      <w:r>
        <w:t>就“二维卷积与图像”而言，围绕“二维卷积与图像”，分子图以原子为节点、化学键为空间关系。消息传递网络在每一层聚合邻居信息并更新节点表示，多层传播扩大感受野。全局池化把节点表示汇总为分子级向量。</w:t>
      </w:r>
    </w:p>
    <w:p>
      <w:r>
        <w:t>把“二维卷积与图像”用于“CNN：局部结构、峰形与空间图像”时，在“CNN：局部结构、峰形与空间图像”的语境下，二维图不能完整表达构象和空间相互作用。使用距离、角度或等变网络可以处理三维几何；SE(3)等变性要求模型输出随旋转和平移按物理规律变化。构象生成、温度和质子化态仍是输入不确定性的来源。教学上应把该概念落实为可观察变量、可运行程序和可反驳检验三层。</w:t>
      </w:r>
    </w:p>
    <w:p>
      <w:pPr>
        <w:pStyle w:val="3"/>
      </w:pPr>
      <w:r>
        <w:t>7.3.4 池化、步长和感受野</w:t>
      </w:r>
    </w:p>
    <w:p>
      <w:r>
        <w:t>就“池化、步长和感受野”而言，围绕“池化、步长和感受野”，神经元先计算仿射变换Wx+b，再通过非线性激活构造层级表示。反向传播利用链式法则计算损失对每个参数的梯度，优化器据此更新参数。训练损失下降只说明模型更符合训练目标，不保证科学任务被正确表达。</w:t>
      </w:r>
    </w:p>
    <w:p>
      <w:r>
        <w:t>把“池化、步长和感受野”用于“CNN：局部结构、峰形与空间图像”时，在“CNN：局部结构、峰形与空间图像”的语境下，卷积通过局部连接和权重共享利用相邻变量的结构。一维卷积适合谱图和色谱，二维卷积适合图像。卷积核宽度、层数和步长共同决定感受野，必须与峰宽、空间分辨率或对象尺度匹配。在真实项目中，还应保存参数、软件版本和输入校验结果，以便定位变化来自样品还是计算。</w:t>
      </w:r>
    </w:p>
    <w:p>
      <w:pPr>
        <w:pStyle w:val="3"/>
      </w:pPr>
      <w:r>
        <w:t>7.3.5 峰宽/对象尺度与卷积核</w:t>
      </w:r>
    </w:p>
    <w:p>
      <w:r>
        <w:t>就“峰宽/对象尺度与卷积核”而言，围绕“峰宽/对象尺度与卷积核”，神经元先计算仿射变换Wx+b，再通过非线性激活构造层级表示。反向传播利用链式法则计算损失对每个参数的梯度，优化器据此更新参数。训练损失下降只说明模型更符合训练目标，不保证科学任务被正确表达。</w:t>
      </w:r>
    </w:p>
    <w:p>
      <w:r>
        <w:t>把“峰宽/对象尺度与卷积核”用于“CNN：局部结构、峰形与空间图像”时，在“CNN：局部结构、峰形与空间图像”的语境下，卷积通过局部连接和权重共享利用相邻变量的结构。一维卷积适合谱图和色谱，二维卷积适合图像。卷积核宽度、层数和步长共同决定感受野，必须与峰宽、空间分辨率或对象尺度匹配。若该步骤改变了样品单位、统计独立性或物理峰形，必须在独立数据上重新证明其有效性。</w:t>
      </w:r>
    </w:p>
    <w:p>
      <w:pPr>
        <w:pStyle w:val="2"/>
      </w:pPr>
      <w:r>
        <w:t>7.4 RNN：序列、时间与分子字符串</w:t>
      </w:r>
    </w:p>
    <w:p>
      <w:r>
        <w:t>本节围绕“RNN：序列、时间与分子字符串”展开。分析对象是谱图、图像、分子图和序列，核心不是罗列名词，而是说明序列、时间和隐状态、RNN、LSTM和GRU、SMILES和生物序列、仪器时间序列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RNN：序列、时间与分子字符串”中，技术路线遵循“让网络归纳偏置与数据结构匹配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对同一光谱比较MLP、1D-CNN和Transformer”落实到长程依赖与并行效率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7.4.1 序列、时间和隐状态</w:t>
      </w:r>
    </w:p>
    <w:p>
      <w:r>
        <w:t>就“序列、时间和隐状态”而言，序列、时间和隐状态要求测量时间尺度快于被研究过程的关键变化。采样、传质、仪器响应和数据处理都可能造成时间延迟；若响应时间与反应时间相当，记录到的曲线是系统动力学与仪器核的卷积。</w:t>
      </w:r>
    </w:p>
    <w:p>
      <w:r>
        <w:t>把“序列、时间和隐状态”用于“RNN：序列、时间与分子字符串”时，建模时应保存真实时间戳、同步误差和操作事件，避免把等间隔文件序号当作真实时间。对于在线控制，还要区分毫秒级设备反馈与分钟级科学决策，并用状态估计处理不可直接观察的化学状态。读图或读指标时应返回原始数据抽查，避免把表示空间中的几何关系直接当成化学机制。</w:t>
      </w:r>
    </w:p>
    <w:p>
      <w:pPr>
        <w:pStyle w:val="3"/>
      </w:pPr>
      <w:r>
        <w:t>7.4.2 RNN、LSTM和GRU</w:t>
      </w:r>
    </w:p>
    <w:p>
      <w:r>
        <w:t>就“RNN、LSTM和GRU”而言，在“RNN：序列、时间与分子字符串”中，RNN、LSTM和GRU具体限定了谱图、图像、分子图和序列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RNN、LSTM和GRU”用于“RNN：序列、时间与分子字符串”时，本书用“对同一光谱比较MLP、1D-CNN和Transformer”检验RNN、LSTM和GRU。实现时遵循“让网络归纳偏置与数据结构匹配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3"/>
      </w:pPr>
      <w:r>
        <w:t>7.4.3 SMILES和生物序列</w:t>
      </w:r>
    </w:p>
    <w:p>
      <w:r>
        <w:t>就“SMILES和生物序列”而言，在“RNN：序列、时间与分子字符串”中，SMILES和生物序列具体限定了谱图、图像、分子图和序列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SMILES和生物序列”用于“RNN：序列、时间与分子字符串”时，本书用“对同一光谱比较MLP、1D-CNN和Transformer”检验SMILES和生物序列。实现时遵循“让网络归纳偏置与数据结构匹配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7.4.4 仪器时间序列</w:t>
      </w:r>
    </w:p>
    <w:p>
      <w:r>
        <w:t>就“仪器时间序列”而言，仪器时间序列要求测量时间尺度快于被研究过程的关键变化。采样、传质、仪器响应和数据处理都可能造成时间延迟；若响应时间与反应时间相当，记录到的曲线是系统动力学与仪器核的卷积。</w:t>
      </w:r>
    </w:p>
    <w:p>
      <w:r>
        <w:t>把“仪器时间序列”用于“RNN：序列、时间与分子字符串”时，建模时应保存真实时间戳、同步误差和操作事件，避免把等间隔文件序号当作真实时间。对于在线控制，还要区分毫秒级设备反馈与分钟级科学决策，并用状态估计处理不可直接观察的化学状态。在真实项目中，还应保存参数、软件版本和输入校验结果，以便定位变化来自样品还是计算。</w:t>
      </w:r>
    </w:p>
    <w:p>
      <w:pPr>
        <w:pStyle w:val="3"/>
      </w:pPr>
      <w:r>
        <w:t>7.4.5 长程依赖与并行效率</w:t>
      </w:r>
    </w:p>
    <w:p>
      <w:r>
        <w:t>就“长程依赖与并行效率”而言，在“RNN：序列、时间与分子字符串”中，长程依赖与并行效率具体限定了谱图、图像、分子图和序列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长程依赖与并行效率”用于“RNN：序列、时间与分子字符串”时，本书用“对同一光谱比较MLP、1D-CNN和Transformer”检验长程依赖与并行效率。实现时遵循“让网络归纳偏置与数据结构匹配”，先建立经典基线，再对参数敏感性、独立样品和失败对象进行检查。若结果只能在同批数据或单次划分中成立，应把它视为探索性现象而非稳定规律。若该步骤改变了样品单位、统计独立性或物理峰形，必须在独立数据上重新证明其有效性。</w:t>
      </w:r>
    </w:p>
    <w:p>
      <w:pPr>
        <w:pStyle w:val="2"/>
      </w:pPr>
      <w:r>
        <w:t>7.5 GNN：节点、边、消息传递与几何</w:t>
      </w:r>
    </w:p>
    <w:p>
      <w:r>
        <w:t>本节围绕“GNN：节点、边、消息传递与几何”展开。分析对象是谱图、图像、分子图和序列，核心不是罗列名词，而是说明图卷积和消息传递、节点、边和图级任务、分子性质与反应建模、几何图网络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GNN：节点、边、消息传递与几何”中，技术路线遵循“让网络归纳偏置与数据结构匹配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对同一光谱比较MLP、1D-CNN和Transformer”落实到GNN解释与边界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7.5.1 图卷积和消息传递</w:t>
      </w:r>
    </w:p>
    <w:p>
      <w:r>
        <w:t>就“图卷积和消息传递”而言，围绕“图卷积和消息传递”，分子图以原子为节点、化学键为空间关系。消息传递网络在每一层聚合邻居信息并更新节点表示，多层传播扩大感受野。全局池化把节点表示汇总为分子级向量。</w:t>
      </w:r>
    </w:p>
    <w:p>
      <w:r>
        <w:t>把“图卷积和消息传递”用于“GNN：节点、边、消息传递与几何”时，在“GNN：节点、边、消息传递与几何”的语境下，二维图不能完整表达构象和空间相互作用。使用距离、角度或等变网络可以处理三维几何；SE(3)等变性要求模型输出随旋转和平移按物理规律变化。构象生成、温度和质子化态仍是输入不确定性的来源。读图或读指标时应返回原始数据抽查，避免把表示空间中的几何关系直接当成化学机制。</w:t>
      </w:r>
    </w:p>
    <w:p>
      <w:pPr>
        <w:pStyle w:val="3"/>
      </w:pPr>
      <w:r>
        <w:t>7.5.2 节点、边和图级任务</w:t>
      </w:r>
    </w:p>
    <w:p>
      <w:r>
        <w:t>就“节点、边和图级任务”而言，围绕“节点、边和图级任务”，分子图以原子为节点、化学键为空间关系。消息传递网络在每一层聚合邻居信息并更新节点表示，多层传播扩大感受野。全局池化把节点表示汇总为分子级向量。</w:t>
      </w:r>
    </w:p>
    <w:p>
      <w:r>
        <w:t>把“节点、边和图级任务”用于“GNN：节点、边、消息传递与几何”时，在“GNN：节点、边、消息传递与几何”的语境下，二维图不能完整表达构象和空间相互作用。使用距离、角度或等变网络可以处理三维几何；SE(3)等变性要求模型输出随旋转和平移按物理规律变化。构象生成、温度和质子化态仍是输入不确定性的来源。最终报告需要给出适用范围和拒绝条件，使方法在证据不足时能够停止输出。</w:t>
      </w:r>
    </w:p>
    <w:p>
      <w:pPr>
        <w:pStyle w:val="3"/>
      </w:pPr>
      <w:r>
        <w:t>7.5.3 分子性质与反应建模</w:t>
      </w:r>
    </w:p>
    <w:p>
      <w:r>
        <w:t>就“分子性质与反应建模”而言，在“GNN：节点、边、消息传递与几何”中，分子性质与反应建模具体限定了谱图、图像、分子图和序列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分子性质与反应建模”用于“GNN：节点、边、消息传递与几何”时，本书用“对同一光谱比较MLP、1D-CNN和Transformer”检验分子性质与反应建模。实现时遵循“让网络归纳偏置与数据结构匹配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7.5.4 几何图网络</w:t>
      </w:r>
    </w:p>
    <w:p>
      <w:r>
        <w:t>就“几何图网络”而言，围绕“几何图网络”，分子图以原子为节点、化学键为空间关系。消息传递网络在每一层聚合邻居信息并更新节点表示，多层传播扩大感受野。全局池化把节点表示汇总为分子级向量。</w:t>
      </w:r>
    </w:p>
    <w:p>
      <w:r>
        <w:t>把“几何图网络”用于“GNN：节点、边、消息传递与几何”时，在“GNN：节点、边、消息传递与几何”的语境下，二维图不能完整表达构象和空间相互作用。使用距离、角度或等变网络可以处理三维几何；SE(3)等变性要求模型输出随旋转和平移按物理规律变化。构象生成、温度和质子化态仍是输入不确定性的来源。在真实项目中，还应保存参数、软件版本和输入校验结果，以便定位变化来自样品还是计算。</w:t>
      </w:r>
    </w:p>
    <w:p>
      <w:pPr>
        <w:pStyle w:val="3"/>
      </w:pPr>
      <w:r>
        <w:t>7.5.5 GNN解释与边界</w:t>
      </w:r>
    </w:p>
    <w:p>
      <w:r>
        <w:t>就“GNN解释与边界”而言，在“GNN：节点、边、消息传递与几何”中，GNN解释与边界具体限定了谱图、图像、分子图和序列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GNN解释与边界”用于“GNN：节点、边、消息传递与几何”时，本书用“对同一光谱比较MLP、1D-CNN和Transformer”检验GNN解释与边界。实现时遵循“让网络归纳偏置与数据结构匹配”，先建立经典基线，再对参数敏感性、独立样品和失败对象进行检查。若结果只能在同批数据或单次划分中成立，应把它视为探索性现象而非稳定规律。若该步骤改变了样品单位、统计独立性或物理峰形，必须在独立数据上重新证明其有效性。</w:t>
      </w:r>
    </w:p>
    <w:p>
      <w:pPr>
        <w:pStyle w:val="2"/>
      </w:pPr>
      <w:r>
        <w:t>7.6 Transformer：注意力、位置与长程关系</w:t>
      </w:r>
    </w:p>
    <w:p>
      <w:r>
        <w:t>本节围绕“Transformer：注意力、位置与长程关系”展开。分析对象是谱图、图像、分子图和序列，核心不是罗列名词，而是说明Query、Key和Value、缩放点积注意力、位置编码和轴信息、编码器、解码器与掩码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Transformer：注意力、位置与长程关系”中，技术路线遵循“让网络归纳偏置与数据结构匹配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对同一光谱比较MLP、1D-CNN和Transformer”落实到光谱/分子/多模态Transformer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7.6.1 Query、Key和Value</w:t>
      </w:r>
    </w:p>
    <w:p>
      <w:r>
        <w:t>就“Query、Key和Value”而言，在“Transformer：注意力、位置与长程关系”中，Query、Key和Value具体限定了谱图、图像、分子图和序列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Query、Key和Value”用于“Transformer：注意力、位置与长程关系”时，本书用“对同一光谱比较MLP、1D-CNN和Transformer”检验Query、Key和Value。实现时遵循“让网络归纳偏置与数据结构匹配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3"/>
      </w:pPr>
      <w:r>
        <w:t>7.6.2 缩放点积注意力</w:t>
      </w:r>
    </w:p>
    <w:p>
      <w:r>
        <w:t>就“缩放点积注意力”而言，在“Transformer：注意力、位置与长程关系”中，缩放点积注意力具体限定了谱图、图像、分子图和序列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缩放点积注意力”用于“Transformer：注意力、位置与长程关系”时，本书用“对同一光谱比较MLP、1D-CNN和Transformer”检验缩放点积注意力。实现时遵循“让网络归纳偏置与数据结构匹配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3"/>
      </w:pPr>
      <w:r>
        <w:t>7.6.3 位置编码和轴信息</w:t>
      </w:r>
    </w:p>
    <w:p>
      <w:r>
        <w:t>就“位置编码和轴信息”而言，在“Transformer：注意力、位置与长程关系”中，位置编码和轴信息具体限定了谱图、图像、分子图和序列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位置编码和轴信息”用于“Transformer：注意力、位置与长程关系”时，本书用“对同一光谱比较MLP、1D-CNN和Transformer”检验位置编码和轴信息。实现时遵循“让网络归纳偏置与数据结构匹配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7.6.4 编码器、解码器与掩码</w:t>
      </w:r>
    </w:p>
    <w:p>
      <w:r>
        <w:t>就“编码器、解码器与掩码”而言，在“Transformer：注意力、位置与长程关系”中，编码器、解码器与掩码具体限定了谱图、图像、分子图和序列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编码器、解码器与掩码”用于“Transformer：注意力、位置与长程关系”时，本书用“对同一光谱比较MLP、1D-CNN和Transformer”检验编码器、解码器与掩码。实现时遵循“让网络归纳偏置与数据结构匹配”，先建立经典基线，再对参数敏感性、独立样品和失败对象进行检查。若结果只能在同批数据或单次划分中成立，应把它视为探索性现象而非稳定规律。在真实项目中，还应保存参数、软件版本和输入校验结果，以便定位变化来自样品还是计算。</w:t>
      </w:r>
    </w:p>
    <w:p>
      <w:pPr>
        <w:pStyle w:val="3"/>
      </w:pPr>
      <w:r>
        <w:t>7.6.5 光谱/分子/多模态Transformer</w:t>
      </w:r>
    </w:p>
    <w:p>
      <w:r>
        <w:t>就“光谱/分子/多模态Transformer”而言，围绕“光谱/分子/多模态Transformer”，缩放点积注意力用QKᵀ/√d计算元素之间的相关分数，经softmax归一化后加权V。查询表示当前元素需要什么信息，键表示其他元素提供什么索引，值表示实际被汇聚的内容。缩放因子防止维度增大后分数过大。</w:t>
      </w:r>
    </w:p>
    <w:p>
      <w:r>
        <w:t>把“光谱/分子/多模态Transformer”用于“Transformer：注意力、位置与长程关系”时，在“Transformer：注意力、位置与长程关系”的语境下，Transformer没有天然顺序概念，必须通过位置编码或结构偏置加入谱轴、序列或实验步骤信息。注意力权重可用于检查模型依赖，但不能直接等同于因果解释；遮挡、反事实和独立实验仍然必要。若该步骤改变了样品单位、统计独立性或物理峰形，必须在独立数据上重新证明其有效性。</w:t>
      </w:r>
    </w:p>
    <w:p>
      <w:pPr>
        <w:pStyle w:val="2"/>
      </w:pPr>
      <w:r>
        <w:t>7.7 自监督、迁移学习与小样本适配</w:t>
      </w:r>
    </w:p>
    <w:p>
      <w:r>
        <w:t>本节围绕“自监督、迁移学习与小样本适配”展开。分析对象是谱图、图像、分子图和序列，核心不是罗列名词，而是说明预文本任务与数据构造、掩码建模和对比学习、迁移学习和微调、Adapter、LoRA和参数高效适配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自监督、迁移学习与小样本适配”中，技术路线遵循“让网络归纳偏置与数据结构匹配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对同一光谱比较MLP、1D-CNN和Transformer”落实到小样本与域偏移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7.7.1 预文本任务与数据构造</w:t>
      </w:r>
    </w:p>
    <w:p>
      <w:r>
        <w:t>就“预文本任务与数据构造”而言，预文本任务与数据构造决定数字能否被重新解释。仅保存强度矩阵会丢失坐标轴、单位、采样间隔、样品身份、仪器参数和校准状态；这些信息一旦脱离原始信号，后续很难判断变化来自化学对象还是采集条件。</w:t>
      </w:r>
    </w:p>
    <w:p>
      <w:r>
        <w:t>把“预文本任务与数据构造”用于“自监督、迁移学习与小样本适配”时，推荐把原始文件设为只读，以持久样品标识连接实验表和信号文件，并为每次转换记录脚本版本、参数和校验码。单位转换、重采样与轴反向属于会改变数值含义的操作，必须在数据进入模型前自动检查。读图或读指标时应返回原始数据抽查，避免把表示空间中的几何关系直接当成化学机制。</w:t>
      </w:r>
    </w:p>
    <w:p>
      <w:pPr>
        <w:pStyle w:val="3"/>
      </w:pPr>
      <w:r>
        <w:t>7.7.2 掩码建模和对比学习</w:t>
      </w:r>
    </w:p>
    <w:p>
      <w:r>
        <w:t>就“掩码建模和对比学习”而言，围绕“掩码建模和对比学习”，多模态学习把结构、谱图、图像、文本和实验条件作为互补观测。早期融合在输入或浅层表示处拼接，要求严格对齐；晚期融合组合独立模型输出，更容易处理缺失模态；联合表示学习则直接优化跨模态对应关系。</w:t>
      </w:r>
    </w:p>
    <w:p>
      <w:r>
        <w:t>把“掩码建模和对比学习”用于“自监督、迁移学习与小样本适配”时，在“自监督、迁移学习与小样本适配”的语境下，对比学习拉近匹配样本的表示并推远不匹配样本。负样本若包含实际相似或同一对象的不同观测，会向模型提供错误监督。评价除下游性能外，还应检查检索、缺失模态稳健性和批次独立性。最终报告需要给出适用范围和拒绝条件，使方法在证据不足时能够停止输出。</w:t>
      </w:r>
    </w:p>
    <w:p>
      <w:pPr>
        <w:pStyle w:val="3"/>
      </w:pPr>
      <w:r>
        <w:t>7.7.3 迁移学习和微调</w:t>
      </w:r>
    </w:p>
    <w:p>
      <w:r>
        <w:t>就“迁移学习和微调”而言，在“自监督、迁移学习与小样本适配”中，迁移学习和微调具体限定了谱图、图像、分子图和序列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迁移学习和微调”用于“自监督、迁移学习与小样本适配”时，本书用“对同一光谱比较MLP、1D-CNN和Transformer”检验迁移学习和微调。实现时遵循“让网络归纳偏置与数据结构匹配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7.7.4 Adapter、LoRA和参数高效适配</w:t>
      </w:r>
    </w:p>
    <w:p>
      <w:r>
        <w:t>就“Adapter、LoRA和参数高效适配”而言，在“自监督、迁移学习与小样本适配”中，Adapter、LoRA和参数高效适配具体限定了谱图、图像、分子图和序列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Adapter、LoRA和参数高效适配”用于“自监督、迁移学习与小样本适配”时，本书用“对同一光谱比较MLP、1D-CNN和Transformer”检验Adapter、LoRA和参数高效适配。实现时遵循“让网络归纳偏置与数据结构匹配”，先建立经典基线，再对参数敏感性、独立样品和失败对象进行检查。若结果只能在同批数据或单次划分中成立，应把它视为探索性现象而非稳定规律。在真实项目中，还应保存参数、软件版本和输入校验结果，以便定位变化来自样品还是计算。</w:t>
      </w:r>
    </w:p>
    <w:p>
      <w:pPr>
        <w:pStyle w:val="3"/>
      </w:pPr>
      <w:r>
        <w:t>7.7.5 小样本与域偏移</w:t>
      </w:r>
    </w:p>
    <w:p>
      <w:r>
        <w:t>就“小样本与域偏移”而言，围绕“小样本与域偏移”，直接标准化学习从从仪器到主仪器的线性映射，使同一标准样品在两个设备上的响应可比较。PDS在局部变量窗口内学习映射，更适合波长相关的差异。传递样品必须覆盖未来样品空间。</w:t>
      </w:r>
    </w:p>
    <w:p>
      <w:r>
        <w:t>把“小样本与域偏移”用于“自监督、迁移学习与小样本适配”时，在“自监督、迁移学习与小样本适配”的语境下，域适应处理训练域与部署域分布不同的问题。MMD比较两个分布在核特征空间中的均值差异，但减小分布距离不保证目标关系保持不变。迁移后必须用独立目标域样品检验定量偏差和失效区域。若该步骤改变了样品单位、统计独立性或物理峰形，必须在独立数据上重新证明其有效性。</w:t>
      </w:r>
    </w:p>
    <w:p>
      <w:pPr>
        <w:pStyle w:val="2"/>
      </w:pPr>
      <w:r>
        <w:t>7.8 化学基础模型的能力、成本和边界</w:t>
      </w:r>
    </w:p>
    <w:p>
      <w:r>
        <w:t>本节围绕“化学基础模型的能力、成本和边界”展开。分析对象是谱图、图像、分子图和序列，核心不是罗列名词，而是说明分子、谱学、图像和生物基础模型、统一表示与任务头、规模、数据质量和计算成本、基准、外推和能力边界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化学基础模型的能力、成本和边界”中，技术路线遵循“让网络归纳偏置与数据结构匹配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对同一光谱比较MLP、1D-CNN和Transformer”落实到基准、外推和能力边界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7.8.1 分子、谱学、图像和生物基础模型</w:t>
      </w:r>
    </w:p>
    <w:p>
      <w:r>
        <w:t>就“分子、谱学、图像和生物基础模型”而言，围绕“分子、谱学、图像和生物基础模型”，分子图以原子为节点、化学键为空间关系。消息传递网络在每一层聚合邻居信息并更新节点表示，多层传播扩大感受野。全局池化把节点表示汇总为分子级向量。</w:t>
      </w:r>
    </w:p>
    <w:p>
      <w:r>
        <w:t>把“分子、谱学、图像和生物基础模型”用于“化学基础模型的能力、成本和边界”时，在“化学基础模型的能力、成本和边界”的语境下，二维图不能完整表达构象和空间相互作用。使用距离、角度或等变网络可以处理三维几何；SE(3)等变性要求模型输出随旋转和平移按物理规律变化。构象生成、温度和质子化态仍是输入不确定性的来源。读图或读指标时应返回原始数据抽查，避免把表示空间中的几何关系直接当成化学机制。</w:t>
      </w:r>
    </w:p>
    <w:p>
      <w:pPr>
        <w:pStyle w:val="3"/>
      </w:pPr>
      <w:r>
        <w:t>7.8.2 统一表示与任务头</w:t>
      </w:r>
    </w:p>
    <w:p>
      <w:r>
        <w:t>就“统一表示与任务头”而言，在“化学基础模型的能力、成本和边界”中，统一表示与任务头具体限定了谱图、图像、分子图和序列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统一表示与任务头”用于“化学基础模型的能力、成本和边界”时，本书用“对同一光谱比较MLP、1D-CNN和Transformer”检验统一表示与任务头。实现时遵循“让网络归纳偏置与数据结构匹配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3"/>
      </w:pPr>
      <w:r>
        <w:t>7.8.3 规模、数据质量和计算成本</w:t>
      </w:r>
    </w:p>
    <w:p>
      <w:r>
        <w:t>就“规模、数据质量和计算成本”而言，规模、数据质量和计算成本决定数字能否被重新解释。仅保存强度矩阵会丢失坐标轴、单位、采样间隔、样品身份、仪器参数和校准状态；这些信息一旦脱离原始信号，后续很难判断变化来自化学对象还是采集条件。</w:t>
      </w:r>
    </w:p>
    <w:p>
      <w:r>
        <w:t>把“规模、数据质量和计算成本”用于“化学基础模型的能力、成本和边界”时，推荐把原始文件设为只读，以持久样品标识连接实验表和信号文件，并为每次转换记录脚本版本、参数和校验码。单位转换、重采样与轴反向属于会改变数值含义的操作，必须在数据进入模型前自动检查。教学上应把该概念落实为可观察变量、可运行程序和可反驳检验三层。</w:t>
      </w:r>
    </w:p>
    <w:p>
      <w:pPr>
        <w:pStyle w:val="3"/>
      </w:pPr>
      <w:r>
        <w:t>7.8.4 基准、外推和能力边界</w:t>
      </w:r>
    </w:p>
    <w:p>
      <w:r>
        <w:t>就“基准、外推和能力边界”而言，在“化学基础模型的能力、成本和边界”中，基准、外推和能力边界具体限定了谱图、图像、分子图和序列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基准、外推和能力边界”用于“化学基础模型的能力、成本和边界”时，本书用“对同一光谱比较MLP、1D-CNN和Transformer”检验基准、外推和能力边界。实现时遵循“让网络归纳偏置与数据结构匹配”，先建立经典基线，再对参数敏感性、独立样品和失败对象进行检查。若结果只能在同批数据或单次划分中成立，应把它视为探索性现象而非稳定规律。在真实项目中，还应保存参数、软件版本和输入校验结果，以便定位变化来自样品还是计算。</w:t>
      </w:r>
    </w:p>
    <w:p>
      <w:pPr>
        <w:pStyle w:val="2"/>
      </w:pPr>
      <w:r>
        <w:t>关键关系与计算抓手</w:t>
      </w:r>
    </w:p>
    <w:p>
      <w:pPr>
        <w:ind w:firstLine="0"/>
      </w:pPr>
      <w:r>
        <w:rPr>
          <w:b/>
          <w:color w:val="345A8A"/>
        </w:rPr>
        <w:t>（1）h=σ(Wx+b)</w:t>
      </w:r>
    </w:p>
    <w:p>
      <w:pPr>
        <w:ind w:firstLine="0"/>
      </w:pPr>
      <w:r>
        <w:rPr>
          <w:b/>
          <w:color w:val="345A8A"/>
        </w:rPr>
        <w:t>（2）Attention(Q,K,V)=softmax(QKᵀ/√d)V</w:t>
      </w:r>
    </w:p>
    <w:p>
      <w:pPr>
        <w:pStyle w:val="2"/>
      </w:pPr>
      <w:r>
        <w:t>本章综合案例</w:t>
      </w:r>
    </w:p>
    <w:p>
      <w:r>
        <w:t>本章案例为“对同一光谱比较MLP、1D-CNN和Transformer”。先冻结问题、样品单位、测量协议和独立测试边界，再建立可诊断的经典基线。新增模型组件必须解决已识别的误差来源，并通过相同测试集、消融和失败样本分析证明价值。</w:t>
      </w:r>
    </w:p>
    <w:p>
      <w:r>
        <w:t>案例交付物包括问题卡、数据字典、运行日志、关键图表、错误对象和可执行代码。模型给出的结构、机制或实验建议属于待验证假设，需由互补测量或后续干预确认。</w:t>
      </w:r>
    </w:p>
    <w:p>
      <w:pPr>
        <w:pStyle w:val="2"/>
      </w:pPr>
      <w:r>
        <w:t>代码实践</w:t>
      </w:r>
    </w:p>
    <w:p>
      <w:r>
        <w:t>用NumPy实现两层网络和缩放点积注意力，并比较MLP、1D-CNN思路。</w:t>
      </w:r>
    </w:p>
    <w:p>
      <w:pPr>
        <w:pStyle w:val="CodeBlock"/>
        <w:spacing w:after="0"/>
        <w:ind w:firstLine="0"/>
      </w:pPr>
      <w:r>
        <w:t>"""第7章代码练习：神经网络、Transformer、GNN与基础模型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任务：用NumPy实现两层网络和缩放点积注意力，并比较MLP、1D-CNN思路。</w:t>
      </w:r>
    </w:p>
    <w:p>
      <w:pPr>
        <w:pStyle w:val="CodeBlock"/>
        <w:spacing w:after="0"/>
        <w:ind w:firstLine="0"/>
      </w:pPr>
      <w:r>
        <w:t>运行方式：python chapter_exercise.py</w:t>
      </w:r>
    </w:p>
    <w:p>
      <w:pPr>
        <w:pStyle w:val="CodeBlock"/>
        <w:spacing w:after="0"/>
        <w:ind w:firstLine="0"/>
      </w:pPr>
      <w:r>
        <w:t>所有合成数据仅用于验证接口；换用真实数据时必须保留样品/批次分组。</w:t>
      </w:r>
    </w:p>
    <w:p>
      <w:pPr>
        <w:pStyle w:val="CodeBlock"/>
        <w:spacing w:after="0"/>
        <w:ind w:firstLine="0"/>
      </w:pPr>
      <w:r>
        <w:t>"""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import numpy as np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rng = np.random.default_rng(42)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Q=rng.normal(size=(16,32))</w:t>
      </w:r>
    </w:p>
    <w:p>
      <w:pPr>
        <w:pStyle w:val="CodeBlock"/>
        <w:spacing w:after="0"/>
        <w:ind w:firstLine="0"/>
      </w:pPr>
      <w:r>
        <w:t>K=rng.normal(size=(16,32))</w:t>
      </w:r>
    </w:p>
    <w:p>
      <w:pPr>
        <w:pStyle w:val="CodeBlock"/>
        <w:spacing w:after="0"/>
        <w:ind w:firstLine="0"/>
      </w:pPr>
      <w:r>
        <w:t>V=rng.normal(size=(16,24))</w:t>
      </w:r>
    </w:p>
    <w:p>
      <w:pPr>
        <w:pStyle w:val="CodeBlock"/>
        <w:spacing w:after="0"/>
        <w:ind w:firstLine="0"/>
      </w:pPr>
      <w:r>
        <w:t>scores=Q@K.T/np.sqrt(Q.shape[-1])</w:t>
      </w:r>
    </w:p>
    <w:p>
      <w:pPr>
        <w:pStyle w:val="CodeBlock"/>
        <w:spacing w:after="0"/>
        <w:ind w:firstLine="0"/>
      </w:pPr>
      <w:r>
        <w:t>A=np.exp(scores-scores.max(1,keepdims=True))</w:t>
      </w:r>
    </w:p>
    <w:p>
      <w:pPr>
        <w:pStyle w:val="CodeBlock"/>
        <w:spacing w:after="0"/>
        <w:ind w:firstLine="0"/>
      </w:pPr>
      <w:r>
        <w:t>A/=A.sum(1,keepdims=True)</w:t>
      </w:r>
    </w:p>
    <w:p>
      <w:pPr>
        <w:pStyle w:val="CodeBlock"/>
        <w:spacing w:after="0"/>
        <w:ind w:firstLine="0"/>
      </w:pPr>
      <w:r>
        <w:t>context=A@V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# TODO 1: 用课程或开放数据替换合成输入，明确对象为同一批一维光谱及其标签或连续参照值。</w:t>
      </w:r>
    </w:p>
    <w:p>
      <w:pPr>
        <w:pStyle w:val="CodeBlock"/>
        <w:spacing w:after="0"/>
        <w:ind w:firstLine="0"/>
      </w:pPr>
      <w:r>
        <w:t># TODO 2: 实现固定外部批次并在训练内选择网络结构，并与随机划分或默认流程对照。</w:t>
      </w:r>
    </w:p>
    <w:p>
      <w:pPr>
        <w:pStyle w:val="CodeBlock"/>
        <w:spacing w:after="0"/>
        <w:ind w:firstLine="0"/>
      </w:pPr>
      <w:r>
        <w:t># TODO 3: 输出比较局部峰、长程相关、参数量与种子波动，据此判断能否判断CNN、Transformer或GNN的结构偏置是否匹配数据。</w:t>
      </w:r>
    </w:p>
    <w:p>
      <w:pPr>
        <w:pStyle w:val="2"/>
      </w:pPr>
      <w:r>
        <w:t>【本章小结】</w:t>
      </w:r>
    </w:p>
    <w:p>
      <w:r>
        <w:t>本章以谱图、图像、分子图和序列为对象，把测量原理、数据表示、模型计算和分析决策连成完整链条。掌握本章的标准，不是记住模型名称，而是能够说明数据如何生成、结论怎样验证、方法在哪些条件下失效。</w:t>
      </w:r>
    </w:p>
    <w:p>
      <w:pPr>
        <w:pStyle w:val="2"/>
      </w:pPr>
      <w:r>
        <w:t>【思考题与计算题】</w:t>
      </w:r>
    </w:p>
    <w:p>
      <w:pPr>
        <w:ind w:firstLine="0"/>
      </w:pPr>
      <w:r>
        <w:t>1. 为“对同一光谱比较MLP、1D-CNN和Transformer”画出测量链并标出三处可能失真位置。</w:t>
      </w:r>
    </w:p>
    <w:p>
      <w:pPr>
        <w:ind w:firstLine="0"/>
      </w:pPr>
      <w:r>
        <w:t>2. 选择一个核心方法，写出输入、输出、参数、假设和两个失效条件。</w:t>
      </w:r>
    </w:p>
    <w:p>
      <w:pPr>
        <w:ind w:firstLine="0"/>
      </w:pPr>
      <w:r>
        <w:t>3. 建立经典基线，给出复杂模型必须超过的独立评价门槛。</w:t>
      </w:r>
    </w:p>
    <w:p>
      <w:pPr>
        <w:ind w:firstLine="0"/>
      </w:pPr>
      <w:r>
        <w:t>4. 设计符合未来使用条件的分组或外推划分，并与随机划分比较。</w:t>
      </w:r>
    </w:p>
    <w:p>
      <w:pPr>
        <w:ind w:firstLine="0"/>
      </w:pPr>
      <w:r>
        <w:t>5. 完成配套代码，增加一个单元测试和一个失败样本可视化。</w:t>
      </w:r>
    </w:p>
    <w:p>
      <w:pPr>
        <w:ind w:firstLine="0"/>
      </w:pPr>
      <w:r>
        <w:t>6. 设计能区分化学信息与批次捷径的对照实验。</w:t>
      </w:r>
    </w:p>
    <w:sectPr w:rsidR="00DF2813">
      <w:headerReference w:type="default" r:id="rId9"/>
      <w:footerReference w:type="default" r:id="rId10"/>
      <w:pgSz w:w="10488" w:h="14740"/>
      <w:pgMar w:top="1417" w:right="1247" w:bottom="1417" w:left="12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541C9A" w14:textId="77777777" w:rsidR="000B6296" w:rsidRDefault="000B6296">
      <w:pPr>
        <w:spacing w:after="0"/>
      </w:pPr>
      <w:r>
        <w:separator/>
      </w:r>
    </w:p>
  </w:endnote>
  <w:endnote w:type="continuationSeparator" w:id="0">
    <w:p w14:paraId="02E66D36" w14:textId="77777777" w:rsidR="000B6296" w:rsidRDefault="000B62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E3B54" w14:textId="77777777" w:rsidR="00DF2813" w:rsidRDefault="00DF281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AC7C5" w14:textId="486F403A" w:rsidR="00DF2813" w:rsidRDefault="000B6296">
    <w:pPr>
      <w:jc w:val="center"/>
    </w:pPr>
    <w:r/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71DDB" w14:textId="77777777" w:rsidR="000B6296" w:rsidRDefault="000B6296">
      <w:pPr>
        <w:spacing w:after="0"/>
      </w:pPr>
      <w:r>
        <w:separator/>
      </w:r>
    </w:p>
  </w:footnote>
  <w:footnote w:type="continuationSeparator" w:id="0">
    <w:p w14:paraId="10E87919" w14:textId="77777777" w:rsidR="000B6296" w:rsidRDefault="000B629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A9FA5" w14:textId="77777777" w:rsidR="00DF2813" w:rsidRDefault="00DF281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B503F" w14:textId="77777777" w:rsidR="00DF2813" w:rsidRDefault="000B6296">
    <w:pPr>
      <w:jc w:val="center"/>
    </w:pPr>
    <w:r>
      <w:t>智能分析化学 · 第7章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0000A991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2"/>
    <w:multiLevelType w:val="multilevel"/>
    <w:tmpl w:val="00A99412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00A99413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6"/>
    <w:multiLevelType w:val="multilevel"/>
    <w:tmpl w:val="00A99416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7"/>
    <w:multiLevelType w:val="multilevel"/>
    <w:tmpl w:val="00A99417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9"/>
    <w:multiLevelType w:val="multilevel"/>
    <w:tmpl w:val="00A99419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A994110"/>
    <w:multiLevelType w:val="multilevel"/>
    <w:tmpl w:val="0A994110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0A994111"/>
    <w:multiLevelType w:val="multilevel"/>
    <w:tmpl w:val="0A994111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" w15:restartNumberingAfterBreak="0">
    <w:nsid w:val="0A994113"/>
    <w:multiLevelType w:val="multilevel"/>
    <w:tmpl w:val="0A994113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4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5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2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6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0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4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8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5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6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64">
    <w:abstractNumId w:val="9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0">
    <w:abstractNumId w:val="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5">
    <w:abstractNumId w:val="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9">
    <w:abstractNumId w:val="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2813"/>
    <w:rsid w:val="000B6296"/>
    <w:rsid w:val="003208BF"/>
    <w:rsid w:val="00DF2813"/>
    <w:rsid w:val="06A724A7"/>
    <w:rsid w:val="192E7DCB"/>
    <w:rsid w:val="3C4076A1"/>
    <w:rsid w:val="60143417"/>
    <w:rsid w:val="629F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B6579"/>
  <w15:docId w15:val="{205839D2-68C0-46F1-AD46-0C8BD552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footnote reference" w:qFormat="1"/>
    <w:lsdException w:name="Title" w:qFormat="1"/>
    <w:lsdException w:name="Default Paragraph Font" w:semiHidden="1" w:unhideWhenUsed="1"/>
    <w:lsdException w:name="Body Text" w:qFormat="1"/>
    <w:lsdException w:name="Subtitle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20" w:line="324" w:lineRule="auto"/>
      <w:ind w:firstLine="460"/>
    </w:pPr>
    <w:rPr>
      <w:rFonts w:eastAsiaTheme="minorHAnsi" w:ascii="Arial Unicode MS" w:hAnsi="Arial Unicode MS" w:eastAsia="Arial Unicode MS" w:cs="Arial Unicode MS"/>
      <w:sz w:val="23"/>
      <w:szCs w:val="24"/>
      <w:lang w:eastAsia="en-US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/>
      <w:sz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 Unicode MS" w:hAnsi="Arial Unicode MS" w:eastAsia="Arial Unicode MS" w:cs="Arial Unicode MS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 Unicode MS" w:hAnsi="Arial Unicode MS" w:eastAsia="Arial Unicode MS" w:cs="Arial Unicode MS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character" w:default="1" w:styleId="a1">
    <w:name w:val="Default Paragraph Font"/>
    <w:uiPriority w:val="1"/>
    <w:semiHidden/>
    <w:unhideWhenUsed/>
    <w:rPr>
      <w:rFonts w:ascii="Arial Unicode MS" w:hAnsi="Arial Unicode MS" w:eastAsia="Arial Unicode MS" w:cs="Arial Unicode MS"/>
    </w:rPr>
  </w:style>
  <w:style w:type="table" w:default="1" w:styleId="a2">
    <w:name w:val="Normal Table"/>
    <w:uiPriority w:val="99"/>
    <w:semiHidden/>
    <w:unhideWhenUsed/>
    <w:rPr>
      <w:rFonts w:ascii="Arial Unicode MS" w:hAnsi="Arial Unicode MS" w:eastAsia="Arial Unicode MS" w:cs="Arial Unicode M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  <w:rPr>
      <w:rFonts w:ascii="Arial Unicode MS" w:hAnsi="Arial Unicode MS" w:eastAsia="Arial Unicode MS" w:cs="Arial Unicode MS"/>
    </w:rPr>
  </w:style>
  <w:style w:type="paragraph" w:styleId="a5">
    <w:name w:val="caption"/>
    <w:basedOn w:val="a"/>
    <w:pPr>
      <w:spacing w:after="120"/>
    </w:pPr>
    <w:rPr>
      <w:rFonts w:ascii="Arial Unicode MS" w:hAnsi="Arial Unicode MS" w:eastAsia="Arial Unicode MS" w:cs="Arial Unicode MS"/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/>
    </w:pPr>
    <w:rPr>
      <w:rFonts w:ascii="Arial Unicode MS" w:hAnsi="Arial Unicode MS" w:eastAsia="Arial Unicode MS" w:cs="Arial Unicode MS"/>
    </w:rPr>
  </w:style>
  <w:style w:type="paragraph" w:styleId="a7">
    <w:name w:val="Date"/>
    <w:next w:val="a0"/>
    <w:qFormat/>
    <w:pPr>
      <w:keepNext/>
      <w:keepLines/>
      <w:spacing w:after="200"/>
      <w:jc w:val="center"/>
    </w:pPr>
    <w:rPr>
      <w:rFonts w:eastAsiaTheme="minorHAnsi" w:ascii="Arial Unicode MS" w:hAnsi="Arial Unicode MS" w:eastAsia="Arial Unicode MS" w:cs="Arial Unicode MS"/>
      <w:sz w:val="24"/>
      <w:szCs w:val="24"/>
      <w:lang w:eastAsia="en-US"/>
    </w:rPr>
  </w:style>
  <w:style w:type="paragraph" w:styleId="a8">
    <w:name w:val="Subtitle"/>
    <w:basedOn w:val="a9"/>
    <w:next w:val="a0"/>
    <w:qFormat/>
    <w:pPr>
      <w:spacing w:before="240"/>
    </w:pPr>
    <w:rPr>
      <w:rFonts w:ascii="Arial Unicode MS" w:hAnsi="Arial Unicode MS" w:eastAsia="Arial Unicode MS" w:cs="Arial Unicode MS"/>
      <w:sz w:val="30"/>
      <w:szCs w:val="30"/>
    </w:rPr>
  </w:style>
  <w:style w:type="paragraph" w:styleId="a9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345A8A"/>
      <w:sz w:val="36"/>
      <w:szCs w:val="36"/>
    </w:rPr>
  </w:style>
  <w:style w:type="paragraph" w:styleId="aa">
    <w:name w:val="footnote text"/>
    <w:basedOn w:val="a"/>
    <w:uiPriority w:val="9"/>
    <w:unhideWhenUsed/>
    <w:qFormat/>
    <w:rPr>
      <w:rFonts w:ascii="Arial Unicode MS" w:hAnsi="Arial Unicode MS" w:eastAsia="Arial Unicode MS" w:cs="Arial Unicode MS"/>
    </w:rPr>
  </w:style>
  <w:style w:type="character" w:styleId="ab">
    <w:name w:val="Hyperlink"/>
    <w:basedOn w:val="a4"/>
    <w:qFormat/>
    <w:rPr>
      <w:rFonts w:ascii="Arial Unicode MS" w:hAnsi="Arial Unicode MS" w:eastAsia="Arial Unicode MS" w:cs="Arial Unicode MS"/>
      <w:color w:val="4F81BD" w:themeColor="accent1"/>
    </w:rPr>
  </w:style>
  <w:style w:type="character" w:customStyle="1" w:styleId="a4">
    <w:name w:val="正文文本 字符"/>
    <w:basedOn w:val="a1"/>
    <w:link w:val="a0"/>
    <w:qFormat/>
    <w:rPr>
      <w:rFonts w:ascii="Arial Unicode MS" w:hAnsi="Arial Unicode MS" w:eastAsia="Arial Unicode MS" w:cs="Arial Unicode MS"/>
    </w:rPr>
  </w:style>
  <w:style w:type="character" w:styleId="ac">
    <w:name w:val="footnote reference"/>
    <w:basedOn w:val="a4"/>
    <w:qFormat/>
    <w:rPr>
      <w:rFonts w:ascii="Arial Unicode MS" w:hAnsi="Arial Unicode MS" w:eastAsia="Arial Unicode MS" w:cs="Arial Unicode MS"/>
      <w:vertAlign w:val="superscript"/>
    </w:rPr>
  </w:style>
  <w:style w:type="paragraph" w:customStyle="1" w:styleId="FirstParagraph">
    <w:name w:val="First Paragraph"/>
    <w:basedOn w:val="a0"/>
    <w:next w:val="a0"/>
    <w:qFormat/>
    <w:rPr>
      <w:rFonts w:ascii="Arial Unicode MS" w:hAnsi="Arial Unicode MS" w:eastAsia="Arial Unicode MS" w:cs="Arial Unicode MS"/>
    </w:rPr>
  </w:style>
  <w:style w:type="paragraph" w:customStyle="1" w:styleId="Compact">
    <w:name w:val="Compact"/>
    <w:basedOn w:val="a0"/>
    <w:qFormat/>
    <w:pPr>
      <w:spacing w:before="36" w:after="36"/>
    </w:pPr>
    <w:rPr>
      <w:rFonts w:ascii="Arial Unicode MS" w:hAnsi="Arial Unicode MS" w:eastAsia="Arial Unicode MS" w:cs="Arial Unicode MS"/>
    </w:r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eastAsiaTheme="minorHAnsi" w:ascii="Arial Unicode MS" w:hAnsi="Arial Unicode MS" w:eastAsia="Arial Unicode MS" w:cs="Arial Unicode MS"/>
      <w:sz w:val="24"/>
      <w:szCs w:val="24"/>
      <w:lang w:eastAsia="en-US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rFonts w:ascii="Arial Unicode MS" w:hAnsi="Arial Unicode MS" w:eastAsia="Arial Unicode MS" w:cs="Arial Unicode MS"/>
      <w:sz w:val="20"/>
      <w:szCs w:val="20"/>
    </w:rPr>
  </w:style>
  <w:style w:type="paragraph" w:customStyle="1" w:styleId="10">
    <w:name w:val="书目1"/>
    <w:basedOn w:val="a"/>
    <w:qFormat/>
    <w:rPr>
      <w:rFonts w:ascii="Arial Unicode MS" w:hAnsi="Arial Unicode MS" w:eastAsia="Arial Unicode MS" w:cs="Arial Unicode MS"/>
    </w:rPr>
  </w:style>
  <w:style w:type="table" w:customStyle="1" w:styleId="Table">
    <w:name w:val="Table"/>
    <w:semiHidden/>
    <w:unhideWhenUsed/>
    <w:qFormat/>
    <w:rPr>
      <w:rFonts w:ascii="Arial Unicode MS" w:hAnsi="Arial Unicode MS" w:eastAsia="Arial Unicode MS" w:cs="Arial Unicode M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rFonts w:ascii="Arial Unicode MS" w:hAnsi="Arial Unicode MS" w:eastAsia="Arial Unicode MS" w:cs="Arial Unicode MS"/>
      <w:b/>
    </w:rPr>
  </w:style>
  <w:style w:type="paragraph" w:customStyle="1" w:styleId="Definition">
    <w:name w:val="Definition"/>
    <w:basedOn w:val="a"/>
    <w:rPr>
      <w:rFonts w:ascii="Arial Unicode MS" w:hAnsi="Arial Unicode MS" w:eastAsia="Arial Unicode MS" w:cs="Arial Unicode MS"/>
    </w:rPr>
  </w:style>
  <w:style w:type="paragraph" w:customStyle="1" w:styleId="TableCaption">
    <w:name w:val="Table Caption"/>
    <w:basedOn w:val="a5"/>
    <w:qFormat/>
    <w:pPr>
      <w:keepNext/>
    </w:pPr>
    <w:rPr>
      <w:rFonts w:ascii="Arial Unicode MS" w:hAnsi="Arial Unicode MS" w:eastAsia="Arial Unicode MS" w:cs="Arial Unicode MS"/>
    </w:rPr>
  </w:style>
  <w:style w:type="paragraph" w:customStyle="1" w:styleId="ImageCaption">
    <w:name w:val="Image Caption"/>
    <w:basedOn w:val="a5"/>
    <w:qFormat/>
    <w:rPr>
      <w:rFonts w:ascii="Arial Unicode MS" w:hAnsi="Arial Unicode MS" w:eastAsia="Arial Unicode MS" w:cs="Arial Unicode MS"/>
    </w:rPr>
  </w:style>
  <w:style w:type="paragraph" w:customStyle="1" w:styleId="Figure">
    <w:name w:val="Figure"/>
    <w:basedOn w:val="a"/>
    <w:qFormat/>
    <w:rPr>
      <w:rFonts w:ascii="Arial Unicode MS" w:hAnsi="Arial Unicode MS" w:eastAsia="Arial Unicode MS" w:cs="Arial Unicode MS"/>
    </w:rPr>
  </w:style>
  <w:style w:type="paragraph" w:customStyle="1" w:styleId="CaptionedFigure">
    <w:name w:val="Captioned Figure"/>
    <w:basedOn w:val="Figure"/>
    <w:qFormat/>
    <w:pPr>
      <w:keepNext/>
    </w:pPr>
    <w:rPr>
      <w:rFonts w:ascii="Arial Unicode MS" w:hAnsi="Arial Unicode MS" w:eastAsia="Arial Unicode MS" w:cs="Arial Unicode MS"/>
    </w:rPr>
  </w:style>
  <w:style w:type="character" w:customStyle="1" w:styleId="VerbatimChar">
    <w:name w:val="Verbatim Char"/>
    <w:basedOn w:val="a4"/>
    <w:link w:val="SourceCode"/>
    <w:qFormat/>
    <w:rPr>
      <w:rFonts w:ascii="Arial Unicode MS" w:hAnsi="Arial Unicode MS" w:eastAsia="Arial Unicode MS" w:cs="Arial Unicode MS"/>
      <w:sz w:val="22"/>
    </w:rPr>
  </w:style>
  <w:style w:type="paragraph" w:customStyle="1" w:styleId="SourceCode">
    <w:name w:val="Source Code"/>
    <w:basedOn w:val="a"/>
    <w:link w:val="VerbatimChar"/>
    <w:qFormat/>
    <w:pPr>
      <w:shd w:val="clear" w:color="auto" w:fill="F8F8F8"/>
      <w:wordWrap w:val="0"/>
    </w:pPr>
    <w:rPr>
      <w:rFonts w:ascii="Arial Unicode MS" w:hAnsi="Arial Unicode MS" w:eastAsia="Arial Unicode MS" w:cs="Arial Unicode MS"/>
    </w:rPr>
  </w:style>
  <w:style w:type="character" w:customStyle="1" w:styleId="SectionNumber">
    <w:name w:val="Section Number"/>
    <w:basedOn w:val="a4"/>
    <w:qFormat/>
    <w:rPr>
      <w:rFonts w:ascii="Arial Unicode MS" w:hAnsi="Arial Unicode MS" w:eastAsia="Arial Unicode MS" w:cs="Arial Unicode MS"/>
    </w:rPr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="Arial Unicode MS" w:hAnsi="Arial Unicode MS" w:eastAsia="Arial Unicode MS" w:cs="Arial Unicode MS"/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qFormat/>
    <w:rPr>
      <w:rFonts w:ascii="Arial Unicode MS" w:hAnsi="Arial Unicode MS" w:eastAsia="Arial Unicode MS" w:cs="Arial Unicode M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qFormat/>
    <w:rPr>
      <w:rFonts w:ascii="Arial Unicode MS" w:hAnsi="Arial Unicode MS" w:eastAsia="Arial Unicode MS" w:cs="Arial Unicode M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qFormat/>
    <w:rPr>
      <w:rFonts w:ascii="Arial Unicode MS" w:hAnsi="Arial Unicode MS" w:eastAsia="Arial Unicode MS" w:cs="Arial Unicode M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qFormat/>
    <w:rPr>
      <w:rFonts w:ascii="Arial Unicode MS" w:hAnsi="Arial Unicode MS" w:eastAsia="Arial Unicode MS" w:cs="Arial Unicode M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qFormat/>
    <w:rPr>
      <w:rFonts w:ascii="Arial Unicode MS" w:hAnsi="Arial Unicode MS" w:eastAsia="Arial Unicode MS" w:cs="Arial Unicode M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qFormat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qFormat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qFormat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CommentTok">
    <w:name w:val="CommentTok"/>
    <w:basedOn w:val="VerbatimChar"/>
    <w:qFormat/>
    <w:rPr>
      <w:rFonts w:ascii="Arial Unicode MS" w:hAnsi="Arial Unicode MS" w:eastAsia="Arial Unicode MS" w:cs="Arial Unicode M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qFormat/>
    <w:rPr>
      <w:rFonts w:ascii="Arial Unicode MS" w:hAnsi="Arial Unicode MS" w:eastAsia="Arial Unicode MS" w:cs="Arial Unicode M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qFormat/>
    <w:rPr>
      <w:rFonts w:ascii="Arial Unicode MS" w:hAnsi="Arial Unicode MS" w:eastAsia="Arial Unicode MS" w:cs="Arial Unicode M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qFormat/>
    <w:rPr>
      <w:rFonts w:ascii="Arial Unicode MS" w:hAnsi="Arial Unicode MS" w:eastAsia="Arial Unicode MS" w:cs="Arial Unicode M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ExtensionTok">
    <w:name w:val="Extension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PreprocessorTok">
    <w:name w:val="PreprocessorTok"/>
    <w:basedOn w:val="VerbatimChar"/>
    <w:qFormat/>
    <w:rPr>
      <w:rFonts w:ascii="Arial Unicode MS" w:hAnsi="Arial Unicode MS" w:eastAsia="Arial Unicode MS" w:cs="Arial Unicode M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qFormat/>
    <w:rPr>
      <w:rFonts w:ascii="Arial Unicode MS" w:hAnsi="Arial Unicode MS" w:eastAsia="Arial Unicode MS" w:cs="Arial Unicode M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InformationTok">
    <w:name w:val="Information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qFormat/>
    <w:rPr>
      <w:rFonts w:ascii="Arial Unicode MS" w:hAnsi="Arial Unicode MS" w:eastAsia="Arial Unicode MS" w:cs="Arial Unicode M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qFormat/>
    <w:rPr>
      <w:rFonts w:ascii="Arial Unicode MS" w:hAnsi="Arial Unicode MS" w:eastAsia="Arial Unicode MS" w:cs="Arial Unicode M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paragraph" w:customStyle="1" w:styleId="CodeBlock">
    <w:name w:val="Code Block"/>
    <w:pPr>
      <w:spacing w:line="240" w:lineRule="auto"/>
      <w:ind w:firstLine="0" w:left="283"/>
      <w:shd w:fill="F2F2F2"/>
    </w:pPr>
    <w:rPr>
      <w:rFonts w:ascii="Menlo" w:hAnsi="Menlo" w:eastAsia="Menlo" w:cs="Menl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497</Pages>
  <Words>78486</Words>
  <Characters>447373</Characters>
  <Application>Microsoft Office Word</Application>
  <DocSecurity>0</DocSecurity>
  <Lines>3728</Lines>
  <Paragraphs>1049</Paragraphs>
  <ScaleCrop>false</ScaleCrop>
  <Company/>
  <LinksUpToDate>false</LinksUpToDate>
  <CharactersWithSpaces>524810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2026-05-06T14:15:00Z</dcterms:created>
  <dcterms:modified xsi:type="dcterms:W3CDTF">2026-05-07T01:22:00Z</dcterms:modified>
  <dc:title>第7章 神经网络、Transformer、GNN与基础模型</dc:title>
  <dc:subject>《智能分析化学》出版内容初稿v2.2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eyJoZGlkIjoiMDljYzUzMWQ4OWI0YzBkYjYzMDRhZTY5ZjZkYmFmYTgiLCJ1c2VySWQiOiIzNDY3ODI5MDMifQ==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74DB65D882BD4BF7A9A58B5557D771E8_12</vt:lpwstr>
  </property>
</Properties>
</file>