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第9章 光谱分析与智能谱学</w:t>
      </w:r>
    </w:p>
    <w:p>
      <w:pPr>
        <w:pStyle w:val="a8"/>
        <w:ind w:firstLine="0"/>
        <w:jc w:val="center"/>
      </w:pPr>
      <w:r>
        <w:t>第3篇 智能仪器分析与复杂分析对象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不同光谱怎样形成，算法又怎样在不破坏物理信息的前提下增强定性定量？ 本章以UV-Vis、红外、近红外和拉曼连续谱为对象，落实“整合UV-Vis、IR/NIR和Raman，以信号形成—预处理—建模—迁移为主线。”。贯穿案例为“跨仪器完成拉曼材料识别与定量”。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（1）能够说明UV-Vis、红外、近红外和拉曼连续谱在本章中的数据结构与主要信息来源。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（3）能够以“从光–物质相互作用和仪器响应出发建模”设计训练、验证和独立测试。</w:t>
      </w:r>
    </w:p>
    <w:p>
      <w:pPr>
        <w:ind w:firstLine="0"/>
      </w:pPr>
      <w:r>
        <w:t>（4）能够完成“跨仪器完成拉曼材料识别与定量”的最小代码实验并分析失败样本。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9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图9-1  第9章知识图谱</w:t>
      </w:r>
    </w:p>
    <w:p>
      <w:pPr>
        <w:pStyle w:val="2"/>
      </w:pPr>
      <w:r>
        <w:t>9.1 电磁辐射、能级跃迁与光谱信息</w:t>
      </w:r>
    </w:p>
    <w:p>
      <w:r>
        <w:t>本节围绕“电磁辐射、能级跃迁与光谱信息”展开。分析对象是UV-Vis、红外、近红外和拉曼连续谱，核心不是罗列名词，而是说明电磁波和光–物质相互作用、吸收、发射、散射、反射和透射、能级、跃迁和选择定则、光谱与分子结构信息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电磁辐射、能级跃迁与光谱信息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光谱与分子结构信息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9.1.1 电磁波和光–物质相互作用</w:t>
      </w:r>
    </w:p>
    <w:p>
      <w:r>
        <w:t>就“电磁波和光–物质相互作用”而言，在“电磁辐射、能级跃迁与光谱信息”中，电磁波和光–物质相互作用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电磁波和光–物质相互作用”用于“电磁辐射、能级跃迁与光谱信息”时，本书用“跨仪器完成拉曼材料识别与定量”检验电磁波和光–物质相互作用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9.1.2 吸收、发射、散射、反射和透射</w:t>
      </w:r>
    </w:p>
    <w:p>
      <w:r>
        <w:t>就“吸收、发射、散射、反射和透射”而言，在“电磁辐射、能级跃迁与光谱信息”中，吸收、发射、散射、反射和透射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吸收、发射、散射、反射和透射”用于“电磁辐射、能级跃迁与光谱信息”时，本书用“跨仪器完成拉曼材料识别与定量”检验吸收、发射、散射、反射和透射。实现时遵循“从光–物质相互作用和仪器响应出发建模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9.1.3 能级、跃迁和选择定则</w:t>
      </w:r>
    </w:p>
    <w:p>
      <w:r>
        <w:t>就“能级、跃迁和选择定则”而言，在“电磁辐射、能级跃迁与光谱信息”中，能级、跃迁和选择定则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能级、跃迁和选择定则”用于“电磁辐射、能级跃迁与光谱信息”时，本书用“跨仪器完成拉曼材料识别与定量”检验能级、跃迁和选择定则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9.1.4 光谱与分子结构信息</w:t>
      </w:r>
    </w:p>
    <w:p>
      <w:r>
        <w:t>就“光谱与分子结构信息”而言，光谱与分子结构信息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光谱与分子结构信息”用于“电磁辐射、能级跃迁与光谱信息”时，可信解释需要至少一条独立证据链：改变实验条件观察可预测响应、使用互补仪器验证候选，或以标准物质复现特征。显著性图、注意力和SHAP可定位模型依赖，却不能替代干预和机理实验。读图或读指标时应返回原始数据抽查，避免把表示空间中的几何关系直接当成化学机制。</w:t>
      </w:r>
    </w:p>
    <w:p>
      <w:pPr>
        <w:pStyle w:val="2"/>
      </w:pPr>
      <w:r>
        <w:t>9.2 光谱仪器、采样、分辨率与仪器线形</w:t>
      </w:r>
    </w:p>
    <w:p>
      <w:r>
        <w:t>本节围绕“光谱仪器、采样、分辨率与仪器线形”展开。分析对象是UV-Vis、红外、近红外和拉曼连续谱，核心不是罗列名词，而是说明光源、分光系统、样品池和检测器、采样间隔与奈奎斯特条件、分辨率、带宽和仪器线形、波长/波数校准和噪声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光谱仪器、采样、分辨率与仪器线形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波长/波数校准和噪声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9.2.1 光源、分光系统、样品池和检测器</w:t>
      </w:r>
    </w:p>
    <w:p>
      <w:r>
        <w:t>就“光源、分光系统、样品池和检测器”而言，在“光谱仪器、采样、分辨率与仪器线形”中，光源、分光系统、样品池和检测器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光源、分光系统、样品池和检测器”用于“光谱仪器、采样、分辨率与仪器线形”时，本书用“跨仪器完成拉曼材料识别与定量”检验光源、分光系统、样品池和检测器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9.2.2 采样间隔与奈奎斯特条件</w:t>
      </w:r>
    </w:p>
    <w:p>
      <w:r>
        <w:t>就“采样间隔与奈奎斯特条件”而言，采样间隔与奈奎斯特条件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采样间隔与奈奎斯特条件”用于“光谱仪器、采样、分辨率与仪器线形”时，应先定义总体、初级采样单元、实验样品和分析试份，再配置分层或随机取样、混匀和独立重复。训练/测试划分也必须以真正独立的样品单位为边界，否则模型会因伪重复获得虚高性能。在真实项目中，还应保存参数、软件版本和输入校验结果，以便定位变化来自样品还是计算。</w:t>
      </w:r>
    </w:p>
    <w:p>
      <w:pPr>
        <w:pStyle w:val="3"/>
      </w:pPr>
      <w:r>
        <w:t>9.2.3 分辨率、带宽和仪器线形</w:t>
      </w:r>
    </w:p>
    <w:p>
      <w:r>
        <w:t>就“分辨率、带宽和仪器线形”而言，围绕“分辨率、带宽和仪器线形”，Beer-Lambert定律在理想条件下给出吸光度与浓度、光程和摩尔吸光系数的线性关系。高浓度、化学平衡变化、散射、杂散光和仪器带宽都会破坏线性。机器学习可以拟合非线性，但仍需说明非线性来自化学还是仪器。</w:t>
      </w:r>
    </w:p>
    <w:p>
      <w:r>
        <w:t>把“分辨率、带宽和仪器线形”用于“光谱仪器、采样、分辨率与仪器线形”时，在“光谱仪器、采样、分辨率与仪器线形”的语境下，实际谱图是真实光谱与仪器线形的卷积，并叠加采样和噪声。不同分辨率仪器得到的峰宽和峰高不可直接比较。跨仪器建模前应统一谱轴、分辨率和响应，或显式建立迁移模型。若该步骤改变了样品单位、统计独立性或物理峰形，必须在独立数据上重新证明其有效性。</w:t>
      </w:r>
    </w:p>
    <w:p>
      <w:pPr>
        <w:pStyle w:val="3"/>
      </w:pPr>
      <w:r>
        <w:t>9.2.4 波长/波数校准和噪声</w:t>
      </w:r>
    </w:p>
    <w:p>
      <w:r>
        <w:t>就“波长/波数校准和噪声”而言，围绕“波长/波数校准和噪声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波长/波数校准和噪声”用于“光谱仪器、采样、分辨率与仪器线形”时，在“光谱仪器、采样、分辨率与仪器线形”的语境下，概率校准回答预测概率是否与实际发生率一致。Brier分数同时受到判别和校准影响；可靠性图可显示模型过度自信或过度保守。阈值应根据漏检和误报代价确定，而不是固定在0.5。读图或读指标时应返回原始数据抽查，避免把表示空间中的几何关系直接当成化学机制。</w:t>
      </w:r>
    </w:p>
    <w:p>
      <w:pPr>
        <w:pStyle w:val="2"/>
      </w:pPr>
      <w:r>
        <w:t>9.3 UV-Vis全谱定量与Beer–Lambert边界</w:t>
      </w:r>
    </w:p>
    <w:p>
      <w:r>
        <w:t>本节围绕“UV-Vis全谱定量与Beer–Lambert边界”展开。分析对象是UV-Vis、红外、近红外和拉曼连续谱，核心不是罗列名词，而是说明电子跃迁和吸收带、Beer–Lambert定律、单波长与全谱定量、高浓度、散射和杂散光偏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UV-Vis全谱定量与Beer–Lambert边界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水质与复杂指标案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9.3.1 电子跃迁和吸收带</w:t>
      </w:r>
    </w:p>
    <w:p>
      <w:r>
        <w:t>就“电子跃迁和吸收带”而言，在“UV-Vis全谱定量与Beer–Lambert边界”中，电子跃迁和吸收带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电子跃迁和吸收带”用于“UV-Vis全谱定量与Beer–Lambert边界”时，本书用“跨仪器完成拉曼材料识别与定量”检验电子跃迁和吸收带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9.3.2 Beer–Lambert定律</w:t>
      </w:r>
    </w:p>
    <w:p>
      <w:r>
        <w:t>就“Beer–Lambert定律”而言，围绕“Beer–Lambert定律”，Beer-Lambert定律在理想条件下给出吸光度与浓度、光程和摩尔吸光系数的线性关系。高浓度、化学平衡变化、散射、杂散光和仪器带宽都会破坏线性。机器学习可以拟合非线性，但仍需说明非线性来自化学还是仪器。</w:t>
      </w:r>
    </w:p>
    <w:p>
      <w:r>
        <w:t>把“Beer–Lambert定律”用于“UV-Vis全谱定量与Beer–Lambert边界”时，在“UV-Vis全谱定量与Beer–Lambert边界”的语境下，实际谱图是真实光谱与仪器线形的卷积，并叠加采样和噪声。不同分辨率仪器得到的峰宽和峰高不可直接比较。跨仪器建模前应统一谱轴、分辨率和响应，或显式建立迁移模型。在真实项目中，还应保存参数、软件版本和输入校验结果，以便定位变化来自样品还是计算。</w:t>
      </w:r>
    </w:p>
    <w:p>
      <w:pPr>
        <w:pStyle w:val="3"/>
      </w:pPr>
      <w:r>
        <w:t>9.3.3 单波长与全谱定量</w:t>
      </w:r>
    </w:p>
    <w:p>
      <w:r>
        <w:t>就“单波长与全谱定量”而言，单波长与全谱定量要求把仪器响应连接到可溯源的量值。校准曲线不仅是一条拟合线，还隐含标准物质、基质、量程、样品前处理和响应稳定性；斜率反映灵敏度，截距与残差可暴露空白、背景和模型失配。</w:t>
      </w:r>
    </w:p>
    <w:p>
      <w:r>
        <w:t>把“单波长与全谱定量”用于“UV-Vis全谱定量与Beer–Lambert边界”时，定量结果至少同时检查偏差、精密度、线性或适用范围、检出限、定量限和回收率。多元模型同样要用独立样品验证，并报告浓度外推、基质变化和仪器漂移下的误差；小数位不能超过参照值和不确定度所支持的精度。若该步骤改变了样品单位、统计独立性或物理峰形，必须在独立数据上重新证明其有效性。</w:t>
      </w:r>
    </w:p>
    <w:p>
      <w:pPr>
        <w:pStyle w:val="3"/>
      </w:pPr>
      <w:r>
        <w:t>9.3.4 高浓度、散射和杂散光偏离</w:t>
      </w:r>
    </w:p>
    <w:p>
      <w:r>
        <w:t>就“高浓度、散射和杂散光偏离”而言，高浓度、散射和杂散光偏离要求把仪器响应连接到可溯源的量值。校准曲线不仅是一条拟合线，还隐含标准物质、基质、量程、样品前处理和响应稳定性；斜率反映灵敏度，截距与残差可暴露空白、背景和模型失配。</w:t>
      </w:r>
    </w:p>
    <w:p>
      <w:r>
        <w:t>把“高浓度、散射和杂散光偏离”用于“UV-Vis全谱定量与Beer–Lambert边界”时，定量结果至少同时检查偏差、精密度、线性或适用范围、检出限、定量限和回收率。多元模型同样要用独立样品验证，并报告浓度外推、基质变化和仪器漂移下的误差；小数位不能超过参照值和不确定度所支持的精度。读图或读指标时应返回原始数据抽查，避免把表示空间中的几何关系直接当成化学机制。</w:t>
      </w:r>
    </w:p>
    <w:p>
      <w:pPr>
        <w:pStyle w:val="3"/>
      </w:pPr>
      <w:r>
        <w:t>9.3.5 水质与复杂指标案例</w:t>
      </w:r>
    </w:p>
    <w:p>
      <w:r>
        <w:t>就“水质与复杂指标案例”而言，在“UV-Vis全谱定量与Beer–Lambert边界”中，水质与复杂指标案例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水质与复杂指标案例”用于“UV-Vis全谱定量与Beer–Lambert边界”时，本书用“跨仪器完成拉曼材料识别与定量”检验水质与复杂指标案例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9.4 红外/近红外振动信息与过程分析</w:t>
      </w:r>
    </w:p>
    <w:p>
      <w:r>
        <w:t>本节围绕“红外/近红外振动信息与过程分析”展开。分析对象是UV-Vis、红外、近红外和拉曼连续谱，核心不是罗列名词，而是说明MIR基频和NIR倍频/合频、波长、波数和谱区、官能团、结构与定量信息、过程分析和在线监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红外/近红外振动信息与过程分析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散射和水分影响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9.4.1 MIR基频和NIR倍频/合频</w:t>
      </w:r>
    </w:p>
    <w:p>
      <w:r>
        <w:t>就“MIR基频和NIR倍频/合频”而言，在“红外/近红外振动信息与过程分析”中，MIR基频和NIR倍频/合频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MIR基频和NIR倍频/合频”用于“红外/近红外振动信息与过程分析”时，本书用“跨仪器完成拉曼材料识别与定量”检验MIR基频和NIR倍频/合频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9.4.2 波长、波数和谱区</w:t>
      </w:r>
    </w:p>
    <w:p>
      <w:r>
        <w:t>就“波长、波数和谱区”而言，在“红外/近红外振动信息与过程分析”中，波长、波数和谱区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波长、波数和谱区”用于“红外/近红外振动信息与过程分析”时，本书用“跨仪器完成拉曼材料识别与定量”检验波长、波数和谱区。实现时遵循“从光–物质相互作用和仪器响应出发建模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9.4.3 官能团、结构与定量信息</w:t>
      </w:r>
    </w:p>
    <w:p>
      <w:r>
        <w:t>就“官能团、结构与定量信息”而言，官能团、结构与定量信息要求把仪器响应连接到可溯源的量值。校准曲线不仅是一条拟合线，还隐含标准物质、基质、量程、样品前处理和响应稳定性；斜率反映灵敏度，截距与残差可暴露空白、背景和模型失配。</w:t>
      </w:r>
    </w:p>
    <w:p>
      <w:r>
        <w:t>把“官能团、结构与定量信息”用于“红外/近红外振动信息与过程分析”时，定量结果至少同时检查偏差、精密度、线性或适用范围、检出限、定量限和回收率。多元模型同样要用独立样品验证，并报告浓度外推、基质变化和仪器漂移下的误差；小数位不能超过参照值和不确定度所支持的精度。若该步骤改变了样品单位、统计独立性或物理峰形，必须在独立数据上重新证明其有效性。</w:t>
      </w:r>
    </w:p>
    <w:p>
      <w:pPr>
        <w:pStyle w:val="3"/>
      </w:pPr>
      <w:r>
        <w:t>9.4.4 过程分析和在线监测</w:t>
      </w:r>
    </w:p>
    <w:p>
      <w:r>
        <w:t>就“过程分析和在线监测”而言，过程分析和在线监测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过程分析和在线监测”用于“红外/近红外振动信息与过程分析”时，建模时应保存真实时间戳、同步误差和操作事件，避免把等间隔文件序号当作真实时间。对于在线控制，还要区分毫秒级设备反馈与分钟级科学决策，并用状态估计处理不可直接观察的化学状态。读图或读指标时应返回原始数据抽查，避免把表示空间中的几何关系直接当成化学机制。</w:t>
      </w:r>
    </w:p>
    <w:p>
      <w:pPr>
        <w:pStyle w:val="3"/>
      </w:pPr>
      <w:r>
        <w:t>9.4.5 散射和水分影响</w:t>
      </w:r>
    </w:p>
    <w:p>
      <w:r>
        <w:t>就“散射和水分影响”而言，在“红外/近红外振动信息与过程分析”中，散射和水分影响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散射和水分影响”用于“红外/近红外振动信息与过程分析”时，本书用“跨仪器完成拉曼材料识别与定量”检验散射和水分影响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9.5 拉曼散射、荧光背景与弱信号</w:t>
      </w:r>
    </w:p>
    <w:p>
      <w:r>
        <w:t>本节围绕“拉曼散射、荧光背景与弱信号”展开。分析对象是UV-Vis、红外、近红外和拉曼连续谱，核心不是罗列名词，而是说明Rayleigh、Stokes和anti-Stokes、拉曼位移与强度、荧光背景和宇宙射线尖峰、SERS/TERS增强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拉曼散射、荧光背景与弱信号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材料、生物和环境案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9.5.1 Rayleigh、Stokes和anti-Stokes</w:t>
      </w:r>
    </w:p>
    <w:p>
      <w:r>
        <w:t>就“Rayleigh、Stokes和anti-Stokes”而言，围绕“Rayleigh、Stokes和anti-Stokes”，高斯过程用均值函数和核函数定义函数值之间的联合分布。给定观测后，可解析得到新点的后验均值和方差。均值用于预测，方差表达由数据覆盖和核假设共同决定的认知不确定性。</w:t>
      </w:r>
    </w:p>
    <w:p>
      <w:r>
        <w:t>把“Rayleigh、Stokes和anti-Stokes”用于“拉曼散射、荧光背景与弱信号”时，在“拉曼散射、荧光背景与弱信号”的语境下，获取函数把预测分布转为下一次实验的选择标准。UCB以μ+κσ权衡高预测值和高不确定性；期望改进计算相对当前最优值的期望收益。安全约束、可合成性和仪器范围必须先过滤候选，再进行获取函数排序。教学上应把该概念落实为可观察变量、可运行程序和可反驳检验三层。</w:t>
      </w:r>
    </w:p>
    <w:p>
      <w:pPr>
        <w:pStyle w:val="3"/>
      </w:pPr>
      <w:r>
        <w:t>9.5.2 拉曼位移与强度</w:t>
      </w:r>
    </w:p>
    <w:p>
      <w:r>
        <w:t>就“拉曼位移与强度”而言，在“拉曼散射、荧光背景与弱信号”中，拉曼位移与强度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拉曼位移与强度”用于“拉曼散射、荧光背景与弱信号”时，本书用“跨仪器完成拉曼材料识别与定量”检验拉曼位移与强度。实现时遵循“从光–物质相互作用和仪器响应出发建模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9.5.3 荧光背景和宇宙射线尖峰</w:t>
      </w:r>
    </w:p>
    <w:p>
      <w:r>
        <w:t>就“荧光背景和宇宙射线尖峰”而言，在“拉曼散射、荧光背景与弱信号”中，荧光背景和宇宙射线尖峰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荧光背景和宇宙射线尖峰”用于“拉曼散射、荧光背景与弱信号”时，本书用“跨仪器完成拉曼材料识别与定量”检验荧光背景和宇宙射线尖峰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9.5.4 SERS/TERS增强</w:t>
      </w:r>
    </w:p>
    <w:p>
      <w:r>
        <w:t>就“SERS/TERS增强”而言，在“拉曼散射、荧光背景与弱信号”中，SERS/TERS增强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ERS/TERS增强”用于“拉曼散射、荧光背景与弱信号”时，本书用“跨仪器完成拉曼材料识别与定量”检验SERS/TERS增强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9.5.5 材料、生物和环境案例</w:t>
      </w:r>
    </w:p>
    <w:p>
      <w:r>
        <w:t>就“材料、生物和环境案例”而言，在“拉曼散射、荧光背景与弱信号”中，材料、生物和环境案例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材料、生物和环境案例”用于“拉曼散射、荧光背景与弱信号”时，本书用“跨仪器完成拉曼材料识别与定量”检验材料、生物和环境案例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9.6 平滑、基线、散射校正与波段选择</w:t>
      </w:r>
    </w:p>
    <w:p>
      <w:r>
        <w:t>本节围绕“平滑、基线、散射校正与波段选择”展开。分析对象是UV-Vis、红外、近红外和拉曼连续谱，核心不是罗列名词，而是说明平滑、导数和基线校正、SNV、MSC和归一化、光谱对齐与分辨率匹配、波段选择和特征提取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平滑、基线、散射校正与波段选择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预处理对化学峰的影响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9.6.1 平滑、导数和基线校正</w:t>
      </w:r>
    </w:p>
    <w:p>
      <w:r>
        <w:t>就“平滑、导数和基线校正”而言，围绕“平滑、导数和基线校正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平滑、导数和基线校正”用于“平滑、基线、散射校正与波段选择”时，在“平滑、基线、散射校正与波段选择”的语境下，基线校正实质上是在区分慢变化背景与分析信号。多项式、非对称最小二乘和形态学方法对应不同的背景假设。校正后不仅要看曲线是否平直，还要比较峰位、峰宽、峰面积、空白残差和定量偏差。教学上应把该概念落实为可观察变量、可运行程序和可反驳检验三层。</w:t>
      </w:r>
    </w:p>
    <w:p>
      <w:pPr>
        <w:pStyle w:val="3"/>
      </w:pPr>
      <w:r>
        <w:t>9.6.2 SNV、MSC和归一化</w:t>
      </w:r>
    </w:p>
    <w:p>
      <w:r>
        <w:t>就“SNV、MSC和归一化”而言，围绕“SNV、MSC和归一化”，中心化和尺度变换改变变量在距离、协方差和损失函数中的权重。标准化适合量纲和方差差异显著的变量；SNV对每条光谱独立中心化并按其标准差缩放；MSC则用参照光谱估计加性和乘性散射。它们解决的问题不同，不能作为无条件的默认步骤。</w:t>
      </w:r>
    </w:p>
    <w:p>
      <w:r>
        <w:t>把“SNV、MSC和归一化”用于“平滑、基线、散射校正与波段选择”时，在“平滑、基线、散射校正与波段选择”的语境下，所有缩放参数必须只在训练数据上估计，再应用到验证和测试数据。否则测试集均值、方差或参照谱会进入训练过程，造成信息泄漏。处理效果应同时检查模型误差、峰形变化和跨批次稳定性。在真实项目中，还应保存参数、软件版本和输入校验结果，以便定位变化来自样品还是计算。</w:t>
      </w:r>
    </w:p>
    <w:p>
      <w:pPr>
        <w:pStyle w:val="3"/>
      </w:pPr>
      <w:r>
        <w:t>9.6.3 光谱对齐与分辨率匹配</w:t>
      </w:r>
    </w:p>
    <w:p>
      <w:r>
        <w:t>就“光谱对齐与分辨率匹配”而言，在“平滑、基线、散射校正与波段选择”中，光谱对齐与分辨率匹配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光谱对齐与分辨率匹配”用于“平滑、基线、散射校正与波段选择”时，本书用“跨仪器完成拉曼材料识别与定量”检验光谱对齐与分辨率匹配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9.6.4 波段选择和特征提取</w:t>
      </w:r>
    </w:p>
    <w:p>
      <w:r>
        <w:t>就“波段选择和特征提取”而言，在“平滑、基线、散射校正与波段选择”中，波段选择和特征提取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波段选择和特征提取”用于“平滑、基线、散射校正与波段选择”时，本书用“跨仪器完成拉曼材料识别与定量”检验波段选择和特征提取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9.6.5 预处理对化学峰的影响</w:t>
      </w:r>
    </w:p>
    <w:p>
      <w:r>
        <w:t>就“预处理对化学峰的影响”而言，在“平滑、基线、散射校正与波段选择”中，预处理对化学峰的影响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预处理对化学峰的影响”用于“平滑、基线、散射校正与波段选择”时，本书用“跨仪器完成拉曼材料识别与定量”检验预处理对化学峰的影响。实现时遵循“从光–物质相互作用和仪器响应出发建模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9.7 PLS、分类模型、1D-CNN与Transformer</w:t>
      </w:r>
    </w:p>
    <w:p>
      <w:r>
        <w:t>本节围绕“PLS、分类模型、1D-CNN与Transformer”展开。分析对象是UV-Vis、红外、近红外和拉曼连续谱，核心不是罗列名词，而是说明PCA/PLS与PLS-DA、SVM、随机森林和集成学习、1D-CNN与Transformer、自监督光谱表示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PLS、分类模型、1D-CNN与Transformer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误差分层和适用域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9.7.1 PCA/PLS与PLS-DA</w:t>
      </w:r>
    </w:p>
    <w:p>
      <w:r>
        <w:t>就“PCA/PLS与PLS-DA”而言，围绕“PCA/PLS与PLS-DA”，奇异值分解将中心化矩阵写为X=UΣVᵀ。右奇异向量给出变量空间的正交方向，奇异值刻画每个方向承载的变化，UΣ形成样品得分。PCA可视为保留最大方差方向的低秩近似，但最大方差不一定等于与目标最相关的化学变化。</w:t>
      </w:r>
    </w:p>
    <w:p>
      <w:r>
        <w:t>把“PCA/PLS与PLS-DA”用于“PLS、分类模型、1D-CNN与Transformer”时，在“PLS、分类模型、1D-CNN与Transformer”的语境下，解释PCA必须同时阅读得分、载荷和残差。得分显示样品在潜变量空间的位置，载荷提示变量对方向的贡献，Q残差反映模型未解释的结构。任何聚类或分离都应回到原始谱图、批次和样品信息验证。教学上应把该概念落实为可观察变量、可运行程序和可反驳检验三层。</w:t>
      </w:r>
    </w:p>
    <w:p>
      <w:pPr>
        <w:pStyle w:val="3"/>
      </w:pPr>
      <w:r>
        <w:t>9.7.2 SVM、随机森林和集成学习</w:t>
      </w:r>
    </w:p>
    <w:p>
      <w:r>
        <w:t>就“SVM、随机森林和集成学习”而言，在“PLS、分类模型、1D-CNN与Transformer”中，SVM、随机森林和集成学习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VM、随机森林和集成学习”用于“PLS、分类模型、1D-CNN与Transformer”时，本书用“跨仪器完成拉曼材料识别与定量”检验SVM、随机森林和集成学习。实现时遵循“从光–物质相互作用和仪器响应出发建模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9.7.3 1D-CNN与Transformer</w:t>
      </w:r>
    </w:p>
    <w:p>
      <w:r>
        <w:t>就“1D-CNN与Transformer”而言，围绕“1D-CNN与Transformer”，缩放点积注意力用QKᵀ/√d计算元素之间的相关分数，经softmax归一化后加权V。查询表示当前元素需要什么信息，键表示其他元素提供什么索引，值表示实际被汇聚的内容。缩放因子防止维度增大后分数过大。</w:t>
      </w:r>
    </w:p>
    <w:p>
      <w:r>
        <w:t>把“1D-CNN与Transformer”用于“PLS、分类模型、1D-CNN与Transformer”时，在“PLS、分类模型、1D-CNN与Transformer”的语境下，Transformer没有天然顺序概念，必须通过位置编码或结构偏置加入谱轴、序列或实验步骤信息。注意力权重可用于检查模型依赖，但不能直接等同于因果解释；遮挡、反事实和独立实验仍然必要。若该步骤改变了样品单位、统计独立性或物理峰形，必须在独立数据上重新证明其有效性。</w:t>
      </w:r>
    </w:p>
    <w:p>
      <w:pPr>
        <w:pStyle w:val="3"/>
      </w:pPr>
      <w:r>
        <w:t>9.7.4 自监督光谱表示</w:t>
      </w:r>
    </w:p>
    <w:p>
      <w:r>
        <w:t>就“自监督光谱表示”而言，在“PLS、分类模型、1D-CNN与Transformer”中，自监督光谱表示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自监督光谱表示”用于“PLS、分类模型、1D-CNN与Transformer”时，本书用“跨仪器完成拉曼材料识别与定量”检验自监督光谱表示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9.7.5 误差分层和适用域</w:t>
      </w:r>
    </w:p>
    <w:p>
      <w:r>
        <w:t>就“误差分层和适用域”而言，围绕“误差分层和适用域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误差分层和适用域”用于“PLS、分类模型、1D-CNN与Transformer”时，在“PLS、分类模型、1D-CNN与Transformer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最终报告需要给出适用范围和拒绝条件，使方法在证据不足时能够停止输出。</w:t>
      </w:r>
    </w:p>
    <w:p>
      <w:pPr>
        <w:pStyle w:val="2"/>
      </w:pPr>
      <w:r>
        <w:t>9.8 跨仪器识别、智能校准与典型案例</w:t>
      </w:r>
    </w:p>
    <w:p>
      <w:r>
        <w:t>本节围绕“跨仪器识别、智能校准与典型案例”展开。分析对象是UV-Vis、红外、近红外和拉曼连续谱，核心不是罗列名词，而是说明仪器自动校准与性能增强、跨仪器识别和校准转移、谱库检索和谱图—结构联系、矿物、食品、药品和水质综合案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跨仪器识别、智能校准与典型案例”中，技术路线遵循“从光–物质相互作用和仪器响应出发建模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跨仪器完成拉曼材料识别与定量”落实到矿物、食品、药品和水质综合案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9.8.1 仪器自动校准与性能增强</w:t>
      </w:r>
    </w:p>
    <w:p>
      <w:r>
        <w:t>就“仪器自动校准与性能增强”而言，围绕“仪器自动校准与性能增强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仪器自动校准与性能增强”用于“跨仪器识别、智能校准与典型案例”时，在“跨仪器识别、智能校准与典型案例”的语境下，概率校准回答预测概率是否与实际发生率一致。Brier分数同时受到判别和校准影响；可靠性图可显示模型过度自信或过度保守。阈值应根据漏检和误报代价确定，而不是固定在0.5。教学上应把该概念落实为可观察变量、可运行程序和可反驳检验三层。</w:t>
      </w:r>
    </w:p>
    <w:p>
      <w:pPr>
        <w:pStyle w:val="3"/>
      </w:pPr>
      <w:r>
        <w:t>9.8.2 跨仪器识别和校准转移</w:t>
      </w:r>
    </w:p>
    <w:p>
      <w:r>
        <w:t>就“跨仪器识别和校准转移”而言，围绕“跨仪器识别和校准转移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跨仪器识别和校准转移”用于“跨仪器识别、智能校准与典型案例”时，在“跨仪器识别、智能校准与典型案例”的语境下，概率校准回答预测概率是否与实际发生率一致。Brier分数同时受到判别和校准影响；可靠性图可显示模型过度自信或过度保守。阈值应根据漏检和误报代价确定，而不是固定在0.5。在真实项目中，还应保存参数、软件版本和输入校验结果，以便定位变化来自样品还是计算。</w:t>
      </w:r>
    </w:p>
    <w:p>
      <w:pPr>
        <w:pStyle w:val="3"/>
      </w:pPr>
      <w:r>
        <w:t>9.8.3 谱库检索和谱图—结构联系</w:t>
      </w:r>
    </w:p>
    <w:p>
      <w:r>
        <w:t>就“谱库检索和谱图—结构联系”而言，围绕“谱库检索和谱图—结构联系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库检索和谱图—结构联系”用于“跨仪器识别、智能校准与典型案例”时，在“跨仪器识别、智能校准与典型案例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若该步骤改变了样品单位、统计独立性或物理峰形，必须在独立数据上重新证明其有效性。</w:t>
      </w:r>
    </w:p>
    <w:p>
      <w:pPr>
        <w:pStyle w:val="3"/>
      </w:pPr>
      <w:r>
        <w:t>9.8.4 矿物、食品、药品和水质综合案例</w:t>
      </w:r>
    </w:p>
    <w:p>
      <w:r>
        <w:t>就“矿物、食品、药品和水质综合案例”而言，在“跨仪器识别、智能校准与典型案例”中，矿物、食品、药品和水质综合案例具体限定了UV-Vis、红外、近红外和拉曼连续谱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矿物、食品、药品和水质综合案例”用于“跨仪器识别、智能校准与典型案例”时，本书用“跨仪器完成拉曼材料识别与定量”检验矿物、食品、药品和水质综合案例。实现时遵循“从光–物质相互作用和仪器响应出发建模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（1）A=εbc</w:t>
      </w:r>
    </w:p>
    <w:p>
      <w:pPr>
        <w:ind w:firstLine="0"/>
      </w:pPr>
      <w:r>
        <w:rPr>
          <w:b/>
          <w:color w:val="345A8A"/>
        </w:rPr>
        <w:t>（2）ν̃=1/λ</w:t>
      </w:r>
    </w:p>
    <w:p>
      <w:pPr>
        <w:pStyle w:val="2"/>
      </w:pPr>
      <w:r>
        <w:t>本章综合案例</w:t>
      </w:r>
    </w:p>
    <w:p>
      <w:r>
        <w:t>本章案例为“跨仪器完成拉曼材料识别与定量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建立跨批次光谱预处理—PLS—一维特征模型流水线。</w:t>
      </w:r>
    </w:p>
    <w:p>
      <w:pPr>
        <w:pStyle w:val="CodeBlock"/>
        <w:spacing w:after="0"/>
        <w:ind w:firstLine="0"/>
      </w:pPr>
      <w:r>
        <w:t>"""第9章代码练习：光谱分析与智能谱学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任务：建立跨批次光谱预处理—PLS—一维特征模型流水线。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raw=rng.normal(size=(30,500))+np.linspace(0,1,500)</w:t>
      </w:r>
    </w:p>
    <w:p>
      <w:pPr>
        <w:pStyle w:val="CodeBlock"/>
        <w:spacing w:after="0"/>
        <w:ind w:firstLine="0"/>
      </w:pPr>
      <w:r>
        <w:t>baseline=np.percentile(raw,10,axis=1,keepdims=True)</w:t>
      </w:r>
    </w:p>
    <w:p>
      <w:pPr>
        <w:pStyle w:val="CodeBlock"/>
        <w:spacing w:after="0"/>
        <w:ind w:firstLine="0"/>
      </w:pPr>
      <w:r>
        <w:t>X=raw-baseline</w:t>
      </w:r>
    </w:p>
    <w:p>
      <w:pPr>
        <w:pStyle w:val="CodeBlock"/>
        <w:spacing w:after="0"/>
        <w:ind w:firstLine="0"/>
      </w:pPr>
      <w:r>
        <w:t>X/=np.linalg.norm(X,axis=1,keepdims=True)+1e-12</w:t>
      </w:r>
    </w:p>
    <w:p>
      <w:pPr>
        <w:pStyle w:val="CodeBlock"/>
        <w:spacing w:after="0"/>
        <w:ind w:firstLine="0"/>
      </w:pPr>
      <w:r>
        <w:t># fit PLS only inside each training fold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用课程或开放数据替换合成输入，明确对象为跨仪器、跨批次采集的连续拉曼或近红外光谱。</w:t>
      </w:r>
    </w:p>
    <w:p>
      <w:pPr>
        <w:pStyle w:val="CodeBlock"/>
        <w:spacing w:after="0"/>
        <w:ind w:firstLine="0"/>
      </w:pPr>
      <w:r>
        <w:t># TODO 2: 实现整台仪器或整批样品留作测试域，并与随机划分或默认流程对照。</w:t>
      </w:r>
    </w:p>
    <w:p>
      <w:pPr>
        <w:pStyle w:val="CodeBlock"/>
        <w:spacing w:after="0"/>
        <w:ind w:firstLine="0"/>
      </w:pPr>
      <w:r>
        <w:t># TODO 3: 输出对照峰位、峰宽、散射校正和增强前后的物理合理性，据此判断能否确定预处理与模型组合能否跨设备使用。</w:t>
      </w:r>
    </w:p>
    <w:p>
      <w:pPr>
        <w:pStyle w:val="2"/>
      </w:pPr>
      <w:r>
        <w:t>【本章小结】</w:t>
      </w:r>
    </w:p>
    <w:p>
      <w:r>
        <w:t>本章以UV-Vis、红外、近红外和拉曼连续谱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为“跨仪器完成拉曼材料识别与定量”画出测量链并标出三处可能失真位置。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第9章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第9章 光谱分析与智能谱学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