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9"/>
        <w:ind w:firstLine="0"/>
        <w:jc w:val="center"/>
      </w:pPr>
      <w:r>
        <w:t>第10章 质谱、色谱、核磁与结构解析</w:t>
      </w:r>
    </w:p>
    <w:p>
      <w:pPr>
        <w:pStyle w:val="a8"/>
        <w:ind w:firstLine="0"/>
        <w:jc w:val="center"/>
      </w:pPr>
      <w:r>
        <w:t>第3篇 智能仪器分析与复杂分析对象</w:t>
      </w:r>
    </w:p>
    <w:p>
      <w:pPr>
        <w:pStyle w:val="a8"/>
        <w:ind w:firstLine="0"/>
        <w:jc w:val="center"/>
      </w:pPr>
      <w:r>
        <w:t>出版内容初稿 v2.2</w:t>
      </w:r>
    </w:p>
    <w:p>
      <w:pPr>
        <w:pStyle w:val="2"/>
      </w:pPr>
      <w:r>
        <w:t>【章首导引】</w:t>
      </w:r>
    </w:p>
    <w:p>
      <w:r>
        <w:t>复杂混合物如何经过分离和多谱测量转化为可验证的候选结构？ 本章以色谱峰、质谱碎片、NMR和保留信息为对象，落实“以GC/LC分离、MS碎片、NMR局部环境和多证据融合组织结构解析。”。贯穿案例为“联合GC-MS碎片与保留指数解析未知峰”。</w:t>
      </w:r>
    </w:p>
    <w:p>
      <w:pPr>
        <w:pStyle w:val="2"/>
      </w:pPr>
      <w:r>
        <w:t>学习目标</w:t>
      </w:r>
    </w:p>
    <w:p>
      <w:pPr>
        <w:ind w:firstLine="0"/>
      </w:pPr>
      <w:r>
        <w:t>（1）能够说明色谱峰、质谱碎片、NMR和保留信息在本章中的数据结构与主要信息来源。</w:t>
      </w:r>
    </w:p>
    <w:p>
      <w:pPr>
        <w:ind w:firstLine="0"/>
      </w:pPr>
      <w:r>
        <w:t>（2）能够解释本章关键方法的输入、输出、参数、假设和失效条件。</w:t>
      </w:r>
    </w:p>
    <w:p>
      <w:pPr>
        <w:ind w:firstLine="0"/>
      </w:pPr>
      <w:r>
        <w:t>（3）能够以“以候选排序和互补证据处理一谱多解”设计训练、验证和独立测试。</w:t>
      </w:r>
    </w:p>
    <w:p>
      <w:pPr>
        <w:ind w:firstLine="0"/>
      </w:pPr>
      <w:r>
        <w:t>（4）能够完成“联合GC-MS碎片与保留指数解析未知峰”的最小代码实验并分析失败样本。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32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10章_知识图谱_预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5"/>
        <w:ind w:firstLine="0"/>
        <w:jc w:val="center"/>
      </w:pPr>
      <w:r>
        <w:t>图10-1  第10章知识图谱</w:t>
      </w:r>
    </w:p>
    <w:p>
      <w:pPr>
        <w:pStyle w:val="2"/>
      </w:pPr>
      <w:r>
        <w:t>10.1 色谱分离、保留、峰形、柱效与分辨率</w:t>
      </w:r>
    </w:p>
    <w:p>
      <w:r>
        <w:t>本节围绕“色谱分离、保留、峰形、柱效与分辨率”展开。分析对象是色谱峰、质谱碎片、NMR和保留信息，核心不是罗列名词，而是说明分配、吸附和分离选择性、保留时间、保留因子和选择因子、理论塔板、峰宽和分辨率、GC、LC、HPLC和UHPLC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色谱分离、保留、峰形、柱效与分辨率”中，技术路线遵循“以候选排序和互补证据处理一谱多解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联合GC-MS碎片与保留指数解析未知峰”落实到GC、LC、HPLC和UHPLC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10.1.1 分配、吸附和分离选择性</w:t>
      </w:r>
    </w:p>
    <w:p>
      <w:r>
        <w:t>就“分配、吸附和分离选择性”而言，在“色谱分离、保留、峰形、柱效与分辨率”中，分配、吸附和分离选择性具体限定了色谱峰、质谱碎片、NMR和保留信息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分配、吸附和分离选择性”用于“色谱分离、保留、峰形、柱效与分辨率”时，本书用“联合GC-MS碎片与保留指数解析未知峰”检验分配、吸附和分离选择性。实现时遵循“以候选排序和互补证据处理一谱多解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10.1.2 保留时间、保留因子和选择因子</w:t>
      </w:r>
    </w:p>
    <w:p>
      <w:r>
        <w:t>就“保留时间、保留因子和选择因子”而言，围绕“保留时间、保留因子和选择因子”，实验设计通过有结构地选择因子组合，使主效应、交互作用和曲率可被估计。随机化抵御时间漂移，重复估计实验误差，区组隔离已知批次。筛选设计适合找出重要因素，响应面设计则用于局部优化。</w:t>
      </w:r>
    </w:p>
    <w:p>
      <w:r>
        <w:t>把“保留时间、保留因子和选择因子”用于“色谱分离、保留、峰形、柱效与分辨率”时，在“色谱分离、保留、峰形、柱效与分辨率”的语境下，二次响应面包含线性项、交互项和平方项。因子范围过窄无法识别曲率，过宽则可能跨越不同机理或安全区域。模型得到的数学最优点还需通过确认实验和稳健性试验验证。若该步骤改变了样品单位、统计独立性或物理峰形，必须在独立数据上重新证明其有效性。</w:t>
      </w:r>
    </w:p>
    <w:p>
      <w:pPr>
        <w:pStyle w:val="3"/>
      </w:pPr>
      <w:r>
        <w:t>10.1.3 理论塔板、峰宽和分辨率</w:t>
      </w:r>
    </w:p>
    <w:p>
      <w:r>
        <w:t>就“理论塔板、峰宽和分辨率”而言，在“色谱分离、保留、峰形、柱效与分辨率”中，理论塔板、峰宽和分辨率具体限定了色谱峰、质谱碎片、NMR和保留信息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理论塔板、峰宽和分辨率”用于“色谱分离、保留、峰形、柱效与分辨率”时，本书用“联合GC-MS碎片与保留指数解析未知峰”检验理论塔板、峰宽和分辨率。实现时遵循“以候选排序和互补证据处理一谱多解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10.1.4 GC、LC、HPLC和UHPLC</w:t>
      </w:r>
    </w:p>
    <w:p>
      <w:r>
        <w:t>就“GC、LC、HPLC和UHPLC”而言，在“色谱分离、保留、峰形、柱效与分辨率”中，GC、LC、HPLC和UHPLC具体限定了色谱峰、质谱碎片、NMR和保留信息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GC、LC、HPLC和UHPLC”用于“色谱分离、保留、峰形、柱效与分辨率”时，本书用“联合GC-MS碎片与保留指数解析未知峰”检验GC、LC、HPLC和UHPLC。实现时遵循“以候选排序和互补证据处理一谱多解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2"/>
      </w:pPr>
      <w:r>
        <w:t>10.2 GC、LC及其与质谱/核磁的联用</w:t>
      </w:r>
    </w:p>
    <w:p>
      <w:r>
        <w:t>本节围绕“GC、LC及其与质谱/核磁的联用”展开。分析对象是色谱峰、质谱碎片、NMR和保留信息，核心不是罗列名词，而是说明GC-MS和LC-MS、串联质谱和多级碎裂、LC-NMR与互补证据、联用接口、时间轴和数据同步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GC、LC及其与质谱/核磁的联用”中，技术路线遵循“以候选排序和互补证据处理一谱多解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联合GC-MS碎片与保留指数解析未知峰”落实到联用接口、时间轴和数据同步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10.2.1 GC-MS和LC-MS</w:t>
      </w:r>
    </w:p>
    <w:p>
      <w:r>
        <w:t>就“GC-MS和LC-MS”而言，在“GC、LC及其与质谱/核磁的联用”中，GC-MS和LC-MS具体限定了色谱峰、质谱碎片、NMR和保留信息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GC-MS和LC-MS”用于“GC、LC及其与质谱/核磁的联用”时，本书用“联合GC-MS碎片与保留指数解析未知峰”检验GC-MS和LC-MS。实现时遵循“以候选排序和互补证据处理一谱多解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10.2.2 串联质谱和多级碎裂</w:t>
      </w:r>
    </w:p>
    <w:p>
      <w:r>
        <w:t>就“串联质谱和多级碎裂”而言，在“GC、LC及其与质谱/核磁的联用”中，串联质谱和多级碎裂具体限定了色谱峰、质谱碎片、NMR和保留信息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串联质谱和多级碎裂”用于“GC、LC及其与质谱/核磁的联用”时，本书用“联合GC-MS碎片与保留指数解析未知峰”检验串联质谱和多级碎裂。实现时遵循“以候选排序和互补证据处理一谱多解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10.2.3 LC-NMR与互补证据</w:t>
      </w:r>
    </w:p>
    <w:p>
      <w:r>
        <w:t>就“LC-NMR与互补证据”而言，围绕“LC-NMR与互补证据”，NMR化学位移反映局部电子环境，积分与核数相关，裂分和耦合常数提供连接信息。原始自由感应衰减经加窗、零填充、傅里叶变换、相位和基线校正后形成频谱，每一步都会影响峰形与定量。</w:t>
      </w:r>
    </w:p>
    <w:p>
      <w:r>
        <w:t>把“LC-NMR与互补证据”用于“GC、LC及其与质谱/核磁的联用”时，在“GC、LC及其与质谱/核磁的联用”的语境下，自动归属应维护候选结构和证据矩阵。模型预测的化学位移误差必须与候选之间的真实差异比较；当多个候选均落在误差范围内，应引入二维NMR、MS或IR证据，而不是强制给出唯一答案。读图或读指标时应返回原始数据抽查，避免把表示空间中的几何关系直接当成化学机制。</w:t>
      </w:r>
    </w:p>
    <w:p>
      <w:pPr>
        <w:pStyle w:val="3"/>
      </w:pPr>
      <w:r>
        <w:t>10.2.4 联用接口、时间轴和数据同步</w:t>
      </w:r>
    </w:p>
    <w:p>
      <w:r>
        <w:t>就“联用接口、时间轴和数据同步”而言，联用接口、时间轴和数据同步要求测量时间尺度快于被研究过程的关键变化。采样、传质、仪器响应和数据处理都可能造成时间延迟；若响应时间与反应时间相当，记录到的曲线是系统动力学与仪器核的卷积。</w:t>
      </w:r>
    </w:p>
    <w:p>
      <w:r>
        <w:t>把“联用接口、时间轴和数据同步”用于“GC、LC及其与质谱/核磁的联用”时，建模时应保存真实时间戳、同步误差和操作事件，避免把等间隔文件序号当作真实时间。对于在线控制，还要区分毫秒级设备反馈与分钟级科学决策，并用状态估计处理不可直接观察的化学状态。最终报告需要给出适用范围和拒绝条件，使方法在证据不足时能够停止输出。</w:t>
      </w:r>
    </w:p>
    <w:p>
      <w:pPr>
        <w:pStyle w:val="2"/>
      </w:pPr>
      <w:r>
        <w:t>10.3 离子化、质量分析、碎片与同位素信息</w:t>
      </w:r>
    </w:p>
    <w:p>
      <w:r>
        <w:t>本节围绕“离子化、质量分析、碎片与同位素信息”展开。分析对象是色谱峰、质谱碎片、NMR和保留信息，核心不是罗列名词，而是说明EI、ESI和MALDI、质量分析器、分辨率和质量准确度、分子离子、碎片和同位素、小分子、代谢物、肽和蛋白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离子化、质量分析、碎片与同位素信息”中，技术路线遵循“以候选排序和互补证据处理一谱多解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联合GC-MS碎片与保留指数解析未知峰”落实到小分子、代谢物、肽和蛋白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10.3.1 EI、ESI和MALDI</w:t>
      </w:r>
    </w:p>
    <w:p>
      <w:r>
        <w:t>就“EI、ESI和MALDI”而言，围绕“EI、ESI和MALDI”，高斯过程用均值函数和核函数定义函数值之间的联合分布。给定观测后，可解析得到新点的后验均值和方差。均值用于预测，方差表达由数据覆盖和核假设共同决定的认知不确定性。</w:t>
      </w:r>
    </w:p>
    <w:p>
      <w:r>
        <w:t>把“EI、ESI和MALDI”用于“离子化、质量分析、碎片与同位素信息”时，在“离子化、质量分析、碎片与同位素信息”的语境下，获取函数把预测分布转为下一次实验的选择标准。UCB以μ+κσ权衡高预测值和高不确定性；期望改进计算相对当前最优值的期望收益。安全约束、可合成性和仪器范围必须先过滤候选，再进行获取函数排序。在真实项目中，还应保存参数、软件版本和输入校验结果，以便定位变化来自样品还是计算。</w:t>
      </w:r>
    </w:p>
    <w:p>
      <w:pPr>
        <w:pStyle w:val="3"/>
      </w:pPr>
      <w:r>
        <w:t>10.3.2 质量分析器、分辨率和质量准确度</w:t>
      </w:r>
    </w:p>
    <w:p>
      <w:r>
        <w:t>就“质量分析器、分辨率和质量准确度”而言，在“离子化、质量分析、碎片与同位素信息”中，质量分析器、分辨率和质量准确度具体限定了色谱峰、质谱碎片、NMR和保留信息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质量分析器、分辨率和质量准确度”用于“离子化、质量分析、碎片与同位素信息”时，本书用“联合GC-MS碎片与保留指数解析未知峰”检验质量分析器、分辨率和质量准确度。实现时遵循“以候选排序和互补证据处理一谱多解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10.3.3 分子离子、碎片和同位素</w:t>
      </w:r>
    </w:p>
    <w:p>
      <w:r>
        <w:t>就“分子离子、碎片和同位素”而言，在“离子化、质量分析、碎片与同位素信息”中，分子离子、碎片和同位素具体限定了色谱峰、质谱碎片、NMR和保留信息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分子离子、碎片和同位素”用于“离子化、质量分析、碎片与同位素信息”时，本书用“联合GC-MS碎片与保留指数解析未知峰”检验分子离子、碎片和同位素。实现时遵循“以候选排序和互补证据处理一谱多解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10.3.4 小分子、代谢物、肽和蛋白</w:t>
      </w:r>
    </w:p>
    <w:p>
      <w:r>
        <w:t>就“小分子、代谢物、肽和蛋白”而言，在“离子化、质量分析、碎片与同位素信息”中，小分子、代谢物、肽和蛋白具体限定了色谱峰、质谱碎片、NMR和保留信息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小分子、代谢物、肽和蛋白”用于“离子化、质量分析、碎片与同位素信息”时，本书用“联合GC-MS碎片与保留指数解析未知峰”检验小分子、代谢物、肽和蛋白。实现时遵循“以候选排序和互补证据处理一谱多解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2"/>
      </w:pPr>
      <w:r>
        <w:t>10.4 峰检测、对齐、反卷积与保留指数</w:t>
      </w:r>
    </w:p>
    <w:p>
      <w:r>
        <w:t>本节围绕“峰检测、对齐、反卷积与保留指数”展开。分析对象是色谱峰、质谱碎片、NMR和保留信息，核心不是罗列名词，而是说明峰检测和基线、保留时间对齐、共洗脱和峰反卷积、质量容差和同位素聚类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峰检测、对齐、反卷积与保留指数”中，技术路线遵循“以候选排序和互补证据处理一谱多解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联合GC-MS碎片与保留指数解析未知峰”落实到保留指数与内标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10.4.1 峰检测和基线</w:t>
      </w:r>
    </w:p>
    <w:p>
      <w:r>
        <w:t>就“峰检测和基线”而言，围绕“峰检测和基线”，Savitzky-Golay方法在滑动窗口内拟合低阶多项式，可同时实现平滑和导数估计。窗口过短会保留噪声，过长会压低窄峰；多项式阶数过高则增加振荡。参数应根据仪器分辨率、最窄有效峰宽和下游任务共同确定。</w:t>
      </w:r>
    </w:p>
    <w:p>
      <w:r>
        <w:t>把“峰检测和基线”用于“峰检测、对齐、反卷积与保留指数”时，在“峰检测、对齐、反卷积与保留指数”的语境下，基线校正实质上是在区分慢变化背景与分析信号。多项式、非对称最小二乘和形态学方法对应不同的背景假设。校正后不仅要看曲线是否平直，还要比较峰位、峰宽、峰面积、空白残差和定量偏差。在真实项目中，还应保存参数、软件版本和输入校验结果，以便定位变化来自样品还是计算。</w:t>
      </w:r>
    </w:p>
    <w:p>
      <w:pPr>
        <w:pStyle w:val="3"/>
      </w:pPr>
      <w:r>
        <w:t>10.4.2 保留时间对齐</w:t>
      </w:r>
    </w:p>
    <w:p>
      <w:r>
        <w:t>就“保留时间对齐”而言，保留时间对齐要求测量时间尺度快于被研究过程的关键变化。采样、传质、仪器响应和数据处理都可能造成时间延迟；若响应时间与反应时间相当，记录到的曲线是系统动力学与仪器核的卷积。</w:t>
      </w:r>
    </w:p>
    <w:p>
      <w:r>
        <w:t>把“保留时间对齐”用于“峰检测、对齐、反卷积与保留指数”时，建模时应保存真实时间戳、同步误差和操作事件，避免把等间隔文件序号当作真实时间。对于在线控制，还要区分毫秒级设备反馈与分钟级科学决策，并用状态估计处理不可直接观察的化学状态。若该步骤改变了样品单位、统计独立性或物理峰形，必须在独立数据上重新证明其有效性。</w:t>
      </w:r>
    </w:p>
    <w:p>
      <w:pPr>
        <w:pStyle w:val="3"/>
      </w:pPr>
      <w:r>
        <w:t>10.4.3 共洗脱和峰反卷积</w:t>
      </w:r>
    </w:p>
    <w:p>
      <w:r>
        <w:t>就“共洗脱和峰反卷积”而言，围绕“共洗脱和峰反卷积”，神经元先计算仿射变换Wx+b，再通过非线性激活构造层级表示。反向传播利用链式法则计算损失对每个参数的梯度，优化器据此更新参数。训练损失下降只说明模型更符合训练目标，不保证科学任务被正确表达。</w:t>
      </w:r>
    </w:p>
    <w:p>
      <w:r>
        <w:t>把“共洗脱和峰反卷积”用于“峰检测、对齐、反卷积与保留指数”时，在“峰检测、对齐、反卷积与保留指数”的语境下，卷积通过局部连接和权重共享利用相邻变量的结构。一维卷积适合谱图和色谱，二维卷积适合图像。卷积核宽度、层数和步长共同决定感受野，必须与峰宽、空间分辨率或对象尺度匹配。读图或读指标时应返回原始数据抽查，避免把表示空间中的几何关系直接当成化学机制。</w:t>
      </w:r>
    </w:p>
    <w:p>
      <w:pPr>
        <w:pStyle w:val="3"/>
      </w:pPr>
      <w:r>
        <w:t>10.4.4 质量容差和同位素聚类</w:t>
      </w:r>
    </w:p>
    <w:p>
      <w:r>
        <w:t>就“质量容差和同位素聚类”而言，在“峰检测、对齐、反卷积与保留指数”中，质量容差和同位素聚类具体限定了色谱峰、质谱碎片、NMR和保留信息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质量容差和同位素聚类”用于“峰检测、对齐、反卷积与保留指数”时，本书用“联合GC-MS碎片与保留指数解析未知峰”检验质量容差和同位素聚类。实现时遵循“以候选排序和互补证据处理一谱多解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10.4.5 保留指数与内标</w:t>
      </w:r>
    </w:p>
    <w:p>
      <w:r>
        <w:t>就“保留指数与内标”而言，围绕“保留指数与内标”，质谱余弦相似度比较两个峰强向量的方向，对整体强度缩放不敏感。实际检索还需设置质荷比容差、峰权重和缺失峰惩罚。高相似度不保证唯一结构，尤其对同分异构体和共有碎片。</w:t>
      </w:r>
    </w:p>
    <w:p>
      <w:r>
        <w:t>把“保留指数与内标”用于“峰检测、对齐、反卷积与保留指数”时，在“峰检测、对齐、反卷积与保留指数”的语境下，保留时间对仪器和方法敏感，保留指数通过标准物提供更可迁移的尺度。对齐算法应限制允许的时间变形，并用内标或已知峰验证。候选排序可融合碎片相似度、保留指数、分子式和先验，最终报告Top-k覆盖而非只给第一名。教学上应把该概念落实为可观察变量、可运行程序和可反驳检验三层。</w:t>
      </w:r>
    </w:p>
    <w:p>
      <w:pPr>
        <w:pStyle w:val="2"/>
      </w:pPr>
      <w:r>
        <w:t>10.5 谱库相似性、近邻检索与开放集Top-k</w:t>
      </w:r>
    </w:p>
    <w:p>
      <w:r>
        <w:t>本节围绕“谱库相似性、近邻检索与开放集Top-k”展开。分析对象是色谱峰、质谱碎片、NMR和保留信息，核心不是罗列名词，而是说明点积、余弦和复合相似度、峰权重与缺失峰惩罚、HNSW和大规模近邻搜索、Top-k命中和开放集拒识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谱库相似性、近邻检索与开放集Top-k”中，技术路线遵循“以候选排序和互补证据处理一谱多解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联合GC-MS碎片与保留指数解析未知峰”落实到谱图相似不等于结构唯一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10.5.1 点积、余弦和复合相似度</w:t>
      </w:r>
    </w:p>
    <w:p>
      <w:r>
        <w:t>就“点积、余弦和复合相似度”而言，围绕“点积、余弦和复合相似度”，质谱余弦相似度比较两个峰强向量的方向，对整体强度缩放不敏感。实际检索还需设置质荷比容差、峰权重和缺失峰惩罚。高相似度不保证唯一结构，尤其对同分异构体和共有碎片。</w:t>
      </w:r>
    </w:p>
    <w:p>
      <w:r>
        <w:t>把“点积、余弦和复合相似度”用于“谱库相似性、近邻检索与开放集Top-k”时，在“谱库相似性、近邻检索与开放集Top-k”的语境下，保留时间对仪器和方法敏感，保留指数通过标准物提供更可迁移的尺度。对齐算法应限制允许的时间变形，并用内标或已知峰验证。候选排序可融合碎片相似度、保留指数、分子式和先验，最终报告Top-k覆盖而非只给第一名。在真实项目中，还应保存参数、软件版本和输入校验结果，以便定位变化来自样品还是计算。</w:t>
      </w:r>
    </w:p>
    <w:p>
      <w:pPr>
        <w:pStyle w:val="3"/>
      </w:pPr>
      <w:r>
        <w:t>10.5.2 峰权重与缺失峰惩罚</w:t>
      </w:r>
    </w:p>
    <w:p>
      <w:r>
        <w:t>就“峰权重与缺失峰惩罚”而言，在“谱库相似性、近邻检索与开放集Top-k”中，峰权重与缺失峰惩罚具体限定了色谱峰、质谱碎片、NMR和保留信息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峰权重与缺失峰惩罚”用于“谱库相似性、近邻检索与开放集Top-k”时，本书用“联合GC-MS碎片与保留指数解析未知峰”检验峰权重与缺失峰惩罚。实现时遵循“以候选排序和互补证据处理一谱多解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10.5.3 HNSW和大规模近邻搜索</w:t>
      </w:r>
    </w:p>
    <w:p>
      <w:r>
        <w:t>就“HNSW和大规模近邻搜索”而言，在“谱库相似性、近邻检索与开放集Top-k”中，HNSW和大规模近邻搜索具体限定了色谱峰、质谱碎片、NMR和保留信息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HNSW和大规模近邻搜索”用于“谱库相似性、近邻检索与开放集Top-k”时，本书用“联合GC-MS碎片与保留指数解析未知峰”检验HNSW和大规模近邻搜索。实现时遵循“以候选排序和互补证据处理一谱多解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10.5.4 Top-k命中和开放集拒识</w:t>
      </w:r>
    </w:p>
    <w:p>
      <w:r>
        <w:t>就“Top-k命中和开放集拒识”而言，围绕“Top-k命中和开放集拒识”，质谱余弦相似度比较两个峰强向量的方向，对整体强度缩放不敏感。实际检索还需设置质荷比容差、峰权重和缺失峰惩罚。高相似度不保证唯一结构，尤其对同分异构体和共有碎片。</w:t>
      </w:r>
    </w:p>
    <w:p>
      <w:r>
        <w:t>把“Top-k命中和开放集拒识”用于“谱库相似性、近邻检索与开放集Top-k”时，在“谱库相似性、近邻检索与开放集Top-k”的语境下，保留时间对仪器和方法敏感，保留指数通过标准物提供更可迁移的尺度。对齐算法应限制允许的时间变形，并用内标或已知峰验证。候选排序可融合碎片相似度、保留指数、分子式和先验，最终报告Top-k覆盖而非只给第一名。最终报告需要给出适用范围和拒绝条件，使方法在证据不足时能够停止输出。</w:t>
      </w:r>
    </w:p>
    <w:p>
      <w:pPr>
        <w:pStyle w:val="3"/>
      </w:pPr>
      <w:r>
        <w:t>10.5.5 谱图相似不等于结构唯一</w:t>
      </w:r>
    </w:p>
    <w:p>
      <w:r>
        <w:t>就“谱图相似不等于结构唯一”而言，围绕“谱图相似不等于结构唯一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谱图相似不等于结构唯一”用于“谱库相似性、近邻检索与开放集Top-k”时，在“谱库相似性、近邻检索与开放集Top-k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教学上应把该概念落实为可观察变量、可运行程序和可反驳检验三层。</w:t>
      </w:r>
    </w:p>
    <w:p>
      <w:pPr>
        <w:pStyle w:val="2"/>
      </w:pPr>
      <w:r>
        <w:t>10.6 结构到谱图的正向预测</w:t>
      </w:r>
    </w:p>
    <w:p>
      <w:r>
        <w:t>本节围绕“结构到谱图的正向预测”展开。分析对象是色谱峰、质谱碎片、NMR和保留信息，核心不是罗列名词，而是说明碎片规则和in silico fragmentation、结构到质谱强度、NMR化学位移预测、GNN/Transformer谱图生成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结构到谱图的正向预测”中，技术路线遵循“以候选排序和互补证据处理一谱多解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联合GC-MS碎片与保留指数解析未知峰”落实到预测不确定度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10.6.1 碎片规则和in silico fragmentation</w:t>
      </w:r>
    </w:p>
    <w:p>
      <w:r>
        <w:t>就“碎片规则和in silico fragmentation”而言，围绕“碎片规则和in silico fragmentation”，科学智能体把语言模型与检索、代码、数据库和仪器接口连接。RAG提供可追溯资料，工具调用执行确定性计算，状态记录保存中间结果。语言模型负责计划和接口，不应替代数值计算或实验事实。</w:t>
      </w:r>
    </w:p>
    <w:p>
      <w:r>
        <w:t>把“碎片规则和in silico fragmentation”用于“结构到谱图的正向预测”时，在“结构到谱图的正向预测”的语境下，可靠工作流把输出分为来源事实、模型推断和待验证假设。每个工具具有明确函数签名、权限和返回结构；关键数值通过复算或测试核验；危险动作必须经过人工批准。日志保存查询、工具版本、输入和输出。在真实项目中，还应保存参数、软件版本和输入校验结果，以便定位变化来自样品还是计算。</w:t>
      </w:r>
    </w:p>
    <w:p>
      <w:pPr>
        <w:pStyle w:val="3"/>
      </w:pPr>
      <w:r>
        <w:t>10.6.2 结构到质谱强度</w:t>
      </w:r>
    </w:p>
    <w:p>
      <w:r>
        <w:t>就“结构到质谱强度”而言，结构到质谱强度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结构到质谱强度”用于“结构到谱图的正向预测”时，可信解释需要至少一条独立证据链：改变实验条件观察可预测响应、使用互补仪器验证候选，或以标准物质复现特征。显著性图、注意力和SHAP可定位模型依赖，却不能替代干预和机理实验。若该步骤改变了样品单位、统计独立性或物理峰形，必须在独立数据上重新证明其有效性。</w:t>
      </w:r>
    </w:p>
    <w:p>
      <w:pPr>
        <w:pStyle w:val="3"/>
      </w:pPr>
      <w:r>
        <w:t>10.6.3 NMR化学位移预测</w:t>
      </w:r>
    </w:p>
    <w:p>
      <w:r>
        <w:t>就“NMR化学位移预测”而言，围绕“NMR化学位移预测”，NMR化学位移反映局部电子环境，积分与核数相关，裂分和耦合常数提供连接信息。原始自由感应衰减经加窗、零填充、傅里叶变换、相位和基线校正后形成频谱，每一步都会影响峰形与定量。</w:t>
      </w:r>
    </w:p>
    <w:p>
      <w:r>
        <w:t>把“NMR化学位移预测”用于“结构到谱图的正向预测”时，在“结构到谱图的正向预测”的语境下，自动归属应维护候选结构和证据矩阵。模型预测的化学位移误差必须与候选之间的真实差异比较；当多个候选均落在误差范围内，应引入二维NMR、MS或IR证据，而不是强制给出唯一答案。读图或读指标时应返回原始数据抽查，避免把表示空间中的几何关系直接当成化学机制。</w:t>
      </w:r>
    </w:p>
    <w:p>
      <w:pPr>
        <w:pStyle w:val="3"/>
      </w:pPr>
      <w:r>
        <w:t>10.6.4 GNN/Transformer谱图生成</w:t>
      </w:r>
    </w:p>
    <w:p>
      <w:r>
        <w:t>就“GNN/Transformer谱图生成”而言，围绕“GNN/Transformer谱图生成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GNN/Transformer谱图生成”用于“结构到谱图的正向预测”时，在“结构到谱图的正向预测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最终报告需要给出适用范围和拒绝条件，使方法在证据不足时能够停止输出。</w:t>
      </w:r>
    </w:p>
    <w:p>
      <w:pPr>
        <w:pStyle w:val="3"/>
      </w:pPr>
      <w:r>
        <w:t>10.6.5 预测不确定度</w:t>
      </w:r>
    </w:p>
    <w:p>
      <w:r>
        <w:t>就“预测不确定度”而言，围绕“预测不确定度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预测不确定度”用于“结构到谱图的正向预测”时，在“结构到谱图的正向预测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教学上应把该概念落实为可观察变量、可运行程序和可反驳检验三层。</w:t>
      </w:r>
    </w:p>
    <w:p>
      <w:pPr>
        <w:pStyle w:val="2"/>
      </w:pPr>
      <w:r>
        <w:t>10.7 谱图到亚结构、分子式与候选生成</w:t>
      </w:r>
    </w:p>
    <w:p>
      <w:r>
        <w:t>本节围绕“谱图到亚结构、分子式与候选生成”展开。分析对象是色谱峰、质谱碎片、NMR和保留信息，核心不是罗列名词，而是说明分子式和精确质量约束、官能团和亚结构识别、de novo结构生成、候选去重和化学有效性怎样进入同一条测量与推断链。读者首先要辨认哪些量来自真实样品，哪些量由仪器转换得到，哪些量由算法估计；三类量若混在一起，模型精度就很难被解释。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谱图到亚结构、分子式与候选生成”中，技术路线遵循“以候选排序和互补证据处理一谱多解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联合GC-MS碎片与保留指数解析未知峰”落实到检索—生成—重排序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10.7.1 分子式和精确质量约束</w:t>
      </w:r>
    </w:p>
    <w:p>
      <w:r>
        <w:t>就“分子式和精确质量约束”而言，在“谱图到亚结构、分子式与候选生成”中，分子式和精确质量约束具体限定了色谱峰、质谱碎片、NMR和保留信息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分子式和精确质量约束”用于“谱图到亚结构、分子式与候选生成”时，本书用“联合GC-MS碎片与保留指数解析未知峰”检验分子式和精确质量约束。实现时遵循“以候选排序和互补证据处理一谱多解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10.7.2 官能团和亚结构识别</w:t>
      </w:r>
    </w:p>
    <w:p>
      <w:r>
        <w:t>就“官能团和亚结构识别”而言，官能团和亚结构识别的目标是判断样品中存在什么，而不是仅把信号分到一个已知类别。可靠识别至少需要选择性响应、参照物或谱库、相似干扰物以及库外样品；若候选集合不完整，最高匹配分只能表示‘在当前库中最相似’，不能等同于身份确认。</w:t>
      </w:r>
    </w:p>
    <w:p>
      <w:r>
        <w:t>把“官能团和亚结构识别”用于“谱图到亚结构、分子式与候选生成”时，定性流程应把检出、候选筛选和确证分开。检出阶段控制空白和假阳性，筛选阶段报告Top-k候选及分数差，确证阶段依靠保留信息、互补谱学或标准物质。模型还应设置拒识阈值，避免对训练分布之外的样品强行命名。若该步骤改变了样品单位、统计独立性或物理峰形，必须在独立数据上重新证明其有效性。</w:t>
      </w:r>
    </w:p>
    <w:p>
      <w:pPr>
        <w:pStyle w:val="3"/>
      </w:pPr>
      <w:r>
        <w:t>10.7.3 de novo结构生成</w:t>
      </w:r>
    </w:p>
    <w:p>
      <w:r>
        <w:t>就“de novo结构生成”而言，de novo结构生成属于从观测反推对象的逆问题，常存在多解性。同一峰可由多个结构片段贡献，同一空间热点也可能受厚度、照明或离子抑制影响；因此模型输出首先是候选解释，而不是自动成立的机制。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把“de novo结构生成”用于“谱图到亚结构、分子式与候选生成”时，可信解释需要至少一条独立证据链：改变实验条件观察可预测响应、使用互补仪器验证候选，或以标准物质复现特征。显著性图、注意力和SHAP可定位模型依赖，却不能替代干预和机理实验。读图或读指标时应返回原始数据抽查，避免把表示空间中的几何关系直接当成化学机制。</w:t>
      </w:r>
    </w:p>
    <w:p>
      <w:pPr>
        <w:pStyle w:val="3"/>
      </w:pPr>
      <w:r>
        <w:t>10.7.4 候选去重和化学有效性</w:t>
      </w:r>
    </w:p>
    <w:p>
      <w:r>
        <w:t>就“候选去重和化学有效性”而言，在“谱图到亚结构、分子式与候选生成”中，候选去重和化学有效性具体限定了色谱峰、质谱碎片、NMR和保留信息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候选去重和化学有效性”用于“谱图到亚结构、分子式与候选生成”时，本书用“联合GC-MS碎片与保留指数解析未知峰”检验候选去重和化学有效性。实现时遵循“以候选排序和互补证据处理一谱多解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10.7.5 检索—生成—重排序</w:t>
      </w:r>
    </w:p>
    <w:p>
      <w:r>
        <w:t>就“检索—生成—重排序”而言，在“谱图到亚结构、分子式与候选生成”中，检索—生成—重排序具体限定了色谱峰、质谱碎片、NMR和保留信息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检索—生成—重排序”用于“谱图到亚结构、分子式与候选生成”时，本书用“联合GC-MS碎片与保留指数解析未知峰”检验检索—生成—重排序。实现时遵循“以候选排序和互补证据处理一谱多解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2"/>
      </w:pPr>
      <w:r>
        <w:t>10.8 MS/NMR/IR/保留信息的证据矩阵</w:t>
      </w:r>
    </w:p>
    <w:p>
      <w:r>
        <w:t>本节围绕“MS/NMR/IR/保留信息的证据矩阵”展开。分析对象是色谱峰、质谱碎片、NMR和保留信息，核心不是罗列名词，而是说明MS、NMR、IR和保留信息、证据矩阵与贝叶斯更新、冲突证据和参照误差、未知GC-MS峰综合解析案例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MS/NMR/IR/保留信息的证据矩阵”中，技术路线遵循“以候选排序和互补证据处理一谱多解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联合GC-MS碎片与保留指数解析未知峰”落实到未知GC-MS峰综合解析案例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10.8.1 MS、NMR、IR和保留信息</w:t>
      </w:r>
    </w:p>
    <w:p>
      <w:r>
        <w:t>就“MS、NMR、IR和保留信息”而言，围绕“MS、NMR、IR和保留信息”，NMR化学位移反映局部电子环境，积分与核数相关，裂分和耦合常数提供连接信息。原始自由感应衰减经加窗、零填充、傅里叶变换、相位和基线校正后形成频谱，每一步都会影响峰形与定量。</w:t>
      </w:r>
    </w:p>
    <w:p>
      <w:r>
        <w:t>把“MS、NMR、IR和保留信息”用于“MS/NMR/IR/保留信息的证据矩阵”时，在“MS/NMR/IR/保留信息的证据矩阵”的语境下，自动归属应维护候选结构和证据矩阵。模型预测的化学位移误差必须与候选之间的真实差异比较；当多个候选均落在误差范围内，应引入二维NMR、MS或IR证据，而不是强制给出唯一答案。在真实项目中，还应保存参数、软件版本和输入校验结果，以便定位变化来自样品还是计算。</w:t>
      </w:r>
    </w:p>
    <w:p>
      <w:pPr>
        <w:pStyle w:val="3"/>
      </w:pPr>
      <w:r>
        <w:t>10.8.2 证据矩阵与贝叶斯更新</w:t>
      </w:r>
    </w:p>
    <w:p>
      <w:r>
        <w:t>就“证据矩阵与贝叶斯更新”而言，围绕“证据矩阵与贝叶斯更新”，贝叶斯公式描述证据如何更新对假设的信念。先验p(H)表示观察数据前的知识，似然p(D|H)表示假设成立时数据出现的概率，证据p(D)负责归一化，后验p(H|D)则是数据到来后的判断。分析化学中的峰位变化、碎片匹配或阳性检测均是间接证据，必须与基准发生率共同解释。</w:t>
      </w:r>
    </w:p>
    <w:p>
      <w:r>
        <w:t>把“证据矩阵与贝叶斯更新”用于“MS/NMR/IR/保留信息的证据矩阵”时，在“MS/NMR/IR/保留信息的证据矩阵”的语境下，贝叶斯推断的关键不是给每个结论强行标一个精确概率，而是保持推理方向正确：数据增强或削弱某个假设，而不是自动证明机制。先验应来自明确的文献、历史数据或物理约束，并进行敏感性分析；当后验强烈依赖先验时，应诚实报告数据仍不足。若该步骤改变了样品单位、统计独立性或物理峰形，必须在独立数据上重新证明其有效性。</w:t>
      </w:r>
    </w:p>
    <w:p>
      <w:pPr>
        <w:pStyle w:val="3"/>
      </w:pPr>
      <w:r>
        <w:t>10.8.3 冲突证据和参照误差</w:t>
      </w:r>
    </w:p>
    <w:p>
      <w:r>
        <w:t>就“冲突证据和参照误差”而言，围绕“冲突证据和参照误差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冲突证据和参照误差”用于“MS/NMR/IR/保留信息的证据矩阵”时，在“MS/NMR/IR/保留信息的证据矩阵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读图或读指标时应返回原始数据抽查，避免把表示空间中的几何关系直接当成化学机制。</w:t>
      </w:r>
    </w:p>
    <w:p>
      <w:pPr>
        <w:pStyle w:val="3"/>
      </w:pPr>
      <w:r>
        <w:t>10.8.4 未知GC-MS峰综合解析案例</w:t>
      </w:r>
    </w:p>
    <w:p>
      <w:r>
        <w:t>就“未知GC-MS峰综合解析案例”而言，在“MS/NMR/IR/保留信息的证据矩阵”中，未知GC-MS峰综合解析案例具体限定了色谱峰、质谱碎片、NMR和保留信息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未知GC-MS峰综合解析案例”用于“MS/NMR/IR/保留信息的证据矩阵”时，本书用“联合GC-MS碎片与保留指数解析未知峰”检验未知GC-MS峰综合解析案例。实现时遵循“以候选排序和互补证据处理一谱多解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2"/>
      </w:pPr>
      <w:r>
        <w:t>关键关系与计算抓手</w:t>
      </w:r>
    </w:p>
    <w:p>
      <w:pPr>
        <w:ind w:firstLine="0"/>
      </w:pPr>
      <w:r>
        <w:rPr>
          <w:b/>
          <w:color w:val="345A8A"/>
        </w:rPr>
        <w:t>（1）R_s=2(t_R2−t_R1)/(w_1+w_2)</w:t>
      </w:r>
    </w:p>
    <w:p>
      <w:pPr>
        <w:ind w:firstLine="0"/>
      </w:pPr>
      <w:r>
        <w:rPr>
          <w:b/>
          <w:color w:val="345A8A"/>
        </w:rPr>
        <w:t>（2）cos(x,y)=x·y/(||x||||y||)</w:t>
      </w:r>
    </w:p>
    <w:p>
      <w:pPr>
        <w:pStyle w:val="2"/>
      </w:pPr>
      <w:r>
        <w:t>本章综合案例</w:t>
      </w:r>
    </w:p>
    <w:p>
      <w:r>
        <w:t>本章案例为“联合GC-MS碎片与保留指数解析未知峰”。先冻结问题、样品单位、测量协议和独立测试边界，再建立可诊断的经典基线。新增模型组件必须解决已识别的误差来源，并通过相同测试集、消融和失败样本分析证明价值。</w:t>
      </w:r>
    </w:p>
    <w:p>
      <w:r>
        <w:t>案例交付物包括问题卡、数据字典、运行日志、关键图表、错误对象和可执行代码。模型给出的结构、机制或实验建议属于待验证假设，需由互补测量或后续干预确认。</w:t>
      </w:r>
    </w:p>
    <w:p>
      <w:pPr>
        <w:pStyle w:val="2"/>
      </w:pPr>
      <w:r>
        <w:t>代码实践</w:t>
      </w:r>
    </w:p>
    <w:p>
      <w:r>
        <w:t>实现质谱余弦检索、保留时间对齐和多证据候选融合。</w:t>
      </w:r>
    </w:p>
    <w:p>
      <w:pPr>
        <w:pStyle w:val="CodeBlock"/>
        <w:spacing w:after="0"/>
        <w:ind w:firstLine="0"/>
      </w:pPr>
      <w:r>
        <w:t>"""第10章代码练习：质谱、色谱、核磁与结构解析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任务：实现质谱余弦检索、保留时间对齐和多证据候选融合。</w:t>
      </w:r>
    </w:p>
    <w:p>
      <w:pPr>
        <w:pStyle w:val="CodeBlock"/>
        <w:spacing w:after="0"/>
        <w:ind w:firstLine="0"/>
      </w:pPr>
      <w:r>
        <w:t>运行方式：python chapter_exercise.py</w:t>
      </w:r>
    </w:p>
    <w:p>
      <w:pPr>
        <w:pStyle w:val="CodeBlock"/>
        <w:spacing w:after="0"/>
        <w:ind w:firstLine="0"/>
      </w:pPr>
      <w:r>
        <w:t>所有合成数据仅用于验证接口；换用真实数据时必须保留样品/批次分组。</w:t>
      </w:r>
    </w:p>
    <w:p>
      <w:pPr>
        <w:pStyle w:val="CodeBlock"/>
        <w:spacing w:after="0"/>
        <w:ind w:firstLine="0"/>
      </w:pPr>
      <w:r>
        <w:t>"""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import numpy as np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rng = np.random.default_rng(42)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query=rng.random(200)</w:t>
      </w:r>
    </w:p>
    <w:p>
      <w:pPr>
        <w:pStyle w:val="CodeBlock"/>
        <w:spacing w:after="0"/>
        <w:ind w:firstLine="0"/>
      </w:pPr>
      <w:r>
        <w:t>library=rng.random((100,200))</w:t>
      </w:r>
    </w:p>
    <w:p>
      <w:pPr>
        <w:pStyle w:val="CodeBlock"/>
        <w:spacing w:after="0"/>
        <w:ind w:firstLine="0"/>
      </w:pPr>
      <w:r>
        <w:t>def cosine(a,b):</w:t>
      </w:r>
    </w:p>
    <w:p>
      <w:pPr>
        <w:pStyle w:val="CodeBlock"/>
        <w:spacing w:after="0"/>
        <w:ind w:firstLine="0"/>
      </w:pPr>
      <w:r>
        <w:t xml:space="preserve">    return float(a@b/(np.linalg.norm(a)*np.linalg.norm(b)+1e-12))</w:t>
      </w:r>
    </w:p>
    <w:p>
      <w:pPr>
        <w:pStyle w:val="CodeBlock"/>
        <w:spacing w:after="0"/>
        <w:ind w:firstLine="0"/>
      </w:pPr>
      <w:r>
        <w:t>scores=np.array([cosine(query,ref) for ref in library])</w:t>
      </w:r>
    </w:p>
    <w:p>
      <w:pPr>
        <w:pStyle w:val="CodeBlock"/>
        <w:spacing w:after="0"/>
        <w:ind w:firstLine="0"/>
      </w:pPr>
      <w:r>
        <w:t>topk=np.argsort(scores)[-10:][::-1]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# TODO 1: 用课程或开放数据替换合成输入，明确对象为GC-MS峰、碎片谱、保留指数及互补NMR/IR证据。</w:t>
      </w:r>
    </w:p>
    <w:p>
      <w:pPr>
        <w:pStyle w:val="CodeBlock"/>
        <w:spacing w:after="0"/>
        <w:ind w:firstLine="0"/>
      </w:pPr>
      <w:r>
        <w:t># TODO 2: 实现用库外化合物和真实共洗脱峰检验开放集性能，并与随机划分或默认流程对照。</w:t>
      </w:r>
    </w:p>
    <w:p>
      <w:pPr>
        <w:pStyle w:val="CodeBlock"/>
        <w:spacing w:after="0"/>
        <w:ind w:firstLine="0"/>
      </w:pPr>
      <w:r>
        <w:t># TODO 3: 输出分析Top-k遗漏、保留指数冲突与多谱证据矛盾，据此判断能否输出候选排序、证据矩阵和无法确认的原因。</w:t>
      </w:r>
    </w:p>
    <w:p>
      <w:pPr>
        <w:pStyle w:val="2"/>
      </w:pPr>
      <w:r>
        <w:t>【本章小结】</w:t>
      </w:r>
    </w:p>
    <w:p>
      <w:r>
        <w:t>本章以色谱峰、质谱碎片、NMR和保留信息为对象，把测量原理、数据表示、模型计算和分析决策连成完整链条。掌握本章的标准，不是记住模型名称，而是能够说明数据如何生成、结论怎样验证、方法在哪些条件下失效。</w:t>
      </w:r>
    </w:p>
    <w:p>
      <w:pPr>
        <w:pStyle w:val="2"/>
      </w:pPr>
      <w:r>
        <w:t>【思考题与计算题】</w:t>
      </w:r>
    </w:p>
    <w:p>
      <w:pPr>
        <w:ind w:firstLine="0"/>
      </w:pPr>
      <w:r>
        <w:t>1. 为“联合GC-MS碎片与保留指数解析未知峰”画出测量链并标出三处可能失真位置。</w:t>
      </w:r>
    </w:p>
    <w:p>
      <w:pPr>
        <w:ind w:firstLine="0"/>
      </w:pPr>
      <w:r>
        <w:t>2. 选择一个核心方法，写出输入、输出、参数、假设和两个失效条件。</w:t>
      </w:r>
    </w:p>
    <w:p>
      <w:pPr>
        <w:ind w:firstLine="0"/>
      </w:pPr>
      <w:r>
        <w:t>3. 建立经典基线，给出复杂模型必须超过的独立评价门槛。</w:t>
      </w:r>
    </w:p>
    <w:p>
      <w:pPr>
        <w:ind w:firstLine="0"/>
      </w:pPr>
      <w:r>
        <w:t>4. 设计符合未来使用条件的分组或外推划分，并与随机划分比较。</w:t>
      </w:r>
    </w:p>
    <w:p>
      <w:pPr>
        <w:ind w:firstLine="0"/>
      </w:pPr>
      <w:r>
        <w:t>5. 完成配套代码，增加一个单元测试和一个失败样本可视化。</w:t>
      </w:r>
    </w:p>
    <w:p>
      <w:pPr>
        <w:ind w:firstLine="0"/>
      </w:pPr>
      <w:r>
        <w:t>6. 设计能区分化学信息与批次捷径的对照实验。</w:t>
      </w:r>
    </w:p>
    <w:sectPr w:rsidR="00DF2813">
      <w:headerReference w:type="default" r:id="rId9"/>
      <w:footerReference w:type="default" r:id="rId10"/>
      <w:pgSz w:w="10488" w:h="14740"/>
      <w:pgMar w:top="1417" w:right="1247" w:bottom="141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41C9A" w14:textId="77777777" w:rsidR="000B6296" w:rsidRDefault="000B6296">
      <w:pPr>
        <w:spacing w:after="0"/>
      </w:pPr>
      <w:r>
        <w:separator/>
      </w:r>
    </w:p>
  </w:endnote>
  <w:endnote w:type="continuationSeparator" w:id="0">
    <w:p w14:paraId="02E66D36" w14:textId="77777777" w:rsidR="000B6296" w:rsidRDefault="000B62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E3B54" w14:textId="77777777" w:rsidR="00DF2813" w:rsidRDefault="00DF281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AC7C5" w14:textId="486F403A" w:rsidR="00DF2813" w:rsidRDefault="000B6296">
    <w:pPr>
      <w:jc w:val="center"/>
    </w:pPr>
    <w:r/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1DDB" w14:textId="77777777" w:rsidR="000B6296" w:rsidRDefault="000B6296">
      <w:pPr>
        <w:spacing w:after="0"/>
      </w:pPr>
      <w:r>
        <w:separator/>
      </w:r>
    </w:p>
  </w:footnote>
  <w:footnote w:type="continuationSeparator" w:id="0">
    <w:p w14:paraId="10E87919" w14:textId="77777777" w:rsidR="000B6296" w:rsidRDefault="000B62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A9FA5" w14:textId="77777777" w:rsidR="00DF2813" w:rsidRDefault="00DF28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B503F" w14:textId="77777777" w:rsidR="00DF2813" w:rsidRDefault="000B6296">
    <w:pPr>
      <w:jc w:val="center"/>
    </w:pPr>
    <w:r>
      <w:t>智能分析化学 · 第10章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00A994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00A99413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00A9941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7"/>
    <w:multiLevelType w:val="multilevel"/>
    <w:tmpl w:val="00A99417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9"/>
    <w:multiLevelType w:val="multilevel"/>
    <w:tmpl w:val="00A99419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0"/>
    <w:multiLevelType w:val="multilevel"/>
    <w:tmpl w:val="0A994110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1"/>
    <w:multiLevelType w:val="multilevel"/>
    <w:tmpl w:val="0A994111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3"/>
    <w:multiLevelType w:val="multilevel"/>
    <w:tmpl w:val="0A994113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64">
    <w:abstractNumId w:val="9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0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5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9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813"/>
    <w:rsid w:val="000B6296"/>
    <w:rsid w:val="003208BF"/>
    <w:rsid w:val="00DF2813"/>
    <w:rsid w:val="06A724A7"/>
    <w:rsid w:val="192E7DCB"/>
    <w:rsid w:val="3C4076A1"/>
    <w:rsid w:val="60143417"/>
    <w:rsid w:val="629F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6579"/>
  <w15:docId w15:val="{205839D2-68C0-46F1-AD46-0C8BD552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footnote reference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24" w:lineRule="auto"/>
      <w:ind w:firstLine="460"/>
    </w:pPr>
    <w:rPr>
      <w:rFonts w:eastAsiaTheme="minorHAnsi" w:ascii="Arial Unicode MS" w:hAnsi="Arial Unicode MS" w:eastAsia="Arial Unicode MS" w:cs="Arial Unicode MS"/>
      <w:sz w:val="23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character" w:default="1" w:styleId="a1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a2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  <w:rPr>
      <w:rFonts w:ascii="Arial Unicode MS" w:hAnsi="Arial Unicode MS" w:eastAsia="Arial Unicode MS" w:cs="Arial Unicode MS"/>
    </w:rPr>
  </w:style>
  <w:style w:type="paragraph" w:styleId="a5">
    <w:name w:val="caption"/>
    <w:basedOn w:val="a"/>
    <w:pPr>
      <w:spacing w:after="120"/>
    </w:pPr>
    <w:rPr>
      <w:rFonts w:ascii="Arial Unicode MS" w:hAnsi="Arial Unicode MS" w:eastAsia="Arial Unicode MS" w:cs="Arial Unicode MS"/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rFonts w:ascii="Arial Unicode MS" w:hAnsi="Arial Unicode MS" w:eastAsia="Arial Unicode MS" w:cs="Arial Unicode MS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rFonts w:ascii="Arial Unicode MS" w:hAnsi="Arial Unicode MS" w:eastAsia="Arial Unicode MS" w:cs="Arial Unicode MS"/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45A8A"/>
      <w:sz w:val="36"/>
      <w:szCs w:val="36"/>
    </w:rPr>
  </w:style>
  <w:style w:type="paragraph" w:styleId="aa">
    <w:name w:val="footnote text"/>
    <w:basedOn w:val="a"/>
    <w:uiPriority w:val="9"/>
    <w:unhideWhenUsed/>
    <w:qFormat/>
    <w:rPr>
      <w:rFonts w:ascii="Arial Unicode MS" w:hAnsi="Arial Unicode MS" w:eastAsia="Arial Unicode MS" w:cs="Arial Unicode MS"/>
    </w:rPr>
  </w:style>
  <w:style w:type="character" w:styleId="ab">
    <w:name w:val="Hyperlink"/>
    <w:basedOn w:val="a4"/>
    <w:qFormat/>
    <w:rPr>
      <w:rFonts w:ascii="Arial Unicode MS" w:hAnsi="Arial Unicode MS" w:eastAsia="Arial Unicode MS" w:cs="Arial Unicode MS"/>
      <w:color w:val="4F81BD" w:themeColor="accent1"/>
    </w:rPr>
  </w:style>
  <w:style w:type="character" w:customStyle="1" w:styleId="a4">
    <w:name w:val="正文文本 字符"/>
    <w:basedOn w:val="a1"/>
    <w:link w:val="a0"/>
    <w:qFormat/>
    <w:rPr>
      <w:rFonts w:ascii="Arial Unicode MS" w:hAnsi="Arial Unicode MS" w:eastAsia="Arial Unicode MS" w:cs="Arial Unicode MS"/>
    </w:rPr>
  </w:style>
  <w:style w:type="character" w:styleId="ac">
    <w:name w:val="footnote reference"/>
    <w:basedOn w:val="a4"/>
    <w:qFormat/>
    <w:rPr>
      <w:rFonts w:ascii="Arial Unicode MS" w:hAnsi="Arial Unicode MS" w:eastAsia="Arial Unicode MS" w:cs="Arial Unicode MS"/>
      <w:vertAlign w:val="superscript"/>
    </w:rPr>
  </w:style>
  <w:style w:type="paragraph" w:customStyle="1" w:styleId="FirstParagraph">
    <w:name w:val="First Paragraph"/>
    <w:basedOn w:val="a0"/>
    <w:next w:val="a0"/>
    <w:qFormat/>
    <w:rPr>
      <w:rFonts w:ascii="Arial Unicode MS" w:hAnsi="Arial Unicode MS" w:eastAsia="Arial Unicode MS" w:cs="Arial Unicode MS"/>
    </w:rPr>
  </w:style>
  <w:style w:type="paragraph" w:customStyle="1" w:styleId="Compact">
    <w:name w:val="Compact"/>
    <w:basedOn w:val="a0"/>
    <w:qFormat/>
    <w:pPr>
      <w:spacing w:before="36" w:after="36"/>
    </w:pPr>
    <w:rPr>
      <w:rFonts w:ascii="Arial Unicode MS" w:hAnsi="Arial Unicode MS" w:eastAsia="Arial Unicode MS" w:cs="Arial Unicode MS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rFonts w:ascii="Arial Unicode MS" w:hAnsi="Arial Unicode MS" w:eastAsia="Arial Unicode MS" w:cs="Arial Unicode MS"/>
      <w:sz w:val="20"/>
      <w:szCs w:val="20"/>
    </w:rPr>
  </w:style>
  <w:style w:type="paragraph" w:customStyle="1" w:styleId="10">
    <w:name w:val="书目1"/>
    <w:basedOn w:val="a"/>
    <w:qFormat/>
    <w:rPr>
      <w:rFonts w:ascii="Arial Unicode MS" w:hAnsi="Arial Unicode MS" w:eastAsia="Arial Unicode MS" w:cs="Arial Unicode MS"/>
    </w:rPr>
  </w:style>
  <w:style w:type="table" w:customStyle="1" w:styleId="Table">
    <w:name w:val="Table"/>
    <w:semiHidden/>
    <w:unhideWhenUsed/>
    <w:qFormat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Arial Unicode MS" w:hAnsi="Arial Unicode MS" w:eastAsia="Arial Unicode MS" w:cs="Arial Unicode MS"/>
      <w:b/>
    </w:rPr>
  </w:style>
  <w:style w:type="paragraph" w:customStyle="1" w:styleId="Definition">
    <w:name w:val="Definition"/>
    <w:basedOn w:val="a"/>
    <w:rPr>
      <w:rFonts w:ascii="Arial Unicode MS" w:hAnsi="Arial Unicode MS" w:eastAsia="Arial Unicode MS" w:cs="Arial Unicode MS"/>
    </w:rPr>
  </w:style>
  <w:style w:type="paragraph" w:customStyle="1" w:styleId="TableCaption">
    <w:name w:val="Table Caption"/>
    <w:basedOn w:val="a5"/>
    <w:qFormat/>
    <w:pPr>
      <w:keepNext/>
    </w:pPr>
    <w:rPr>
      <w:rFonts w:ascii="Arial Unicode MS" w:hAnsi="Arial Unicode MS" w:eastAsia="Arial Unicode MS" w:cs="Arial Unicode MS"/>
    </w:rPr>
  </w:style>
  <w:style w:type="paragraph" w:customStyle="1" w:styleId="ImageCaption">
    <w:name w:val="Image Caption"/>
    <w:basedOn w:val="a5"/>
    <w:qFormat/>
    <w:rPr>
      <w:rFonts w:ascii="Arial Unicode MS" w:hAnsi="Arial Unicode MS" w:eastAsia="Arial Unicode MS" w:cs="Arial Unicode MS"/>
    </w:rPr>
  </w:style>
  <w:style w:type="paragraph" w:customStyle="1" w:styleId="Figure">
    <w:name w:val="Figure"/>
    <w:basedOn w:val="a"/>
    <w:qFormat/>
    <w:rPr>
      <w:rFonts w:ascii="Arial Unicode MS" w:hAnsi="Arial Unicode MS" w:eastAsia="Arial Unicode MS" w:cs="Arial Unicode MS"/>
    </w:rPr>
  </w:style>
  <w:style w:type="paragraph" w:customStyle="1" w:styleId="CaptionedFigure">
    <w:name w:val="Captioned Figure"/>
    <w:basedOn w:val="Figure"/>
    <w:qFormat/>
    <w:pPr>
      <w:keepNext/>
    </w:pPr>
    <w:rPr>
      <w:rFonts w:ascii="Arial Unicode MS" w:hAnsi="Arial Unicode MS" w:eastAsia="Arial Unicode MS" w:cs="Arial Unicode MS"/>
    </w:rPr>
  </w:style>
  <w:style w:type="character" w:customStyle="1" w:styleId="VerbatimChar">
    <w:name w:val="Verbatim Char"/>
    <w:basedOn w:val="a4"/>
    <w:link w:val="SourceCode"/>
    <w:qFormat/>
    <w:rPr>
      <w:rFonts w:ascii="Arial Unicode MS" w:hAnsi="Arial Unicode MS" w:eastAsia="Arial Unicode MS" w:cs="Arial Unicode MS"/>
      <w:sz w:val="22"/>
    </w:rPr>
  </w:style>
  <w:style w:type="paragraph" w:customStyle="1" w:styleId="SourceCode">
    <w:name w:val="Source Code"/>
    <w:basedOn w:val="a"/>
    <w:link w:val="VerbatimChar"/>
    <w:qFormat/>
    <w:pPr>
      <w:shd w:val="clear" w:color="auto" w:fill="F8F8F8"/>
      <w:wordWrap w:val="0"/>
    </w:pPr>
    <w:rPr>
      <w:rFonts w:ascii="Arial Unicode MS" w:hAnsi="Arial Unicode MS" w:eastAsia="Arial Unicode MS" w:cs="Arial Unicode MS"/>
    </w:rPr>
  </w:style>
  <w:style w:type="character" w:customStyle="1" w:styleId="SectionNumber">
    <w:name w:val="Section Number"/>
    <w:basedOn w:val="a4"/>
    <w:qFormat/>
    <w:rPr>
      <w:rFonts w:ascii="Arial Unicode MS" w:hAnsi="Arial Unicode MS" w:eastAsia="Arial Unicode MS" w:cs="Arial Unicode MS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Arial Unicode MS" w:hAnsi="Arial Unicode MS" w:eastAsia="Arial Unicode MS" w:cs="Arial Unicode MS"/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qFormat/>
    <w:rPr>
      <w:rFonts w:ascii="Arial Unicode MS" w:hAnsi="Arial Unicode MS" w:eastAsia="Arial Unicode MS" w:cs="Arial Unicode M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CommentTok">
    <w:name w:val="Comment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qFormat/>
    <w:rPr>
      <w:rFonts w:ascii="Arial Unicode MS" w:hAnsi="Arial Unicode MS" w:eastAsia="Arial Unicode MS" w:cs="Arial Unicode M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qFormat/>
    <w:rPr>
      <w:rFonts w:ascii="Arial Unicode MS" w:hAnsi="Arial Unicode MS" w:eastAsia="Arial Unicode MS" w:cs="Arial Unicode M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ExtensionTok">
    <w:name w:val="Extensio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PreprocessorTok">
    <w:name w:val="Preprocessor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qFormat/>
    <w:rPr>
      <w:rFonts w:ascii="Arial Unicode MS" w:hAnsi="Arial Unicode MS" w:eastAsia="Arial Unicode MS" w:cs="Arial Unicode M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InformationTok">
    <w:name w:val="Inform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qFormat/>
    <w:rPr>
      <w:rFonts w:ascii="Arial Unicode MS" w:hAnsi="Arial Unicode MS" w:eastAsia="Arial Unicode MS" w:cs="Arial Unicode M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qFormat/>
    <w:rPr>
      <w:rFonts w:ascii="Arial Unicode MS" w:hAnsi="Arial Unicode MS" w:eastAsia="Arial Unicode MS" w:cs="Arial Unicode M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paragraph" w:customStyle="1" w:styleId="CodeBlock">
    <w:name w:val="Code Block"/>
    <w:pPr>
      <w:spacing w:line="240" w:lineRule="auto"/>
      <w:ind w:firstLine="0" w:left="283"/>
      <w:shd w:fill="F2F2F2"/>
    </w:pPr>
    <w:rPr>
      <w:rFonts w:ascii="Menlo" w:hAnsi="Menlo" w:eastAsia="Menlo" w:cs="Menl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497</Pages>
  <Words>78486</Words>
  <Characters>447373</Characters>
  <Application>Microsoft Office Word</Application>
  <DocSecurity>0</DocSecurity>
  <Lines>3728</Lines>
  <Paragraphs>1049</Paragraphs>
  <ScaleCrop>false</ScaleCrop>
  <Company/>
  <LinksUpToDate>false</LinksUpToDate>
  <CharactersWithSpaces>524810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2026-05-06T14:15:00Z</dcterms:created>
  <dcterms:modified xsi:type="dcterms:W3CDTF">2026-05-07T01:22:00Z</dcterms:modified>
  <dc:title>第10章 质谱、色谱、核磁与结构解析</dc:title>
  <dc:subject>《智能分析化学》出版内容初稿v2.2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eyJoZGlkIjoiMDljYzUzMWQ4OWI0YzBkYjYzMDRhZTY5ZjZkYmFmYTgiLCJ1c2VySWQiOiIzNDY3ODI5MDMifQ==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74DB65D882BD4BF7A9A58B5557D771E8_12</vt:lpwstr>
  </property>
</Properties>
</file>