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第12章 生物分析、单细胞与多组学测量</w:t>
      </w:r>
    </w:p>
    <w:p>
      <w:pPr>
        <w:pStyle w:val="a8"/>
        <w:ind w:firstLine="0"/>
        <w:jc w:val="center"/>
      </w:pPr>
      <w:r>
        <w:t>第3篇 智能仪器分析与复杂分析对象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高维、小样本、批次显著的生物数据怎样产生可信而非伪独立的证据？ 本章以序列、单细胞、组学和空间表型为对象，落实“保留测序、纳米孔、蛋白质和单细胞内容，突出层级重复与多模态参照。”。贯穿案例为“用质谱参照连接单细胞拉曼与组学表型”。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（1）能够说明序列、单细胞、组学和空间表型在本章中的数据结构与主要信息来源。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（3）能够以“尊重生物层级、批次和参照测量误差”设计训练、验证和独立测试。</w:t>
      </w:r>
    </w:p>
    <w:p>
      <w:pPr>
        <w:ind w:firstLine="0"/>
      </w:pPr>
      <w:r>
        <w:t>（4）能够完成“用质谱参照连接单细胞拉曼与组学表型”的最小代码实验并分析失败样本。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2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图12-1  第12章知识图谱</w:t>
      </w:r>
    </w:p>
    <w:p>
      <w:pPr>
        <w:pStyle w:val="2"/>
      </w:pPr>
      <w:r>
        <w:t>12.1 生物分子的结构、功能与分析条件</w:t>
      </w:r>
    </w:p>
    <w:p>
      <w:r>
        <w:t>本节围绕“生物分子的结构、功能与分析条件”展开。分析对象是序列、单细胞、组学和空间表型，核心不是罗列名词，而是说明核酸、蛋白质、脂质、糖和小分子、结构—功能关系、pH、温度、溶剂和稳定性、生物标志物与复杂基质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生物分子的结构、功能与分析条件”中，技术路线遵循“尊重生物层级、批次和参照测量误差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质谱参照连接单细胞拉曼与组学表型”落实到生物标志物与复杂基质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12.1.1 核酸、蛋白质、脂质、糖和小分子</w:t>
      </w:r>
    </w:p>
    <w:p>
      <w:r>
        <w:t>就“核酸、蛋白质、脂质、糖和小分子”而言，在“生物分子的结构、功能与分析条件”中，核酸、蛋白质、脂质、糖和小分子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核酸、蛋白质、脂质、糖和小分子”用于“生物分子的结构、功能与分析条件”时，本书用“用质谱参照连接单细胞拉曼与组学表型”检验核酸、蛋白质、脂质、糖和小分子。实现时遵循“尊重生物层级、批次和参照测量误差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12.1.2 结构—功能关系</w:t>
      </w:r>
    </w:p>
    <w:p>
      <w:r>
        <w:t>就“结构—功能关系”而言，结构—功能关系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结构—功能关系”用于“生物分子的结构、功能与分析条件”时，可信解释需要至少一条独立证据链：改变实验条件观察可预测响应、使用互补仪器验证候选，或以标准物质复现特征。显著性图、注意力和SHAP可定位模型依赖，却不能替代干预和机理实验。最终报告需要给出适用范围和拒绝条件，使方法在证据不足时能够停止输出。</w:t>
      </w:r>
    </w:p>
    <w:p>
      <w:pPr>
        <w:pStyle w:val="3"/>
      </w:pPr>
      <w:r>
        <w:t>12.1.3 pH、温度、溶剂和稳定性</w:t>
      </w:r>
    </w:p>
    <w:p>
      <w:r>
        <w:t>就“pH、温度、溶剂和稳定性”而言，pH、温度、溶剂和稳定性的目标是判断样品中存在什么，而不是仅把信号分到一个已知类别。可靠识别至少需要选择性响应、参照物或谱库、相似干扰物以及库外样品；若候选集合不完整，最高匹配分只能表示‘在当前库中最相似’，不能等同于身份确认。</w:t>
      </w:r>
    </w:p>
    <w:p>
      <w:r>
        <w:t>把“pH、温度、溶剂和稳定性”用于“生物分子的结构、功能与分析条件”时，定性流程应把检出、候选筛选和确证分开。检出阶段控制空白和假阳性，筛选阶段报告Top-k候选及分数差，确证阶段依靠保留信息、互补谱学或标准物质。模型还应设置拒识阈值，避免对训练分布之外的样品强行命名。教学上应把该概念落实为可观察变量、可运行程序和可反驳检验三层。</w:t>
      </w:r>
    </w:p>
    <w:p>
      <w:pPr>
        <w:pStyle w:val="3"/>
      </w:pPr>
      <w:r>
        <w:t>12.1.4 生物标志物与复杂基质</w:t>
      </w:r>
    </w:p>
    <w:p>
      <w:r>
        <w:t>就“生物标志物与复杂基质”而言，在“生物分子的结构、功能与分析条件”中，生物标志物与复杂基质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生物标志物与复杂基质”用于“生物分子的结构、功能与分析条件”时，本书用“用质谱参照连接单细胞拉曼与组学表型”检验生物标志物与复杂基质。实现时遵循“尊重生物层级、批次和参照测量误差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12.2 浓度、标准曲线、内标和复杂基质</w:t>
      </w:r>
    </w:p>
    <w:p>
      <w:r>
        <w:t>本节围绕“浓度、标准曲线、内标和复杂基质”展开。分析对象是序列、单细胞、组学和空间表型，核心不是罗列名词，而是说明质量、体积、摩尔和浓度、标准曲线、内标和加标回收、样品前处理和基质效应、检测限、定量限和动态范围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浓度、标准曲线、内标和复杂基质”中，技术路线遵循“尊重生物层级、批次和参照测量误差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质谱参照连接单细胞拉曼与组学表型”落实到检测限、定量限和动态范围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12.2.1 质量、体积、摩尔和浓度</w:t>
      </w:r>
    </w:p>
    <w:p>
      <w:r>
        <w:t>就“质量、体积、摩尔和浓度”而言，质量、体积、摩尔和浓度要求把仪器响应连接到可溯源的量值。校准曲线不仅是一条拟合线，还隐含标准物质、基质、量程、样品前处理和响应稳定性；斜率反映灵敏度，截距与残差可暴露空白、背景和模型失配。</w:t>
      </w:r>
    </w:p>
    <w:p>
      <w:r>
        <w:t>把“质量、体积、摩尔和浓度”用于“浓度、标准曲线、内标和复杂基质”时，定量结果至少同时检查偏差、精密度、线性或适用范围、检出限、定量限和回收率。多元模型同样要用独立样品验证，并报告浓度外推、基质变化和仪器漂移下的误差；小数位不能超过参照值和不确定度所支持的精度。读图或读指标时应返回原始数据抽查，避免把表示空间中的几何关系直接当成化学机制。</w:t>
      </w:r>
    </w:p>
    <w:p>
      <w:pPr>
        <w:pStyle w:val="3"/>
      </w:pPr>
      <w:r>
        <w:t>12.2.2 标准曲线、内标和加标回收</w:t>
      </w:r>
    </w:p>
    <w:p>
      <w:r>
        <w:t>就“标准曲线、内标和加标回收”而言，在“浓度、标准曲线、内标和复杂基质”中，标准曲线、内标和加标回收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标准曲线、内标和加标回收”用于“浓度、标准曲线、内标和复杂基质”时，本书用“用质谱参照连接单细胞拉曼与组学表型”检验标准曲线、内标和加标回收。实现时遵循“尊重生物层级、批次和参照测量误差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12.2.3 样品前处理和基质效应</w:t>
      </w:r>
    </w:p>
    <w:p>
      <w:r>
        <w:t>就“样品前处理和基质效应”而言，在“浓度、标准曲线、内标和复杂基质”中，样品前处理和基质效应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样品前处理和基质效应”用于“浓度、标准曲线、内标和复杂基质”时，本书用“用质谱参照连接单细胞拉曼与组学表型”检验样品前处理和基质效应。实现时遵循“尊重生物层级、批次和参照测量误差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12.2.4 检测限、定量限和动态范围</w:t>
      </w:r>
    </w:p>
    <w:p>
      <w:r>
        <w:t>就“检测限、定量限和动态范围”而言，检测限、定量限和动态范围要求把仪器响应连接到可溯源的量值。校准曲线不仅是一条拟合线，还隐含标准物质、基质、量程、样品前处理和响应稳定性；斜率反映灵敏度，截距与残差可暴露空白、背景和模型失配。</w:t>
      </w:r>
    </w:p>
    <w:p>
      <w:r>
        <w:t>把“检测限、定量限和动态范围”用于“浓度、标准曲线、内标和复杂基质”时，定量结果至少同时检查偏差、精密度、线性或适用范围、检出限、定量限和回收率。多元模型同样要用独立样品验证，并报告浓度外推、基质变化和仪器漂移下的误差；小数位不能超过参照值和不确定度所支持的精度。在真实项目中，还应保存参数、软件版本和输入校验结果，以便定位变化来自样品还是计算。</w:t>
      </w:r>
    </w:p>
    <w:p>
      <w:pPr>
        <w:pStyle w:val="2"/>
      </w:pPr>
      <w:r>
        <w:t>12.3 基因组、二代/三代测序与序列信号</w:t>
      </w:r>
    </w:p>
    <w:p>
      <w:r>
        <w:t>本节围绕“基因组、二代/三代测序与序列信号”展开。分析对象是序列、单细胞、组学和空间表型，核心不是罗列名词，而是说明中心法则和序列信息、Sanger测序、二代高通量测序、三代单分子测序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基因组、二代/三代测序与序列信号”中，技术路线遵循“尊重生物层级、批次和参照测量误差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质谱参照连接单细胞拉曼与组学表型”落实到测序误差和AI碱基识别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12.3.1 中心法则和序列信息</w:t>
      </w:r>
    </w:p>
    <w:p>
      <w:r>
        <w:t>就“中心法则和序列信息”而言，在“基因组、二代/三代测序与序列信号”中，中心法则和序列信息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中心法则和序列信息”用于“基因组、二代/三代测序与序列信号”时，本书用“用质谱参照连接单细胞拉曼与组学表型”检验中心法则和序列信息。实现时遵循“尊重生物层级、批次和参照测量误差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12.3.2 Sanger测序</w:t>
      </w:r>
    </w:p>
    <w:p>
      <w:r>
        <w:t>就“Sanger测序”而言，在“基因组、二代/三代测序与序列信号”中，Sanger测序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Sanger测序”用于“基因组、二代/三代测序与序列信号”时，本书用“用质谱参照连接单细胞拉曼与组学表型”检验Sanger测序。实现时遵循“尊重生物层级、批次和参照测量误差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12.3.3 二代高通量测序</w:t>
      </w:r>
    </w:p>
    <w:p>
      <w:r>
        <w:t>就“二代高通量测序”而言，在“基因组、二代/三代测序与序列信号”中，二代高通量测序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二代高通量测序”用于“基因组、二代/三代测序与序列信号”时，本书用“用质谱参照连接单细胞拉曼与组学表型”检验二代高通量测序。实现时遵循“尊重生物层级、批次和参照测量误差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12.3.4 三代单分子测序</w:t>
      </w:r>
    </w:p>
    <w:p>
      <w:r>
        <w:t>就“三代单分子测序”而言，在“基因组、二代/三代测序与序列信号”中，三代单分子测序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三代单分子测序”用于“基因组、二代/三代测序与序列信号”时，本书用“用质谱参照连接单细胞拉曼与组学表型”检验三代单分子测序。实现时遵循“尊重生物层级、批次和参照测量误差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12.3.5 测序误差和AI碱基识别</w:t>
      </w:r>
    </w:p>
    <w:p>
      <w:r>
        <w:t>就“测序误差和AI碱基识别”而言，围绕“测序误差和AI碱基识别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测序误差和AI碱基识别”用于“基因组、二代/三代测序与序列信号”时，在“基因组、二代/三代测序与序列信号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若该步骤改变了样品单位、统计独立性或物理峰形，必须在独立数据上重新证明其有效性。</w:t>
      </w:r>
    </w:p>
    <w:p>
      <w:pPr>
        <w:pStyle w:val="2"/>
      </w:pPr>
      <w:r>
        <w:t>12.4 纳米孔单分子电流及机器识别</w:t>
      </w:r>
    </w:p>
    <w:p>
      <w:r>
        <w:t>本节围绕“纳米孔单分子电流及机器识别”展开。分析对象是序列、单细胞、组学和空间表型，核心不是罗列名词，而是说明纳米孔限域和易位、pA级电流和时间分辨、DNA/RNA及修饰识别、蛋白、糖和氨基酸检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纳米孔单分子电流及机器识别”中，技术路线遵循“尊重生物层级、批次和参照测量误差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质谱参照连接单细胞拉曼与组学表型”落实到电流信号分类和序列模型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12.4.1 纳米孔限域和易位</w:t>
      </w:r>
    </w:p>
    <w:p>
      <w:r>
        <w:t>就“纳米孔限域和易位”而言，在“纳米孔单分子电流及机器识别”中，纳米孔限域和易位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纳米孔限域和易位”用于“纳米孔单分子电流及机器识别”时，本书用“用质谱参照连接单细胞拉曼与组学表型”检验纳米孔限域和易位。实现时遵循“尊重生物层级、批次和参照测量误差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12.4.2 pA级电流和时间分辨</w:t>
      </w:r>
    </w:p>
    <w:p>
      <w:r>
        <w:t>就“pA级电流和时间分辨”而言，pA级电流和时间分辨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pA级电流和时间分辨”用于“纳米孔单分子电流及机器识别”时，建模时应保存真实时间戳、同步误差和操作事件，避免把等间隔文件序号当作真实时间。对于在线控制，还要区分毫秒级设备反馈与分钟级科学决策，并用状态估计处理不可直接观察的化学状态。最终报告需要给出适用范围和拒绝条件，使方法在证据不足时能够停止输出。</w:t>
      </w:r>
    </w:p>
    <w:p>
      <w:pPr>
        <w:pStyle w:val="3"/>
      </w:pPr>
      <w:r>
        <w:t>12.4.3 DNA/RNA及修饰识别</w:t>
      </w:r>
    </w:p>
    <w:p>
      <w:r>
        <w:t>就“DNA/RNA及修饰识别”而言，DNA/RNA及修饰识别的目标是判断样品中存在什么，而不是仅把信号分到一个已知类别。可靠识别至少需要选择性响应、参照物或谱库、相似干扰物以及库外样品；若候选集合不完整，最高匹配分只能表示‘在当前库中最相似’，不能等同于身份确认。</w:t>
      </w:r>
    </w:p>
    <w:p>
      <w:r>
        <w:t>把“DNA/RNA及修饰识别”用于“纳米孔单分子电流及机器识别”时，定性流程应把检出、候选筛选和确证分开。检出阶段控制空白和假阳性，筛选阶段报告Top-k候选及分数差，确证阶段依靠保留信息、互补谱学或标准物质。模型还应设置拒识阈值，避免对训练分布之外的样品强行命名。教学上应把该概念落实为可观察变量、可运行程序和可反驳检验三层。</w:t>
      </w:r>
    </w:p>
    <w:p>
      <w:pPr>
        <w:pStyle w:val="3"/>
      </w:pPr>
      <w:r>
        <w:t>12.4.4 蛋白、糖和氨基酸检测</w:t>
      </w:r>
    </w:p>
    <w:p>
      <w:r>
        <w:t>就“蛋白、糖和氨基酸检测”而言，在“纳米孔单分子电流及机器识别”中，蛋白、糖和氨基酸检测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蛋白、糖和氨基酸检测”用于“纳米孔单分子电流及机器识别”时，本书用“用质谱参照连接单细胞拉曼与组学表型”检验蛋白、糖和氨基酸检测。实现时遵循“尊重生物层级、批次和参照测量误差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12.4.5 电流信号分类和序列模型</w:t>
      </w:r>
    </w:p>
    <w:p>
      <w:r>
        <w:t>就“电流信号分类和序列模型”而言，在“纳米孔单分子电流及机器识别”中，电流信号分类和序列模型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电流信号分类和序列模型”用于“纳米孔单分子电流及机器识别”时，本书用“用质谱参照连接单细胞拉曼与组学表型”检验电流信号分类和序列模型。实现时遵循“尊重生物层级、批次和参照测量误差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2"/>
      </w:pPr>
      <w:r>
        <w:t>12.5 蛋白质组、结构生物学与相互作用</w:t>
      </w:r>
    </w:p>
    <w:p>
      <w:r>
        <w:t>本节围绕“蛋白质组、结构生物学与相互作用”展开。分析对象是序列、单细胞、组学和空间表型，核心不是罗列名词，而是说明蛋白质序列、结构和功能、质谱蛋白组学、蛋白相互作用、结构预测与生成模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蛋白质组、结构生物学与相互作用”中，技术路线遵循“尊重生物层级、批次和参照测量误差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质谱参照连接单细胞拉曼与组学表型”落实到参照结构和实验验证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12.5.1 蛋白质序列、结构和功能</w:t>
      </w:r>
    </w:p>
    <w:p>
      <w:r>
        <w:t>就“蛋白质序列、结构和功能”而言，蛋白质序列、结构和功能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蛋白质序列、结构和功能”用于“蛋白质组、结构生物学与相互作用”时，可信解释需要至少一条独立证据链：改变实验条件观察可预测响应、使用互补仪器验证候选，或以标准物质复现特征。显著性图、注意力和SHAP可定位模型依赖，却不能替代干预和机理实验。读图或读指标时应返回原始数据抽查，避免把表示空间中的几何关系直接当成化学机制。</w:t>
      </w:r>
    </w:p>
    <w:p>
      <w:pPr>
        <w:pStyle w:val="3"/>
      </w:pPr>
      <w:r>
        <w:t>12.5.2 质谱蛋白组学</w:t>
      </w:r>
    </w:p>
    <w:p>
      <w:r>
        <w:t>就“质谱蛋白组学”而言，在“蛋白质组、结构生物学与相互作用”中，质谱蛋白组学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质谱蛋白组学”用于“蛋白质组、结构生物学与相互作用”时，本书用“用质谱参照连接单细胞拉曼与组学表型”检验质谱蛋白组学。实现时遵循“尊重生物层级、批次和参照测量误差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12.5.3 蛋白相互作用</w:t>
      </w:r>
    </w:p>
    <w:p>
      <w:r>
        <w:t>就“蛋白相互作用”而言，在“蛋白质组、结构生物学与相互作用”中，蛋白相互作用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蛋白相互作用”用于“蛋白质组、结构生物学与相互作用”时，本书用“用质谱参照连接单细胞拉曼与组学表型”检验蛋白相互作用。实现时遵循“尊重生物层级、批次和参照测量误差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12.5.4 结构预测与生成模型</w:t>
      </w:r>
    </w:p>
    <w:p>
      <w:r>
        <w:t>就“结构预测与生成模型”而言，结构预测与生成模型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结构预测与生成模型”用于“蛋白质组、结构生物学与相互作用”时，可信解释需要至少一条独立证据链：改变实验条件观察可预测响应、使用互补仪器验证候选，或以标准物质复现特征。显著性图、注意力和SHAP可定位模型依赖，却不能替代干预和机理实验。在真实项目中，还应保存参数、软件版本和输入校验结果，以便定位变化来自样品还是计算。</w:t>
      </w:r>
    </w:p>
    <w:p>
      <w:pPr>
        <w:pStyle w:val="3"/>
      </w:pPr>
      <w:r>
        <w:t>12.5.5 参照结构和实验验证</w:t>
      </w:r>
    </w:p>
    <w:p>
      <w:r>
        <w:t>就“参照结构和实验验证”而言，参照结构和实验验证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参照结构和实验验证”用于“蛋白质组、结构生物学与相互作用”时，可信解释需要至少一条独立证据链：改变实验条件观察可预测响应、使用互补仪器验证候选，或以标准物质复现特征。显著性图、注意力和SHAP可定位模型依赖，却不能替代干预和机理实验。若该步骤改变了样品单位、统计独立性或物理峰形，必须在独立数据上重新证明其有效性。</w:t>
      </w:r>
    </w:p>
    <w:p>
      <w:pPr>
        <w:pStyle w:val="2"/>
      </w:pPr>
      <w:r>
        <w:t>12.6 单细胞测量、伪重复与留个体外验证</w:t>
      </w:r>
    </w:p>
    <w:p>
      <w:r>
        <w:t>本节围绕“单细胞测量、伪重复与留个体外验证”展开。分析对象是序列、单细胞、组学和空间表型，核心不是罗列名词，而是说明生物重复与技术重复、细胞不等于独立个体、单细胞组学与表型、留个体外验证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单细胞测量、伪重复与留个体外验证”中，技术路线遵循“尊重生物层级、批次和参照测量误差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本节把“用质谱参照连接单细胞拉曼与组学表型”落实到ground truth不确定性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12.6.1 生物重复与技术重复</w:t>
      </w:r>
    </w:p>
    <w:p>
      <w:r>
        <w:t>就“生物重复与技术重复”而言，围绕“生物重复与技术重复”，生物重复代表独立个体或独立生物过程，技术重复代表同一样品的重复测量。把数千个细胞当作数千个独立个体会严重低估不确定性。统计检验、交叉验证和测试划分必须以生物重复为基本单位。</w:t>
      </w:r>
    </w:p>
    <w:p>
      <w:r>
        <w:t>把“生物重复与技术重复”用于“单细胞测量、伪重复与留个体外验证”时，在“单细胞测量、伪重复与留个体外验证”的语境下，批次效应来自制样、试剂、仪器、操作者和时间。校正算法只能处理被数据支持的结构，若处理组与批次完全混杂，就无法从算法上区分。所谓ground truth也可能由另一种有误差的测量提供，应把参照误差纳入讨论。读图或读指标时应返回原始数据抽查，避免把表示空间中的几何关系直接当成化学机制。</w:t>
      </w:r>
    </w:p>
    <w:p>
      <w:pPr>
        <w:pStyle w:val="3"/>
      </w:pPr>
      <w:r>
        <w:t>12.6.2 细胞不等于独立个体</w:t>
      </w:r>
    </w:p>
    <w:p>
      <w:r>
        <w:t>就“细胞不等于独立个体”而言，在“单细胞测量、伪重复与留个体外验证”中，细胞不等于独立个体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细胞不等于独立个体”用于“单细胞测量、伪重复与留个体外验证”时，本书用“用质谱参照连接单细胞拉曼与组学表型”检验细胞不等于独立个体。实现时遵循“尊重生物层级、批次和参照测量误差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12.6.3 单细胞组学与表型</w:t>
      </w:r>
    </w:p>
    <w:p>
      <w:r>
        <w:t>就“单细胞组学与表型”而言，在“单细胞测量、伪重复与留个体外验证”中，单细胞组学与表型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单细胞组学与表型”用于“单细胞测量、伪重复与留个体外验证”时，本书用“用质谱参照连接单细胞拉曼与组学表型”检验单细胞组学与表型。实现时遵循“尊重生物层级、批次和参照测量误差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12.6.4 留个体外验证</w:t>
      </w:r>
    </w:p>
    <w:p>
      <w:r>
        <w:t>就“留个体外验证”而言，在“单细胞测量、伪重复与留个体外验证”中，留个体外验证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留个体外验证”用于“单细胞测量、伪重复与留个体外验证”时，本书用“用质谱参照连接单细胞拉曼与组学表型”检验留个体外验证。实现时遵循“尊重生物层级、批次和参照测量误差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12.6.5 ground truth不确定性</w:t>
      </w:r>
    </w:p>
    <w:p>
      <w:r>
        <w:t>就“ground truth不确定性”而言，围绕“ground truth不确定性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把“ground truth不确定性”用于“单细胞测量、伪重复与留个体外验证”时，在“单细胞测量、伪重复与留个体外验证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若该步骤改变了样品单位、统计独立性或物理峰形，必须在独立数据上重新证明其有效性。</w:t>
      </w:r>
    </w:p>
    <w:p>
      <w:pPr>
        <w:pStyle w:val="2"/>
      </w:pPr>
      <w:r>
        <w:t>12.7 多组学潜变量、CCA/PLS与证据融合</w:t>
      </w:r>
    </w:p>
    <w:p>
      <w:r>
        <w:t>本节围绕“多组学潜变量、CCA/PLS与证据融合”展开。分析对象是序列、单细胞、组学和空间表型，核心不是罗列名词，而是说明早/中/晚期多模态融合、CCA和多块PLS、共享潜变量、组学—图像—谱图对齐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多组学潜变量、CCA/PLS与证据融合”中，技术路线遵循“尊重生物层级、批次和参照测量误差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质谱参照连接单细胞拉曼与组学表型”落实到缺失模态和置换检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12.7.1 早/中/晚期多模态融合</w:t>
      </w:r>
    </w:p>
    <w:p>
      <w:r>
        <w:t>就“早/中/晚期多模态融合”而言，围绕“早/中/晚期多模态融合”，多模态学习把结构、谱图、图像、文本和实验条件作为互补观测。早期融合在输入或浅层表示处拼接，要求严格对齐；晚期融合组合独立模型输出，更容易处理缺失模态；联合表示学习则直接优化跨模态对应关系。</w:t>
      </w:r>
    </w:p>
    <w:p>
      <w:r>
        <w:t>把“早/中/晚期多模态融合”用于“多组学潜变量、CCA/PLS与证据融合”时，在“多组学潜变量、CCA/PLS与证据融合”的语境下，对比学习拉近匹配样本的表示并推远不匹配样本。负样本若包含实际相似或同一对象的不同观测，会向模型提供错误监督。评价除下游性能外，还应检查检索、缺失模态稳健性和批次独立性。读图或读指标时应返回原始数据抽查，避免把表示空间中的几何关系直接当成化学机制。</w:t>
      </w:r>
    </w:p>
    <w:p>
      <w:pPr>
        <w:pStyle w:val="3"/>
      </w:pPr>
      <w:r>
        <w:t>12.7.2 CCA和多块PLS</w:t>
      </w:r>
    </w:p>
    <w:p>
      <w:r>
        <w:t>就“CCA和多块PLS”而言，围绕“CCA和多块PLS”，PCR先对X进行PCA，再用选定主成分预测y；PLS则在构造潜变量时同时考虑X的变化和X与y的协方差。因此，当与y有关的方向并非X中方差最大的方向时，PLS可能使用更少潜变量获得较好预测。</w:t>
      </w:r>
    </w:p>
    <w:p>
      <w:r>
        <w:t>把“CCA和多块PLS”用于“多组学潜变量、CCA/PLS与证据融合”时，在“多组学潜变量、CCA/PLS与证据融合”的语境下，潜变量数必须通过交叉验证选择。数量不足会遗漏有效关系，数量过多会把噪声和批次差异吸收进模型。报告时应区分校准误差、交叉验证误差和独立预测误差，并检查载荷和回归系数是否具有稳定的化学含义。最终报告需要给出适用范围和拒绝条件，使方法在证据不足时能够停止输出。</w:t>
      </w:r>
    </w:p>
    <w:p>
      <w:pPr>
        <w:pStyle w:val="3"/>
      </w:pPr>
      <w:r>
        <w:t>12.7.3 共享潜变量</w:t>
      </w:r>
    </w:p>
    <w:p>
      <w:r>
        <w:t>就“共享潜变量”而言，在“多组学潜变量、CCA/PLS与证据融合”中，共享潜变量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共享潜变量”用于“多组学潜变量、CCA/PLS与证据融合”时，本书用“用质谱参照连接单细胞拉曼与组学表型”检验共享潜变量。实现时遵循“尊重生物层级、批次和参照测量误差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12.7.4 组学—图像—谱图对齐</w:t>
      </w:r>
    </w:p>
    <w:p>
      <w:r>
        <w:t>就“组学—图像—谱图对齐”而言，围绕“组学—图像—谱图对齐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组学—图像—谱图对齐”用于“多组学潜变量、CCA/PLS与证据融合”时，在“多组学潜变量、CCA/PLS与证据融合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12.7.5 缺失模态和置换检验</w:t>
      </w:r>
    </w:p>
    <w:p>
      <w:r>
        <w:t>就“缺失模态和置换检验”而言，在“多组学潜变量、CCA/PLS与证据融合”中，缺失模态和置换检验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缺失模态和置换检验”用于“多组学潜变量、CCA/PLS与证据融合”时，本书用“用质谱参照连接单细胞拉曼与组学表型”检验缺失模态和置换检验。实现时遵循“尊重生物层级、批次和参照测量误差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2"/>
      </w:pPr>
      <w:r>
        <w:t>12.8 批次效应、参照误差与生物解释</w:t>
      </w:r>
    </w:p>
    <w:p>
      <w:r>
        <w:t>本节围绕“批次效应、参照误差与生物解释”展开。分析对象是序列、单细胞、组学和空间表型，核心不是罗列名词，而是说明批次来源和完全混杂、批次校正的可识别性、高维小样本和多重检验、生物解释与外部队列复现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批次效应、参照误差与生物解释”中，技术路线遵循“尊重生物层级、批次和参照测量误差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质谱参照连接单细胞拉曼与组学表型”落实到生物解释与外部队列复现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12.8.1 批次来源和完全混杂</w:t>
      </w:r>
    </w:p>
    <w:p>
      <w:r>
        <w:t>就“批次来源和完全混杂”而言，在“批次效应、参照误差与生物解释”中，批次来源和完全混杂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批次来源和完全混杂”用于“批次效应、参照误差与生物解释”时，本书用“用质谱参照连接单细胞拉曼与组学表型”检验批次来源和完全混杂。实现时遵循“尊重生物层级、批次和参照测量误差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12.8.2 批次校正的可识别性</w:t>
      </w:r>
    </w:p>
    <w:p>
      <w:r>
        <w:t>就“批次校正的可识别性”而言，批次校正的可识别性的目标是判断样品中存在什么，而不是仅把信号分到一个已知类别。可靠识别至少需要选择性响应、参照物或谱库、相似干扰物以及库外样品；若候选集合不完整，最高匹配分只能表示‘在当前库中最相似’，不能等同于身份确认。</w:t>
      </w:r>
    </w:p>
    <w:p>
      <w:r>
        <w:t>把“批次校正的可识别性”用于“批次效应、参照误差与生物解释”时，定性流程应把检出、候选筛选和确证分开。检出阶段控制空白和假阳性，筛选阶段报告Top-k候选及分数差，确证阶段依靠保留信息、互补谱学或标准物质。模型还应设置拒识阈值，避免对训练分布之外的样品强行命名。最终报告需要给出适用范围和拒绝条件，使方法在证据不足时能够停止输出。</w:t>
      </w:r>
    </w:p>
    <w:p>
      <w:pPr>
        <w:pStyle w:val="3"/>
      </w:pPr>
      <w:r>
        <w:t>12.8.3 高维小样本和多重检验</w:t>
      </w:r>
    </w:p>
    <w:p>
      <w:r>
        <w:t>就“高维小样本和多重检验”而言，在“批次效应、参照误差与生物解释”中，高维小样本和多重检验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高维小样本和多重检验”用于“批次效应、参照误差与生物解释”时，本书用“用质谱参照连接单细胞拉曼与组学表型”检验高维小样本和多重检验。实现时遵循“尊重生物层级、批次和参照测量误差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12.8.4 生物解释与外部队列复现</w:t>
      </w:r>
    </w:p>
    <w:p>
      <w:r>
        <w:t>就“生物解释与外部队列复现”而言，在“批次效应、参照误差与生物解释”中，生物解释与外部队列复现具体限定了序列、单细胞、组学和空间表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生物解释与外部队列复现”用于“批次效应、参照误差与生物解释”时，本书用“用质谱参照连接单细胞拉曼与组学表型”检验生物解释与外部队列复现。实现时遵循“尊重生物层级、批次和参照测量误差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（1）X≈T_xP_xᵀ+E_x；Y≈T_yP_yᵀ+E_y</w:t>
      </w:r>
    </w:p>
    <w:p>
      <w:pPr>
        <w:ind w:firstLine="0"/>
      </w:pPr>
      <w:r>
        <w:rPr>
          <w:b/>
          <w:color w:val="345A8A"/>
        </w:rPr>
        <w:t>（2）回收率=(测得增量/加入量)×100%</w:t>
      </w:r>
    </w:p>
    <w:p>
      <w:pPr>
        <w:pStyle w:val="2"/>
      </w:pPr>
      <w:r>
        <w:t>本章综合案例</w:t>
      </w:r>
    </w:p>
    <w:p>
      <w:r>
        <w:t>本章案例为“用质谱参照连接单细胞拉曼与组学表型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模拟共享潜变量的两组学数据，用CCA对齐并比较随机与留个体外验证。</w:t>
      </w:r>
    </w:p>
    <w:p>
      <w:pPr>
        <w:pStyle w:val="CodeBlock"/>
        <w:spacing w:after="0"/>
        <w:ind w:firstLine="0"/>
      </w:pPr>
      <w:r>
        <w:t>"""第12章代码练习：生物分析、单细胞与多组学测量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任务：模拟共享潜变量的两组学数据，用CCA对齐并比较随机与留个体外验证。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X=rng.normal(size=(50,20))</w:t>
      </w:r>
    </w:p>
    <w:p>
      <w:pPr>
        <w:pStyle w:val="CodeBlock"/>
        <w:spacing w:after="0"/>
        <w:ind w:firstLine="0"/>
      </w:pPr>
      <w:r>
        <w:t>Y=X[:,:3]@rng.normal(size=(3,15))+rng.normal(scale=0.2,size=(50,15))</w:t>
      </w:r>
    </w:p>
    <w:p>
      <w:pPr>
        <w:pStyle w:val="CodeBlock"/>
        <w:spacing w:after="0"/>
        <w:ind w:firstLine="0"/>
      </w:pPr>
      <w:r>
        <w:t>Xc=X-X.mean(0); Yc=Y-Y.mean(0)</w:t>
      </w:r>
    </w:p>
    <w:p>
      <w:pPr>
        <w:pStyle w:val="CodeBlock"/>
        <w:spacing w:after="0"/>
        <w:ind w:firstLine="0"/>
      </w:pPr>
      <w:r>
        <w:t>U,S,Vt=np.linalg.svd(Xc.T@Yc,full_matrices=False)</w:t>
      </w:r>
    </w:p>
    <w:p>
      <w:pPr>
        <w:pStyle w:val="CodeBlock"/>
        <w:spacing w:after="0"/>
        <w:ind w:firstLine="0"/>
      </w:pPr>
      <w:r>
        <w:t>X_score=Xc@U[:,0]; Y_score=Yc@Vt.T[:,0]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用课程或开放数据替换合成输入，明确对象为单细胞、成像表型与质谱参照组成的多组学样本。</w:t>
      </w:r>
    </w:p>
    <w:p>
      <w:pPr>
        <w:pStyle w:val="CodeBlock"/>
        <w:spacing w:after="0"/>
        <w:ind w:firstLine="0"/>
      </w:pPr>
      <w:r>
        <w:t># TODO 2: 实现按供体或患者完整留出，并与随机划分或默认流程对照。</w:t>
      </w:r>
    </w:p>
    <w:p>
      <w:pPr>
        <w:pStyle w:val="CodeBlock"/>
        <w:spacing w:after="0"/>
        <w:ind w:firstLine="0"/>
      </w:pPr>
      <w:r>
        <w:t># TODO 3: 输出区分生物重复、技术重复、批次效应和标签不确定性，据此判断能否说明不同模态贡献了互补证据还是共同偏差。</w:t>
      </w:r>
    </w:p>
    <w:p>
      <w:pPr>
        <w:pStyle w:val="2"/>
      </w:pPr>
      <w:r>
        <w:t>【本章小结】</w:t>
      </w:r>
    </w:p>
    <w:p>
      <w:r>
        <w:t>本章以序列、单细胞、组学和空间表型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为“用质谱参照连接单细胞拉曼与组学表型”画出测量链并标出三处可能失真位置。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第12章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第12章 生物分析、单细胞与多组学测量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