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9"/>
        <w:ind w:firstLine="0"/>
        <w:jc w:val="center"/>
      </w:pPr>
      <w:r>
        <w:t>第13章 多模态基础模型与知识增强分析</w:t>
      </w:r>
    </w:p>
    <w:p>
      <w:pPr>
        <w:pStyle w:val="a8"/>
        <w:ind w:firstLine="0"/>
        <w:jc w:val="center"/>
      </w:pPr>
      <w:r>
        <w:t>第4篇 跨模态、标准化与可信智能分析</w:t>
      </w:r>
    </w:p>
    <w:p>
      <w:pPr>
        <w:pStyle w:val="a8"/>
        <w:ind w:firstLine="0"/>
        <w:jc w:val="center"/>
      </w:pPr>
      <w:r>
        <w:t>出版内容初稿 v2.2</w:t>
      </w:r>
    </w:p>
    <w:p>
      <w:pPr>
        <w:pStyle w:val="2"/>
      </w:pPr>
      <w:r>
        <w:t>【章首导引】</w:t>
      </w:r>
    </w:p>
    <w:p>
      <w:r>
        <w:t>怎样把谱图、结构、图像、文本和实验条件放进同一化学语义空间？ 本章以谱图、结构、图像、文本和实验条件为对象，落实“把分散在各应用章的融合方法上升为统一表示和知识增强框架。”。贯穿案例为“建立谱图—结构对比学习和跨模态检索基线”。</w:t>
      </w:r>
    </w:p>
    <w:p>
      <w:pPr>
        <w:pStyle w:val="2"/>
      </w:pPr>
      <w:r>
        <w:t>学习目标</w:t>
      </w:r>
    </w:p>
    <w:p>
      <w:pPr>
        <w:ind w:firstLine="0"/>
      </w:pPr>
      <w:r>
        <w:t>（1）能够说明谱图、结构、图像、文本和实验条件在本章中的数据结构与主要信息来源。</w:t>
      </w:r>
    </w:p>
    <w:p>
      <w:pPr>
        <w:ind w:firstLine="0"/>
      </w:pPr>
      <w:r>
        <w:t>（2）能够解释本章关键方法的输入、输出、参数、假设和失效条件。</w:t>
      </w:r>
    </w:p>
    <w:p>
      <w:pPr>
        <w:ind w:firstLine="0"/>
      </w:pPr>
      <w:r>
        <w:t>（3）能够以“先证明模态互补，再学习共同化学语义空间”设计训练、验证和独立测试。</w:t>
      </w:r>
    </w:p>
    <w:p>
      <w:pPr>
        <w:ind w:firstLine="0"/>
      </w:pPr>
      <w:r>
        <w:t>（4）能够完成“建立谱图—结构对比学习和跨模态检索基线”的最小代码实验并分析失败样本。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32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13章_知识图谱_预览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32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5"/>
        <w:ind w:firstLine="0"/>
        <w:jc w:val="center"/>
      </w:pPr>
      <w:r>
        <w:t>图13-1  第13章知识图谱</w:t>
      </w:r>
    </w:p>
    <w:p>
      <w:pPr>
        <w:pStyle w:val="2"/>
      </w:pPr>
      <w:r>
        <w:t>13.1 单模态上限与互补分析证据</w:t>
      </w:r>
    </w:p>
    <w:p>
      <w:r>
        <w:t>本节围绕“单模态上限与互补分析证据”展开。分析对象是谱图、结构、图像、文本和实验条件，核心不是罗列名词，而是说明单一仪器的信息上限、分子—细胞—组织多尺度、光谱、质谱、图像和文本互补、数据融合与知识融合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单模态上限与互补分析证据”中，技术路线遵循“先证明模态互补，再学习共同化学语义空间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建立谱图—结构对比学习和跨模态检索基线”落实到数据融合与知识融合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13.1.1 单一仪器的信息上限</w:t>
      </w:r>
    </w:p>
    <w:p>
      <w:r>
        <w:t>就“单一仪器的信息上限”而言，在“单模态上限与互补分析证据”中，单一仪器的信息上限具体限定了谱图、结构、图像、文本和实验条件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单一仪器的信息上限”用于“单模态上限与互补分析证据”时，本书用“建立谱图—结构对比学习和跨模态检索基线”检验单一仪器的信息上限。实现时遵循“先证明模态互补，再学习共同化学语义空间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13.1.2 分子—细胞—组织多尺度</w:t>
      </w:r>
    </w:p>
    <w:p>
      <w:r>
        <w:t>就“分子—细胞—组织多尺度”而言，在“单模态上限与互补分析证据”中，分子—细胞—组织多尺度具体限定了谱图、结构、图像、文本和实验条件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分子—细胞—组织多尺度”用于“单模态上限与互补分析证据”时，本书用“建立谱图—结构对比学习和跨模态检索基线”检验分子—细胞—组织多尺度。实现时遵循“先证明模态互补，再学习共同化学语义空间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13.1.3 光谱、质谱、图像和文本互补</w:t>
      </w:r>
    </w:p>
    <w:p>
      <w:r>
        <w:t>就“光谱、质谱、图像和文本互补”而言，围绕“光谱、质谱、图像和文本互补”，分子图以原子为节点、化学键为空间关系。消息传递网络在每一层聚合邻居信息并更新节点表示，多层传播扩大感受野。全局池化把节点表示汇总为分子级向量。</w:t>
      </w:r>
    </w:p>
    <w:p>
      <w:r>
        <w:t>把“光谱、质谱、图像和文本互补”用于“单模态上限与互补分析证据”时，在“单模态上限与互补分析证据”的语境下，二维图不能完整表达构象和空间相互作用。使用距离、角度或等变网络可以处理三维几何；SE(3)等变性要求模型输出随旋转和平移按物理规律变化。构象生成、温度和质子化态仍是输入不确定性的来源。在真实项目中，还应保存参数、软件版本和输入校验结果，以便定位变化来自样品还是计算。</w:t>
      </w:r>
    </w:p>
    <w:p>
      <w:pPr>
        <w:pStyle w:val="3"/>
      </w:pPr>
      <w:r>
        <w:t>13.1.4 数据融合与知识融合</w:t>
      </w:r>
    </w:p>
    <w:p>
      <w:r>
        <w:t>就“数据融合与知识融合”而言，围绕“数据融合与知识融合”，多模态学习把结构、谱图、图像、文本和实验条件作为互补观测。早期融合在输入或浅层表示处拼接，要求严格对齐；晚期融合组合独立模型输出，更容易处理缺失模态；联合表示学习则直接优化跨模态对应关系。</w:t>
      </w:r>
    </w:p>
    <w:p>
      <w:r>
        <w:t>把“数据融合与知识融合”用于“单模态上限与互补分析证据”时，在“单模态上限与互补分析证据”的语境下，对比学习拉近匹配样本的表示并推远不匹配样本。负样本若包含实际相似或同一对象的不同观测，会向模型提供错误监督。评价除下游性能外，还应检查检索、缺失模态稳健性和批次独立性。若该步骤改变了样品单位、统计独立性或物理峰形，必须在独立数据上重新证明其有效性。</w:t>
      </w:r>
    </w:p>
    <w:p>
      <w:pPr>
        <w:pStyle w:val="2"/>
      </w:pPr>
      <w:r>
        <w:t>13.2 早期、中间层和后期融合</w:t>
      </w:r>
    </w:p>
    <w:p>
      <w:r>
        <w:t>本节围绕“早期、中间层和后期融合”展开。分析对象是谱图、结构、图像、文本和实验条件，核心不是罗列名词，而是说明输入级早期融合、表示级中间融合、决策级晚期融合、融合位置与样品对齐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早期、中间层和后期融合”中，技术路线遵循“先证明模态互补，再学习共同化学语义空间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建立谱图—结构对比学习和跨模态检索基线”落实到缺失模态处理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13.2.1 输入级早期融合</w:t>
      </w:r>
    </w:p>
    <w:p>
      <w:r>
        <w:t>就“输入级早期融合”而言，围绕“输入级早期融合”，多模态学习把结构、谱图、图像、文本和实验条件作为互补观测。早期融合在输入或浅层表示处拼接，要求严格对齐；晚期融合组合独立模型输出，更容易处理缺失模态；联合表示学习则直接优化跨模态对应关系。</w:t>
      </w:r>
    </w:p>
    <w:p>
      <w:r>
        <w:t>把“输入级早期融合”用于“早期、中间层和后期融合”时，在“早期、中间层和后期融合”的语境下，对比学习拉近匹配样本的表示并推远不匹配样本。负样本若包含实际相似或同一对象的不同观测，会向模型提供错误监督。评价除下游性能外，还应检查检索、缺失模态稳健性和批次独立性。最终报告需要给出适用范围和拒绝条件，使方法在证据不足时能够停止输出。</w:t>
      </w:r>
    </w:p>
    <w:p>
      <w:pPr>
        <w:pStyle w:val="3"/>
      </w:pPr>
      <w:r>
        <w:t>13.2.2 表示级中间融合</w:t>
      </w:r>
    </w:p>
    <w:p>
      <w:r>
        <w:t>就“表示级中间融合”而言，围绕“表示级中间融合”，多模态学习把结构、谱图、图像、文本和实验条件作为互补观测。早期融合在输入或浅层表示处拼接，要求严格对齐；晚期融合组合独立模型输出，更容易处理缺失模态；联合表示学习则直接优化跨模态对应关系。</w:t>
      </w:r>
    </w:p>
    <w:p>
      <w:r>
        <w:t>把“表示级中间融合”用于“早期、中间层和后期融合”时，在“早期、中间层和后期融合”的语境下，对比学习拉近匹配样本的表示并推远不匹配样本。负样本若包含实际相似或同一对象的不同观测，会向模型提供错误监督。评价除下游性能外，还应检查检索、缺失模态稳健性和批次独立性。教学上应把该概念落实为可观察变量、可运行程序和可反驳检验三层。</w:t>
      </w:r>
    </w:p>
    <w:p>
      <w:pPr>
        <w:pStyle w:val="3"/>
      </w:pPr>
      <w:r>
        <w:t>13.2.3 决策级晚期融合</w:t>
      </w:r>
    </w:p>
    <w:p>
      <w:r>
        <w:t>就“决策级晚期融合”而言，围绕“决策级晚期融合”，多模态学习把结构、谱图、图像、文本和实验条件作为互补观测。早期融合在输入或浅层表示处拼接，要求严格对齐；晚期融合组合独立模型输出，更容易处理缺失模态；联合表示学习则直接优化跨模态对应关系。</w:t>
      </w:r>
    </w:p>
    <w:p>
      <w:r>
        <w:t>把“决策级晚期融合”用于“早期、中间层和后期融合”时，在“早期、中间层和后期融合”的语境下，对比学习拉近匹配样本的表示并推远不匹配样本。负样本若包含实际相似或同一对象的不同观测，会向模型提供错误监督。评价除下游性能外，还应检查检索、缺失模态稳健性和批次独立性。在真实项目中，还应保存参数、软件版本和输入校验结果，以便定位变化来自样品还是计算。</w:t>
      </w:r>
    </w:p>
    <w:p>
      <w:pPr>
        <w:pStyle w:val="3"/>
      </w:pPr>
      <w:r>
        <w:t>13.2.4 融合位置与样品对齐</w:t>
      </w:r>
    </w:p>
    <w:p>
      <w:r>
        <w:t>就“融合位置与样品对齐”而言，围绕“融合位置与样品对齐”，多模态学习把结构、谱图、图像、文本和实验条件作为互补观测。早期融合在输入或浅层表示处拼接，要求严格对齐；晚期融合组合独立模型输出，更容易处理缺失模态；联合表示学习则直接优化跨模态对应关系。</w:t>
      </w:r>
    </w:p>
    <w:p>
      <w:r>
        <w:t>把“融合位置与样品对齐”用于“早期、中间层和后期融合”时，在“早期、中间层和后期融合”的语境下，对比学习拉近匹配样本的表示并推远不匹配样本。负样本若包含实际相似或同一对象的不同观测，会向模型提供错误监督。评价除下游性能外，还应检查检索、缺失模态稳健性和批次独立性。若该步骤改变了样品单位、统计独立性或物理峰形，必须在独立数据上重新证明其有效性。</w:t>
      </w:r>
    </w:p>
    <w:p>
      <w:pPr>
        <w:pStyle w:val="3"/>
      </w:pPr>
      <w:r>
        <w:t>13.2.5 缺失模态处理</w:t>
      </w:r>
    </w:p>
    <w:p>
      <w:r>
        <w:t>就“缺失模态处理”而言，在“早期、中间层和后期融合”中，缺失模态处理具体限定了谱图、结构、图像、文本和实验条件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缺失模态处理”用于“早期、中间层和后期融合”时，本书用“建立谱图—结构对比学习和跨模态检索基线”检验缺失模态处理。实现时遵循“先证明模态互补，再学习共同化学语义空间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2"/>
      </w:pPr>
      <w:r>
        <w:t>13.3 对比学习与共享嵌入空间</w:t>
      </w:r>
    </w:p>
    <w:p>
      <w:r>
        <w:t>本节围绕“对比学习与共享嵌入空间”展开。分析对象是谱图、结构、图像、文本和实验条件，核心不是罗列名词，而是说明正样本、负样本和配对质量、InfoNCE类目标、谱图—结构共同嵌入、跨模态检索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对比学习与共享嵌入空间”中，技术路线遵循“先证明模态互补，再学习共同化学语义空间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建立谱图—结构对比学习和跨模态检索基线”落实到假负样本和批次捷径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13.3.1 正样本、负样本和配对质量</w:t>
      </w:r>
    </w:p>
    <w:p>
      <w:r>
        <w:t>就“正样本、负样本和配对质量”而言，在“对比学习与共享嵌入空间”中，正样本、负样本和配对质量具体限定了谱图、结构、图像、文本和实验条件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正样本、负样本和配对质量”用于“对比学习与共享嵌入空间”时，本书用“建立谱图—结构对比学习和跨模态检索基线”检验正样本、负样本和配对质量。实现时遵循“先证明模态互补，再学习共同化学语义空间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13.3.2 InfoNCE类目标</w:t>
      </w:r>
    </w:p>
    <w:p>
      <w:r>
        <w:t>就“InfoNCE类目标”而言，在“对比学习与共享嵌入空间”中，InfoNCE类目标具体限定了谱图、结构、图像、文本和实验条件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InfoNCE类目标”用于“对比学习与共享嵌入空间”时，本书用“建立谱图—结构对比学习和跨模态检索基线”检验InfoNCE类目标。实现时遵循“先证明模态互补，再学习共同化学语义空间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13.3.3 谱图—结构共同嵌入</w:t>
      </w:r>
    </w:p>
    <w:p>
      <w:r>
        <w:t>就“谱图—结构共同嵌入”而言，围绕“谱图—结构共同嵌入”，分子图以原子为节点、化学键为空间关系。消息传递网络在每一层聚合邻居信息并更新节点表示，多层传播扩大感受野。全局池化把节点表示汇总为分子级向量。</w:t>
      </w:r>
    </w:p>
    <w:p>
      <w:r>
        <w:t>把“谱图—结构共同嵌入”用于“对比学习与共享嵌入空间”时，在“对比学习与共享嵌入空间”的语境下，二维图不能完整表达构象和空间相互作用。使用距离、角度或等变网络可以处理三维几何；SE(3)等变性要求模型输出随旋转和平移按物理规律变化。构象生成、温度和质子化态仍是输入不确定性的来源。在真实项目中，还应保存参数、软件版本和输入校验结果，以便定位变化来自样品还是计算。</w:t>
      </w:r>
    </w:p>
    <w:p>
      <w:pPr>
        <w:pStyle w:val="3"/>
      </w:pPr>
      <w:r>
        <w:t>13.3.4 跨模态检索</w:t>
      </w:r>
    </w:p>
    <w:p>
      <w:r>
        <w:t>就“跨模态检索”而言，在“对比学习与共享嵌入空间”中，跨模态检索具体限定了谱图、结构、图像、文本和实验条件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跨模态检索”用于“对比学习与共享嵌入空间”时，本书用“建立谱图—结构对比学习和跨模态检索基线”检验跨模态检索。实现时遵循“先证明模态互补，再学习共同化学语义空间”，先建立经典基线，再对参数敏感性、独立样品和失败对象进行检查。若结果只能在同批数据或单次划分中成立，应把它视为探索性现象而非稳定规律。若该步骤改变了样品单位、统计独立性或物理峰形，必须在独立数据上重新证明其有效性。</w:t>
      </w:r>
    </w:p>
    <w:p>
      <w:pPr>
        <w:pStyle w:val="3"/>
      </w:pPr>
      <w:r>
        <w:t>13.3.5 假负样本和批次捷径</w:t>
      </w:r>
    </w:p>
    <w:p>
      <w:r>
        <w:t>就“假负样本和批次捷径”而言，在“对比学习与共享嵌入空间”中，假负样本和批次捷径具体限定了谱图、结构、图像、文本和实验条件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假负样本和批次捷径”用于“对比学习与共享嵌入空间”时，本书用“建立谱图—结构对比学习和跨模态检索基线”检验假负样本和批次捷径。实现时遵循“先证明模态互补，再学习共同化学语义空间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2"/>
      </w:pPr>
      <w:r>
        <w:t>13.4 谱图—结构—性质的双向建模</w:t>
      </w:r>
    </w:p>
    <w:p>
      <w:r>
        <w:t>本节围绕“谱图—结构—性质的双向建模”展开。分析对象是谱图、结构、图像、文本和实验条件，核心不是罗列名词，而是说明结构到谱图、谱图到结构、谱图/结构到性质、多任务学习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谱图—结构—性质的双向建模”中，技术路线遵循“先证明模态互补，再学习共同化学语义空间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建立谱图—结构对比学习和跨模态检索基线”落实到双向一致性和循环验证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13.4.1 结构到谱图</w:t>
      </w:r>
    </w:p>
    <w:p>
      <w:r>
        <w:t>就“结构到谱图”而言，围绕“结构到谱图”，分子图以原子为节点、化学键为空间关系。消息传递网络在每一层聚合邻居信息并更新节点表示，多层传播扩大感受野。全局池化把节点表示汇总为分子级向量。</w:t>
      </w:r>
    </w:p>
    <w:p>
      <w:r>
        <w:t>把“结构到谱图”用于“谱图—结构—性质的双向建模”时，在“谱图—结构—性质的双向建模”的语境下，二维图不能完整表达构象和空间相互作用。使用距离、角度或等变网络可以处理三维几何；SE(3)等变性要求模型输出随旋转和平移按物理规律变化。构象生成、温度和质子化态仍是输入不确定性的来源。最终报告需要给出适用范围和拒绝条件，使方法在证据不足时能够停止输出。</w:t>
      </w:r>
    </w:p>
    <w:p>
      <w:pPr>
        <w:pStyle w:val="3"/>
      </w:pPr>
      <w:r>
        <w:t>13.4.2 谱图到结构</w:t>
      </w:r>
    </w:p>
    <w:p>
      <w:r>
        <w:t>就“谱图到结构”而言，围绕“谱图到结构”，分子图以原子为节点、化学键为空间关系。消息传递网络在每一层聚合邻居信息并更新节点表示，多层传播扩大感受野。全局池化把节点表示汇总为分子级向量。</w:t>
      </w:r>
    </w:p>
    <w:p>
      <w:r>
        <w:t>把“谱图到结构”用于“谱图—结构—性质的双向建模”时，在“谱图—结构—性质的双向建模”的语境下，二维图不能完整表达构象和空间相互作用。使用距离、角度或等变网络可以处理三维几何；SE(3)等变性要求模型输出随旋转和平移按物理规律变化。构象生成、温度和质子化态仍是输入不确定性的来源。教学上应把该概念落实为可观察变量、可运行程序和可反驳检验三层。</w:t>
      </w:r>
    </w:p>
    <w:p>
      <w:pPr>
        <w:pStyle w:val="3"/>
      </w:pPr>
      <w:r>
        <w:t>13.4.3 谱图/结构到性质</w:t>
      </w:r>
    </w:p>
    <w:p>
      <w:r>
        <w:t>就“谱图/结构到性质”而言，围绕“谱图/结构到性质”，分子图以原子为节点、化学键为空间关系。消息传递网络在每一层聚合邻居信息并更新节点表示，多层传播扩大感受野。全局池化把节点表示汇总为分子级向量。</w:t>
      </w:r>
    </w:p>
    <w:p>
      <w:r>
        <w:t>把“谱图/结构到性质”用于“谱图—结构—性质的双向建模”时，在“谱图—结构—性质的双向建模”的语境下，二维图不能完整表达构象和空间相互作用。使用距离、角度或等变网络可以处理三维几何；SE(3)等变性要求模型输出随旋转和平移按物理规律变化。构象生成、温度和质子化态仍是输入不确定性的来源。在真实项目中，还应保存参数、软件版本和输入校验结果，以便定位变化来自样品还是计算。</w:t>
      </w:r>
    </w:p>
    <w:p>
      <w:pPr>
        <w:pStyle w:val="3"/>
      </w:pPr>
      <w:r>
        <w:t>13.4.4 多任务学习</w:t>
      </w:r>
    </w:p>
    <w:p>
      <w:r>
        <w:t>就“多任务学习”而言，在“谱图—结构—性质的双向建模”中，多任务学习具体限定了谱图、结构、图像、文本和实验条件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多任务学习”用于“谱图—结构—性质的双向建模”时，本书用“建立谱图—结构对比学习和跨模态检索基线”检验多任务学习。实现时遵循“先证明模态互补，再学习共同化学语义空间”，先建立经典基线，再对参数敏感性、独立样品和失败对象进行检查。若结果只能在同批数据或单次划分中成立，应把它视为探索性现象而非稳定规律。若该步骤改变了样品单位、统计独立性或物理峰形，必须在独立数据上重新证明其有效性。</w:t>
      </w:r>
    </w:p>
    <w:p>
      <w:pPr>
        <w:pStyle w:val="3"/>
      </w:pPr>
      <w:r>
        <w:t>13.4.5 双向一致性和循环验证</w:t>
      </w:r>
    </w:p>
    <w:p>
      <w:r>
        <w:t>就“双向一致性和循环验证”而言，在“谱图—结构—性质的双向建模”中，双向一致性和循环验证具体限定了谱图、结构、图像、文本和实验条件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双向一致性和循环验证”用于“谱图—结构—性质的双向建模”时，本书用“建立谱图—结构对比学习和跨模态检索基线”检验双向一致性和循环验证。实现时遵循“先证明模态互补，再学习共同化学语义空间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2"/>
      </w:pPr>
      <w:r>
        <w:t>13.5 多模态基础模型、适配器与小样本迁移</w:t>
      </w:r>
    </w:p>
    <w:p>
      <w:r>
        <w:t>本节围绕“多模态基础模型、适配器与小样本迁移”展开。分析对象是谱图、结构、图像、文本和实验条件，核心不是罗列名词，而是说明分子、谱学、图像和序列基础模型、提示、微调、Adapter和LoRA、任务头和线性探针、小样本迁移和灾难性遗忘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多模态基础模型、适配器与小样本迁移”中，技术路线遵循“先证明模态互补，再学习共同化学语义空间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建立谱图—结构对比学习和跨模态检索基线”落实到小样本迁移和灾难性遗忘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13.5.1 分子、谱学、图像和序列基础模型</w:t>
      </w:r>
    </w:p>
    <w:p>
      <w:r>
        <w:t>就“分子、谱学、图像和序列基础模型”而言，围绕“分子、谱学、图像和序列基础模型”，分子图以原子为节点、化学键为空间关系。消息传递网络在每一层聚合邻居信息并更新节点表示，多层传播扩大感受野。全局池化把节点表示汇总为分子级向量。</w:t>
      </w:r>
    </w:p>
    <w:p>
      <w:r>
        <w:t>把“分子、谱学、图像和序列基础模型”用于“多模态基础模型、适配器与小样本迁移”时，在“多模态基础模型、适配器与小样本迁移”的语境下，二维图不能完整表达构象和空间相互作用。使用距离、角度或等变网络可以处理三维几何；SE(3)等变性要求模型输出随旋转和平移按物理规律变化。构象生成、温度和质子化态仍是输入不确定性的来源。最终报告需要给出适用范围和拒绝条件，使方法在证据不足时能够停止输出。</w:t>
      </w:r>
    </w:p>
    <w:p>
      <w:pPr>
        <w:pStyle w:val="3"/>
      </w:pPr>
      <w:r>
        <w:t>13.5.2 提示、微调、Adapter和LoRA</w:t>
      </w:r>
    </w:p>
    <w:p>
      <w:r>
        <w:t>就“提示、微调、Adapter和LoRA”而言，在“多模态基础模型、适配器与小样本迁移”中，提示、微调、Adapter和LoRA具体限定了谱图、结构、图像、文本和实验条件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提示、微调、Adapter和LoRA”用于“多模态基础模型、适配器与小样本迁移”时，本书用“建立谱图—结构对比学习和跨模态检索基线”检验提示、微调、Adapter和LoRA。实现时遵循“先证明模态互补，再学习共同化学语义空间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13.5.3 任务头和线性探针</w:t>
      </w:r>
    </w:p>
    <w:p>
      <w:r>
        <w:t>就“任务头和线性探针”而言，在“多模态基础模型、适配器与小样本迁移”中，任务头和线性探针具体限定了谱图、结构、图像、文本和实验条件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任务头和线性探针”用于“多模态基础模型、适配器与小样本迁移”时，本书用“建立谱图—结构对比学习和跨模态检索基线”检验任务头和线性探针。实现时遵循“先证明模态互补，再学习共同化学语义空间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3"/>
      </w:pPr>
      <w:r>
        <w:t>13.5.4 小样本迁移和灾难性遗忘</w:t>
      </w:r>
    </w:p>
    <w:p>
      <w:r>
        <w:t>就“小样本迁移和灾难性遗忘”而言，在“多模态基础模型、适配器与小样本迁移”中，小样本迁移和灾难性遗忘具体限定了谱图、结构、图像、文本和实验条件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小样本迁移和灾难性遗忘”用于“多模态基础模型、适配器与小样本迁移”时，本书用“建立谱图—结构对比学习和跨模态检索基线”检验小样本迁移和灾难性遗忘。实现时遵循“先证明模态互补，再学习共同化学语义空间”，先建立经典基线，再对参数敏感性、独立样品和失败对象进行检查。若结果只能在同批数据或单次划分中成立，应把它视为探索性现象而非稳定规律。若该步骤改变了样品单位、统计独立性或物理峰形，必须在独立数据上重新证明其有效性。</w:t>
      </w:r>
    </w:p>
    <w:p>
      <w:pPr>
        <w:pStyle w:val="2"/>
      </w:pPr>
      <w:r>
        <w:t>13.6 知识图谱、规则和仪器响应先验</w:t>
      </w:r>
    </w:p>
    <w:p>
      <w:r>
        <w:t>本节围绕“知识图谱、规则和仪器响应先验”展开。分析对象是谱图、结构、图像、文本和实验条件，核心不是罗列名词，而是说明化学规则和反应机理、仪器响应和选择定则、本体、知识图谱和语义对齐、知识约束检索与生成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知识图谱、规则和仪器响应先验”中，技术路线遵循“先证明模态互补，再学习共同化学语义空间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建立谱图—结构对比学习和跨模态检索基线”落实到知识错误和冲突处理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13.6.1 化学规则和反应机理</w:t>
      </w:r>
    </w:p>
    <w:p>
      <w:r>
        <w:t>就“化学规则和反应机理”而言，在“知识图谱、规则和仪器响应先验”中，化学规则和反应机理具体限定了谱图、结构、图像、文本和实验条件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化学规则和反应机理”用于“知识图谱、规则和仪器响应先验”时，本书用“建立谱图—结构对比学习和跨模态检索基线”检验化学规则和反应机理。实现时遵循“先证明模态互补，再学习共同化学语义空间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13.6.2 仪器响应和选择定则</w:t>
      </w:r>
    </w:p>
    <w:p>
      <w:r>
        <w:t>就“仪器响应和选择定则”而言，在“知识图谱、规则和仪器响应先验”中，仪器响应和选择定则具体限定了谱图、结构、图像、文本和实验条件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仪器响应和选择定则”用于“知识图谱、规则和仪器响应先验”时，本书用“建立谱图—结构对比学习和跨模态检索基线”检验仪器响应和选择定则。实现时遵循“先证明模态互补，再学习共同化学语义空间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13.6.3 本体、知识图谱和语义对齐</w:t>
      </w:r>
    </w:p>
    <w:p>
      <w:r>
        <w:t>就“本体、知识图谱和语义对齐”而言，围绕“本体、知识图谱和语义对齐”，分子图以原子为节点、化学键为空间关系。消息传递网络在每一层聚合邻居信息并更新节点表示，多层传播扩大感受野。全局池化把节点表示汇总为分子级向量。</w:t>
      </w:r>
    </w:p>
    <w:p>
      <w:r>
        <w:t>把“本体、知识图谱和语义对齐”用于“知识图谱、规则和仪器响应先验”时，在“知识图谱、规则和仪器响应先验”的语境下，二维图不能完整表达构象和空间相互作用。使用距离、角度或等变网络可以处理三维几何；SE(3)等变性要求模型输出随旋转和平移按物理规律变化。构象生成、温度和质子化态仍是输入不确定性的来源。在真实项目中，还应保存参数、软件版本和输入校验结果，以便定位变化来自样品还是计算。</w:t>
      </w:r>
    </w:p>
    <w:p>
      <w:pPr>
        <w:pStyle w:val="3"/>
      </w:pPr>
      <w:r>
        <w:t>13.6.4 知识约束检索与生成</w:t>
      </w:r>
    </w:p>
    <w:p>
      <w:r>
        <w:t>就“知识约束检索与生成”而言，在“知识图谱、规则和仪器响应先验”中，知识约束检索与生成具体限定了谱图、结构、图像、文本和实验条件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知识约束检索与生成”用于“知识图谱、规则和仪器响应先验”时，本书用“建立谱图—结构对比学习和跨模态检索基线”检验知识约束检索与生成。实现时遵循“先证明模态互补，再学习共同化学语义空间”，先建立经典基线，再对参数敏感性、独立样品和失败对象进行检查。若结果只能在同批数据或单次划分中成立，应把它视为探索性现象而非稳定规律。若该步骤改变了样品单位、统计独立性或物理峰形，必须在独立数据上重新证明其有效性。</w:t>
      </w:r>
    </w:p>
    <w:p>
      <w:pPr>
        <w:pStyle w:val="3"/>
      </w:pPr>
      <w:r>
        <w:t>13.6.5 知识错误和冲突处理</w:t>
      </w:r>
    </w:p>
    <w:p>
      <w:r>
        <w:t>就“知识错误和冲突处理”而言，在“知识图谱、规则和仪器响应先验”中，知识错误和冲突处理具体限定了谱图、结构、图像、文本和实验条件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知识错误和冲突处理”用于“知识图谱、规则和仪器响应先验”时，本书用“建立谱图—结构对比学习和跨模态检索基线”检验知识错误和冲突处理。实现时遵循“先证明模态互补，再学习共同化学语义空间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2"/>
      </w:pPr>
      <w:r>
        <w:t>13.7 缺失模态、错误配对与跨模态验证</w:t>
      </w:r>
    </w:p>
    <w:p>
      <w:r>
        <w:t>本节围绕“缺失模态、错误配对与跨模态验证”展开。分析对象是谱图、结构、图像、文本和实验条件，核心不是罗列名词，而是说明跨模态独立测试、错误配对和缺失模态压力测试、单模态基线与融合增益、可解释性和互补证据判定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缺失模态、错误配对与跨模态验证”中，技术路线遵循“先证明模态互补，再学习共同化学语义空间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建立谱图—结构对比学习和跨模态检索基线”落实到可解释性和互补证据判定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13.7.1 跨模态独立测试</w:t>
      </w:r>
    </w:p>
    <w:p>
      <w:r>
        <w:t>就“跨模态独立测试”而言，在“缺失模态、错误配对与跨模态验证”中，跨模态独立测试具体限定了谱图、结构、图像、文本和实验条件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跨模态独立测试”用于“缺失模态、错误配对与跨模态验证”时，本书用“建立谱图—结构对比学习和跨模态检索基线”检验跨模态独立测试。实现时遵循“先证明模态互补，再学习共同化学语义空间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13.7.2 错误配对和缺失模态压力测试</w:t>
      </w:r>
    </w:p>
    <w:p>
      <w:r>
        <w:t>就“错误配对和缺失模态压力测试”而言，在“缺失模态、错误配对与跨模态验证”中，错误配对和缺失模态压力测试具体限定了谱图、结构、图像、文本和实验条件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错误配对和缺失模态压力测试”用于“缺失模态、错误配对与跨模态验证”时，本书用“建立谱图—结构对比学习和跨模态检索基线”检验错误配对和缺失模态压力测试。实现时遵循“先证明模态互补，再学习共同化学语义空间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13.7.3 单模态基线与融合增益</w:t>
      </w:r>
    </w:p>
    <w:p>
      <w:r>
        <w:t>就“单模态基线与融合增益”而言，围绕“单模态基线与融合增益”，Savitzky-Golay方法在滑动窗口内拟合低阶多项式，可同时实现平滑和导数估计。窗口过短会保留噪声，过长会压低窄峰；多项式阶数过高则增加振荡。参数应根据仪器分辨率、最窄有效峰宽和下游任务共同确定。</w:t>
      </w:r>
    </w:p>
    <w:p>
      <w:r>
        <w:t>把“单模态基线与融合增益”用于“缺失模态、错误配对与跨模态验证”时，在“缺失模态、错误配对与跨模态验证”的语境下，基线校正实质上是在区分慢变化背景与分析信号。多项式、非对称最小二乘和形态学方法对应不同的背景假设。校正后不仅要看曲线是否平直，还要比较峰位、峰宽、峰面积、空白残差和定量偏差。在真实项目中，还应保存参数、软件版本和输入校验结果，以便定位变化来自样品还是计算。</w:t>
      </w:r>
    </w:p>
    <w:p>
      <w:pPr>
        <w:pStyle w:val="3"/>
      </w:pPr>
      <w:r>
        <w:t>13.7.4 可解释性和互补证据判定</w:t>
      </w:r>
    </w:p>
    <w:p>
      <w:r>
        <w:t>就“可解释性和互补证据判定”而言，在“缺失模态、错误配对与跨模态验证”中，可解释性和互补证据判定具体限定了谱图、结构、图像、文本和实验条件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可解释性和互补证据判定”用于“缺失模态、错误配对与跨模态验证”时，本书用“建立谱图—结构对比学习和跨模态检索基线”检验可解释性和互补证据判定。实现时遵循“先证明模态互补，再学习共同化学语义空间”，先建立经典基线，再对参数敏感性、独立样品和失败对象进行检查。若结果只能在同批数据或单次划分中成立，应把它视为探索性现象而非稳定规律。若该步骤改变了样品单位、统计独立性或物理峰形，必须在独立数据上重新证明其有效性。</w:t>
      </w:r>
    </w:p>
    <w:p>
      <w:pPr>
        <w:pStyle w:val="2"/>
      </w:pPr>
      <w:r>
        <w:t>关键关系与计算抓手</w:t>
      </w:r>
    </w:p>
    <w:p>
      <w:pPr>
        <w:ind w:firstLine="0"/>
      </w:pPr>
      <w:r>
        <w:rPr>
          <w:b/>
          <w:color w:val="345A8A"/>
        </w:rPr>
        <w:t>（1）L_InfoNCE=−log exp(sim+/τ)/Σexp(sim/τ)</w:t>
      </w:r>
    </w:p>
    <w:p>
      <w:pPr>
        <w:ind w:firstLine="0"/>
      </w:pPr>
      <w:r>
        <w:rPr>
          <w:b/>
          <w:color w:val="345A8A"/>
        </w:rPr>
        <w:t>（2）z_shared=g_m(x_m)</w:t>
      </w:r>
    </w:p>
    <w:p>
      <w:pPr>
        <w:pStyle w:val="2"/>
      </w:pPr>
      <w:r>
        <w:t>本章综合案例</w:t>
      </w:r>
    </w:p>
    <w:p>
      <w:r>
        <w:t>本章案例为“建立谱图—结构对比学习和跨模态检索基线”。先冻结问题、样品单位、测量协议和独立测试边界，再建立可诊断的经典基线。新增模型组件必须解决已识别的误差来源，并通过相同测试集、消融和失败样本分析证明价值。</w:t>
      </w:r>
    </w:p>
    <w:p>
      <w:r>
        <w:t>案例交付物包括问题卡、数据字典、运行日志、关键图表、错误对象和可执行代码。模型给出的结构、机制或实验建议属于待验证假设，需由互补测量或后续干预确认。</w:t>
      </w:r>
    </w:p>
    <w:p>
      <w:pPr>
        <w:pStyle w:val="2"/>
      </w:pPr>
      <w:r>
        <w:t>代码实践</w:t>
      </w:r>
    </w:p>
    <w:p>
      <w:r>
        <w:t>构造谱图—结构配对数据，训练简化对比表示并测试错误配对敏感性。</w:t>
      </w:r>
    </w:p>
    <w:p>
      <w:pPr>
        <w:pStyle w:val="CodeBlock"/>
        <w:spacing w:after="0"/>
        <w:ind w:firstLine="0"/>
      </w:pPr>
      <w:r>
        <w:t>"""第13章代码练习：多模态基础模型与知识增强分析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任务：构造谱图—结构配对数据，训练简化对比表示并测试错误配对敏感性。</w:t>
      </w:r>
    </w:p>
    <w:p>
      <w:pPr>
        <w:pStyle w:val="CodeBlock"/>
        <w:spacing w:after="0"/>
        <w:ind w:firstLine="0"/>
      </w:pPr>
      <w:r>
        <w:t>运行方式：python chapter_exercise.py</w:t>
      </w:r>
    </w:p>
    <w:p>
      <w:pPr>
        <w:pStyle w:val="CodeBlock"/>
        <w:spacing w:after="0"/>
        <w:ind w:firstLine="0"/>
      </w:pPr>
      <w:r>
        <w:t>所有合成数据仅用于验证接口；换用真实数据时必须保留样品/批次分组。</w:t>
      </w:r>
    </w:p>
    <w:p>
      <w:pPr>
        <w:pStyle w:val="CodeBlock"/>
        <w:spacing w:after="0"/>
        <w:ind w:firstLine="0"/>
      </w:pPr>
      <w:r>
        <w:t>"""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import numpy as np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rng = np.random.default_rng(42)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X=rng.normal(size=(50,20))</w:t>
      </w:r>
    </w:p>
    <w:p>
      <w:pPr>
        <w:pStyle w:val="CodeBlock"/>
        <w:spacing w:after="0"/>
        <w:ind w:firstLine="0"/>
      </w:pPr>
      <w:r>
        <w:t>Y=X[:,:3]@rng.normal(size=(3,15))+rng.normal(scale=0.2,size=(50,15))</w:t>
      </w:r>
    </w:p>
    <w:p>
      <w:pPr>
        <w:pStyle w:val="CodeBlock"/>
        <w:spacing w:after="0"/>
        <w:ind w:firstLine="0"/>
      </w:pPr>
      <w:r>
        <w:t>Xc=X-X.mean(0); Yc=Y-Y.mean(0)</w:t>
      </w:r>
    </w:p>
    <w:p>
      <w:pPr>
        <w:pStyle w:val="CodeBlock"/>
        <w:spacing w:after="0"/>
        <w:ind w:firstLine="0"/>
      </w:pPr>
      <w:r>
        <w:t>U,S,Vt=np.linalg.svd(Xc.T@Yc,full_matrices=False)</w:t>
      </w:r>
    </w:p>
    <w:p>
      <w:pPr>
        <w:pStyle w:val="CodeBlock"/>
        <w:spacing w:after="0"/>
        <w:ind w:firstLine="0"/>
      </w:pPr>
      <w:r>
        <w:t>X_score=Xc@U[:,0]; Y_score=Yc@Vt.T[:,0]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# TODO 1: 用课程或开放数据替换合成输入，明确对象为单细胞、成像表型与质谱参照组成的多组学样本。</w:t>
      </w:r>
    </w:p>
    <w:p>
      <w:pPr>
        <w:pStyle w:val="CodeBlock"/>
        <w:spacing w:after="0"/>
        <w:ind w:firstLine="0"/>
      </w:pPr>
      <w:r>
        <w:t># TODO 2: 实现按供体或患者完整留出，并与随机划分或默认流程对照。</w:t>
      </w:r>
    </w:p>
    <w:p>
      <w:pPr>
        <w:pStyle w:val="CodeBlock"/>
        <w:spacing w:after="0"/>
        <w:ind w:firstLine="0"/>
      </w:pPr>
      <w:r>
        <w:t># TODO 3: 输出区分生物重复、技术重复、批次效应和标签不确定性，据此判断能否说明不同模态贡献了互补证据还是共同偏差。</w:t>
      </w:r>
    </w:p>
    <w:p>
      <w:pPr>
        <w:pStyle w:val="2"/>
      </w:pPr>
      <w:r>
        <w:t>【本章小结】</w:t>
      </w:r>
    </w:p>
    <w:p>
      <w:r>
        <w:t>本章以谱图、结构、图像、文本和实验条件为对象，把测量原理、数据表示、模型计算和分析决策连成完整链条。掌握本章的标准，不是记住模型名称，而是能够说明数据如何生成、结论怎样验证、方法在哪些条件下失效。</w:t>
      </w:r>
    </w:p>
    <w:p>
      <w:pPr>
        <w:pStyle w:val="2"/>
      </w:pPr>
      <w:r>
        <w:t>【思考题与计算题】</w:t>
      </w:r>
    </w:p>
    <w:p>
      <w:pPr>
        <w:ind w:firstLine="0"/>
      </w:pPr>
      <w:r>
        <w:t>1. 为“建立谱图—结构对比学习和跨模态检索基线”画出测量链并标出三处可能失真位置。</w:t>
      </w:r>
    </w:p>
    <w:p>
      <w:pPr>
        <w:ind w:firstLine="0"/>
      </w:pPr>
      <w:r>
        <w:t>2. 选择一个核心方法，写出输入、输出、参数、假设和两个失效条件。</w:t>
      </w:r>
    </w:p>
    <w:p>
      <w:pPr>
        <w:ind w:firstLine="0"/>
      </w:pPr>
      <w:r>
        <w:t>3. 建立经典基线，给出复杂模型必须超过的独立评价门槛。</w:t>
      </w:r>
    </w:p>
    <w:p>
      <w:pPr>
        <w:ind w:firstLine="0"/>
      </w:pPr>
      <w:r>
        <w:t>4. 设计符合未来使用条件的分组或外推划分，并与随机划分比较。</w:t>
      </w:r>
    </w:p>
    <w:p>
      <w:pPr>
        <w:ind w:firstLine="0"/>
      </w:pPr>
      <w:r>
        <w:t>5. 完成配套代码，增加一个单元测试和一个失败样本可视化。</w:t>
      </w:r>
    </w:p>
    <w:p>
      <w:pPr>
        <w:ind w:firstLine="0"/>
      </w:pPr>
      <w:r>
        <w:t>6. 设计能区分化学信息与批次捷径的对照实验。</w:t>
      </w:r>
    </w:p>
    <w:sectPr w:rsidR="00DF2813">
      <w:headerReference w:type="default" r:id="rId9"/>
      <w:footerReference w:type="default" r:id="rId10"/>
      <w:pgSz w:w="10488" w:h="14740"/>
      <w:pgMar w:top="1417" w:right="1247" w:bottom="1417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541C9A" w14:textId="77777777" w:rsidR="000B6296" w:rsidRDefault="000B6296">
      <w:pPr>
        <w:spacing w:after="0"/>
      </w:pPr>
      <w:r>
        <w:separator/>
      </w:r>
    </w:p>
  </w:endnote>
  <w:endnote w:type="continuationSeparator" w:id="0">
    <w:p w14:paraId="02E66D36" w14:textId="77777777" w:rsidR="000B6296" w:rsidRDefault="000B62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E3B54" w14:textId="77777777" w:rsidR="00DF2813" w:rsidRDefault="00DF281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AC7C5" w14:textId="486F403A" w:rsidR="00DF2813" w:rsidRDefault="000B6296">
    <w:pPr>
      <w:jc w:val="center"/>
    </w:pPr>
    <w:r/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71DDB" w14:textId="77777777" w:rsidR="000B6296" w:rsidRDefault="000B6296">
      <w:pPr>
        <w:spacing w:after="0"/>
      </w:pPr>
      <w:r>
        <w:separator/>
      </w:r>
    </w:p>
  </w:footnote>
  <w:footnote w:type="continuationSeparator" w:id="0">
    <w:p w14:paraId="10E87919" w14:textId="77777777" w:rsidR="000B6296" w:rsidRDefault="000B629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A9FA5" w14:textId="77777777" w:rsidR="00DF2813" w:rsidRDefault="00DF281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B503F" w14:textId="77777777" w:rsidR="00DF2813" w:rsidRDefault="000B6296">
    <w:pPr>
      <w:jc w:val="center"/>
    </w:pPr>
    <w:r>
      <w:t>智能分析化学 · 第13章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0000A991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00A99412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00A99413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6"/>
    <w:multiLevelType w:val="multilevel"/>
    <w:tmpl w:val="00A99416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7"/>
    <w:multiLevelType w:val="multilevel"/>
    <w:tmpl w:val="00A99417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9"/>
    <w:multiLevelType w:val="multilevel"/>
    <w:tmpl w:val="00A99419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A994110"/>
    <w:multiLevelType w:val="multilevel"/>
    <w:tmpl w:val="0A994110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0A994111"/>
    <w:multiLevelType w:val="multilevel"/>
    <w:tmpl w:val="0A994111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" w15:restartNumberingAfterBreak="0">
    <w:nsid w:val="0A994113"/>
    <w:multiLevelType w:val="multilevel"/>
    <w:tmpl w:val="0A994113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4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5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2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6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0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4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8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5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6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64">
    <w:abstractNumId w:val="9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0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5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9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2813"/>
    <w:rsid w:val="000B6296"/>
    <w:rsid w:val="003208BF"/>
    <w:rsid w:val="00DF2813"/>
    <w:rsid w:val="06A724A7"/>
    <w:rsid w:val="192E7DCB"/>
    <w:rsid w:val="3C4076A1"/>
    <w:rsid w:val="60143417"/>
    <w:rsid w:val="629F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B6579"/>
  <w15:docId w15:val="{205839D2-68C0-46F1-AD46-0C8BD552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footnote reference" w:qFormat="1"/>
    <w:lsdException w:name="Title" w:qFormat="1"/>
    <w:lsdException w:name="Default Paragraph Font" w:semiHidden="1" w:unhideWhenUsed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20" w:line="324" w:lineRule="auto"/>
      <w:ind w:firstLine="460"/>
    </w:pPr>
    <w:rPr>
      <w:rFonts w:eastAsiaTheme="minorHAnsi" w:ascii="Arial Unicode MS" w:hAnsi="Arial Unicode MS" w:eastAsia="Arial Unicode MS" w:cs="Arial Unicode MS"/>
      <w:sz w:val="23"/>
      <w:szCs w:val="24"/>
      <w:lang w:eastAsia="en-US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/>
      <w:sz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 Unicode MS" w:hAnsi="Arial Unicode MS" w:eastAsia="Arial Unicode MS" w:cs="Arial Unicode MS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 Unicode MS" w:hAnsi="Arial Unicode MS" w:eastAsia="Arial Unicode MS" w:cs="Arial Unicode MS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character" w:default="1" w:styleId="a1">
    <w:name w:val="Default Paragraph Font"/>
    <w:uiPriority w:val="1"/>
    <w:semiHidden/>
    <w:unhideWhenUsed/>
    <w:rPr>
      <w:rFonts w:ascii="Arial Unicode MS" w:hAnsi="Arial Unicode MS" w:eastAsia="Arial Unicode MS" w:cs="Arial Unicode MS"/>
    </w:rPr>
  </w:style>
  <w:style w:type="table" w:default="1" w:styleId="a2">
    <w:name w:val="Normal Table"/>
    <w:uiPriority w:val="99"/>
    <w:semiHidden/>
    <w:unhideWhenUsed/>
    <w:rPr>
      <w:rFonts w:ascii="Arial Unicode MS" w:hAnsi="Arial Unicode MS" w:eastAsia="Arial Unicode MS" w:cs="Arial Unicode M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  <w:rPr>
      <w:rFonts w:ascii="Arial Unicode MS" w:hAnsi="Arial Unicode MS" w:eastAsia="Arial Unicode MS" w:cs="Arial Unicode MS"/>
    </w:rPr>
  </w:style>
  <w:style w:type="paragraph" w:styleId="a5">
    <w:name w:val="caption"/>
    <w:basedOn w:val="a"/>
    <w:pPr>
      <w:spacing w:after="120"/>
    </w:pPr>
    <w:rPr>
      <w:rFonts w:ascii="Arial Unicode MS" w:hAnsi="Arial Unicode MS" w:eastAsia="Arial Unicode MS" w:cs="Arial Unicode MS"/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  <w:rPr>
      <w:rFonts w:ascii="Arial Unicode MS" w:hAnsi="Arial Unicode MS" w:eastAsia="Arial Unicode MS" w:cs="Arial Unicode MS"/>
    </w:r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rFonts w:eastAsiaTheme="minorHAnsi" w:ascii="Arial Unicode MS" w:hAnsi="Arial Unicode MS" w:eastAsia="Arial Unicode MS" w:cs="Arial Unicode MS"/>
      <w:sz w:val="24"/>
      <w:szCs w:val="24"/>
      <w:lang w:eastAsia="en-US"/>
    </w:rPr>
  </w:style>
  <w:style w:type="paragraph" w:styleId="a8">
    <w:name w:val="Subtitle"/>
    <w:basedOn w:val="a9"/>
    <w:next w:val="a0"/>
    <w:qFormat/>
    <w:pPr>
      <w:spacing w:before="240"/>
    </w:pPr>
    <w:rPr>
      <w:rFonts w:ascii="Arial Unicode MS" w:hAnsi="Arial Unicode MS" w:eastAsia="Arial Unicode MS" w:cs="Arial Unicode MS"/>
      <w:sz w:val="30"/>
      <w:szCs w:val="30"/>
    </w:rPr>
  </w:style>
  <w:style w:type="paragraph" w:styleId="a9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345A8A"/>
      <w:sz w:val="36"/>
      <w:szCs w:val="36"/>
    </w:rPr>
  </w:style>
  <w:style w:type="paragraph" w:styleId="aa">
    <w:name w:val="footnote text"/>
    <w:basedOn w:val="a"/>
    <w:uiPriority w:val="9"/>
    <w:unhideWhenUsed/>
    <w:qFormat/>
    <w:rPr>
      <w:rFonts w:ascii="Arial Unicode MS" w:hAnsi="Arial Unicode MS" w:eastAsia="Arial Unicode MS" w:cs="Arial Unicode MS"/>
    </w:rPr>
  </w:style>
  <w:style w:type="character" w:styleId="ab">
    <w:name w:val="Hyperlink"/>
    <w:basedOn w:val="a4"/>
    <w:qFormat/>
    <w:rPr>
      <w:rFonts w:ascii="Arial Unicode MS" w:hAnsi="Arial Unicode MS" w:eastAsia="Arial Unicode MS" w:cs="Arial Unicode MS"/>
      <w:color w:val="4F81BD" w:themeColor="accent1"/>
    </w:rPr>
  </w:style>
  <w:style w:type="character" w:customStyle="1" w:styleId="a4">
    <w:name w:val="正文文本 字符"/>
    <w:basedOn w:val="a1"/>
    <w:link w:val="a0"/>
    <w:qFormat/>
    <w:rPr>
      <w:rFonts w:ascii="Arial Unicode MS" w:hAnsi="Arial Unicode MS" w:eastAsia="Arial Unicode MS" w:cs="Arial Unicode MS"/>
    </w:rPr>
  </w:style>
  <w:style w:type="character" w:styleId="ac">
    <w:name w:val="footnote reference"/>
    <w:basedOn w:val="a4"/>
    <w:qFormat/>
    <w:rPr>
      <w:rFonts w:ascii="Arial Unicode MS" w:hAnsi="Arial Unicode MS" w:eastAsia="Arial Unicode MS" w:cs="Arial Unicode MS"/>
      <w:vertAlign w:val="superscript"/>
    </w:rPr>
  </w:style>
  <w:style w:type="paragraph" w:customStyle="1" w:styleId="FirstParagraph">
    <w:name w:val="First Paragraph"/>
    <w:basedOn w:val="a0"/>
    <w:next w:val="a0"/>
    <w:qFormat/>
    <w:rPr>
      <w:rFonts w:ascii="Arial Unicode MS" w:hAnsi="Arial Unicode MS" w:eastAsia="Arial Unicode MS" w:cs="Arial Unicode MS"/>
    </w:rPr>
  </w:style>
  <w:style w:type="paragraph" w:customStyle="1" w:styleId="Compact">
    <w:name w:val="Compact"/>
    <w:basedOn w:val="a0"/>
    <w:qFormat/>
    <w:pPr>
      <w:spacing w:before="36" w:after="36"/>
    </w:pPr>
    <w:rPr>
      <w:rFonts w:ascii="Arial Unicode MS" w:hAnsi="Arial Unicode MS" w:eastAsia="Arial Unicode MS" w:cs="Arial Unicode MS"/>
    </w:r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eastAsiaTheme="minorHAnsi" w:ascii="Arial Unicode MS" w:hAnsi="Arial Unicode MS" w:eastAsia="Arial Unicode MS" w:cs="Arial Unicode MS"/>
      <w:sz w:val="24"/>
      <w:szCs w:val="24"/>
      <w:lang w:eastAsia="en-U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rFonts w:ascii="Arial Unicode MS" w:hAnsi="Arial Unicode MS" w:eastAsia="Arial Unicode MS" w:cs="Arial Unicode MS"/>
      <w:sz w:val="20"/>
      <w:szCs w:val="20"/>
    </w:rPr>
  </w:style>
  <w:style w:type="paragraph" w:customStyle="1" w:styleId="10">
    <w:name w:val="书目1"/>
    <w:basedOn w:val="a"/>
    <w:qFormat/>
    <w:rPr>
      <w:rFonts w:ascii="Arial Unicode MS" w:hAnsi="Arial Unicode MS" w:eastAsia="Arial Unicode MS" w:cs="Arial Unicode MS"/>
    </w:rPr>
  </w:style>
  <w:style w:type="table" w:customStyle="1" w:styleId="Table">
    <w:name w:val="Table"/>
    <w:semiHidden/>
    <w:unhideWhenUsed/>
    <w:qFormat/>
    <w:rPr>
      <w:rFonts w:ascii="Arial Unicode MS" w:hAnsi="Arial Unicode MS" w:eastAsia="Arial Unicode MS" w:cs="Arial Unicode M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rFonts w:ascii="Arial Unicode MS" w:hAnsi="Arial Unicode MS" w:eastAsia="Arial Unicode MS" w:cs="Arial Unicode MS"/>
      <w:b/>
    </w:rPr>
  </w:style>
  <w:style w:type="paragraph" w:customStyle="1" w:styleId="Definition">
    <w:name w:val="Definition"/>
    <w:basedOn w:val="a"/>
    <w:rPr>
      <w:rFonts w:ascii="Arial Unicode MS" w:hAnsi="Arial Unicode MS" w:eastAsia="Arial Unicode MS" w:cs="Arial Unicode MS"/>
    </w:rPr>
  </w:style>
  <w:style w:type="paragraph" w:customStyle="1" w:styleId="TableCaption">
    <w:name w:val="Table Caption"/>
    <w:basedOn w:val="a5"/>
    <w:qFormat/>
    <w:pPr>
      <w:keepNext/>
    </w:pPr>
    <w:rPr>
      <w:rFonts w:ascii="Arial Unicode MS" w:hAnsi="Arial Unicode MS" w:eastAsia="Arial Unicode MS" w:cs="Arial Unicode MS"/>
    </w:rPr>
  </w:style>
  <w:style w:type="paragraph" w:customStyle="1" w:styleId="ImageCaption">
    <w:name w:val="Image Caption"/>
    <w:basedOn w:val="a5"/>
    <w:qFormat/>
    <w:rPr>
      <w:rFonts w:ascii="Arial Unicode MS" w:hAnsi="Arial Unicode MS" w:eastAsia="Arial Unicode MS" w:cs="Arial Unicode MS"/>
    </w:rPr>
  </w:style>
  <w:style w:type="paragraph" w:customStyle="1" w:styleId="Figure">
    <w:name w:val="Figure"/>
    <w:basedOn w:val="a"/>
    <w:qFormat/>
    <w:rPr>
      <w:rFonts w:ascii="Arial Unicode MS" w:hAnsi="Arial Unicode MS" w:eastAsia="Arial Unicode MS" w:cs="Arial Unicode MS"/>
    </w:rPr>
  </w:style>
  <w:style w:type="paragraph" w:customStyle="1" w:styleId="CaptionedFigure">
    <w:name w:val="Captioned Figure"/>
    <w:basedOn w:val="Figure"/>
    <w:qFormat/>
    <w:pPr>
      <w:keepNext/>
    </w:pPr>
    <w:rPr>
      <w:rFonts w:ascii="Arial Unicode MS" w:hAnsi="Arial Unicode MS" w:eastAsia="Arial Unicode MS" w:cs="Arial Unicode MS"/>
    </w:rPr>
  </w:style>
  <w:style w:type="character" w:customStyle="1" w:styleId="VerbatimChar">
    <w:name w:val="Verbatim Char"/>
    <w:basedOn w:val="a4"/>
    <w:link w:val="SourceCode"/>
    <w:qFormat/>
    <w:rPr>
      <w:rFonts w:ascii="Arial Unicode MS" w:hAnsi="Arial Unicode MS" w:eastAsia="Arial Unicode MS" w:cs="Arial Unicode MS"/>
      <w:sz w:val="22"/>
    </w:rPr>
  </w:style>
  <w:style w:type="paragraph" w:customStyle="1" w:styleId="SourceCode">
    <w:name w:val="Source Code"/>
    <w:basedOn w:val="a"/>
    <w:link w:val="VerbatimChar"/>
    <w:qFormat/>
    <w:pPr>
      <w:shd w:val="clear" w:color="auto" w:fill="F8F8F8"/>
      <w:wordWrap w:val="0"/>
    </w:pPr>
    <w:rPr>
      <w:rFonts w:ascii="Arial Unicode MS" w:hAnsi="Arial Unicode MS" w:eastAsia="Arial Unicode MS" w:cs="Arial Unicode MS"/>
    </w:rPr>
  </w:style>
  <w:style w:type="character" w:customStyle="1" w:styleId="SectionNumber">
    <w:name w:val="Section Number"/>
    <w:basedOn w:val="a4"/>
    <w:qFormat/>
    <w:rPr>
      <w:rFonts w:ascii="Arial Unicode MS" w:hAnsi="Arial Unicode MS" w:eastAsia="Arial Unicode MS" w:cs="Arial Unicode MS"/>
    </w:rPr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="Arial Unicode MS" w:hAnsi="Arial Unicode MS" w:eastAsia="Arial Unicode MS" w:cs="Arial Unicode MS"/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qFormat/>
    <w:rPr>
      <w:rFonts w:ascii="Arial Unicode MS" w:hAnsi="Arial Unicode MS" w:eastAsia="Arial Unicode MS" w:cs="Arial Unicode M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qFormat/>
    <w:rPr>
      <w:rFonts w:ascii="Arial Unicode MS" w:hAnsi="Arial Unicode MS" w:eastAsia="Arial Unicode MS" w:cs="Arial Unicode M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qFormat/>
    <w:rPr>
      <w:rFonts w:ascii="Arial Unicode MS" w:hAnsi="Arial Unicode MS" w:eastAsia="Arial Unicode MS" w:cs="Arial Unicode M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qFormat/>
    <w:rPr>
      <w:rFonts w:ascii="Arial Unicode MS" w:hAnsi="Arial Unicode MS" w:eastAsia="Arial Unicode MS" w:cs="Arial Unicode M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qFormat/>
    <w:rPr>
      <w:rFonts w:ascii="Arial Unicode MS" w:hAnsi="Arial Unicode MS" w:eastAsia="Arial Unicode MS" w:cs="Arial Unicode M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qFormat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qFormat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qFormat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CommentTok">
    <w:name w:val="CommentTok"/>
    <w:basedOn w:val="VerbatimChar"/>
    <w:qFormat/>
    <w:rPr>
      <w:rFonts w:ascii="Arial Unicode MS" w:hAnsi="Arial Unicode MS" w:eastAsia="Arial Unicode MS" w:cs="Arial Unicode M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qFormat/>
    <w:rPr>
      <w:rFonts w:ascii="Arial Unicode MS" w:hAnsi="Arial Unicode MS" w:eastAsia="Arial Unicode MS" w:cs="Arial Unicode M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qFormat/>
    <w:rPr>
      <w:rFonts w:ascii="Arial Unicode MS" w:hAnsi="Arial Unicode MS" w:eastAsia="Arial Unicode MS" w:cs="Arial Unicode M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qFormat/>
    <w:rPr>
      <w:rFonts w:ascii="Arial Unicode MS" w:hAnsi="Arial Unicode MS" w:eastAsia="Arial Unicode MS" w:cs="Arial Unicode M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ExtensionTok">
    <w:name w:val="Extension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PreprocessorTok">
    <w:name w:val="PreprocessorTok"/>
    <w:basedOn w:val="VerbatimChar"/>
    <w:qFormat/>
    <w:rPr>
      <w:rFonts w:ascii="Arial Unicode MS" w:hAnsi="Arial Unicode MS" w:eastAsia="Arial Unicode MS" w:cs="Arial Unicode M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qFormat/>
    <w:rPr>
      <w:rFonts w:ascii="Arial Unicode MS" w:hAnsi="Arial Unicode MS" w:eastAsia="Arial Unicode MS" w:cs="Arial Unicode M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InformationTok">
    <w:name w:val="Information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qFormat/>
    <w:rPr>
      <w:rFonts w:ascii="Arial Unicode MS" w:hAnsi="Arial Unicode MS" w:eastAsia="Arial Unicode MS" w:cs="Arial Unicode M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qFormat/>
    <w:rPr>
      <w:rFonts w:ascii="Arial Unicode MS" w:hAnsi="Arial Unicode MS" w:eastAsia="Arial Unicode MS" w:cs="Arial Unicode M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paragraph" w:customStyle="1" w:styleId="CodeBlock">
    <w:name w:val="Code Block"/>
    <w:pPr>
      <w:spacing w:line="240" w:lineRule="auto"/>
      <w:ind w:firstLine="0" w:left="283"/>
      <w:shd w:fill="F2F2F2"/>
    </w:pPr>
    <w:rPr>
      <w:rFonts w:ascii="Menlo" w:hAnsi="Menlo" w:eastAsia="Menlo" w:cs="Menl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497</Pages>
  <Words>78486</Words>
  <Characters>447373</Characters>
  <Application>Microsoft Office Word</Application>
  <DocSecurity>0</DocSecurity>
  <Lines>3728</Lines>
  <Paragraphs>1049</Paragraphs>
  <ScaleCrop>false</ScaleCrop>
  <Company/>
  <LinksUpToDate>false</LinksUpToDate>
  <CharactersWithSpaces>524810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2026-05-06T14:15:00Z</dcterms:created>
  <dcterms:modified xsi:type="dcterms:W3CDTF">2026-05-07T01:22:00Z</dcterms:modified>
  <dc:title>第13章 多模态基础模型与知识增强分析</dc:title>
  <dc:subject>《智能分析化学》出版内容初稿v2.2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eyJoZGlkIjoiMDljYzUzMWQ4OWI0YzBkYjYzMDRhZTY5ZjZkYmFmYTgiLCJ1c2VySWQiOiIzNDY3ODI5MDMifQ==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74DB65D882BD4BF7A9A58B5557D771E8_12</vt:lpwstr>
  </property>
</Properties>
</file>