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第14章 仪器标准化、校准迁移与FAIR数据</w:t>
      </w:r>
    </w:p>
    <w:p>
      <w:pPr>
        <w:pStyle w:val="a8"/>
        <w:ind w:firstLine="0"/>
        <w:jc w:val="center"/>
      </w:pPr>
      <w:r>
        <w:t>第4篇 跨模态、标准化与可信智能分析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怎样使不同仪器、批次和实验室产生的数据可比、模型可迁移、过程可追溯？ 本章以跨仪器、跨批次和跨实验室测量为对象，落实“集中处理仪器一致性、校准转移、数据格式和跨实验室复用，避免各章重复。”。贯穿案例为“把近红外定量模型从主仪器传递到从仪器”。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（1）能够说明跨仪器、跨批次和跨实验室测量在本章中的数据结构与主要信息来源。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（3）能够以“先校准硬件和量值链，再讨论模型迁移”设计训练、验证和独立测试。</w:t>
      </w:r>
    </w:p>
    <w:p>
      <w:pPr>
        <w:ind w:firstLine="0"/>
      </w:pPr>
      <w:r>
        <w:t>（4）能够完成“把近红外定量模型从主仪器传递到从仪器”的最小代码实验并分析失败样本。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4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图14-1  第14章知识图谱</w:t>
      </w:r>
    </w:p>
    <w:p>
      <w:pPr>
        <w:pStyle w:val="2"/>
      </w:pPr>
      <w:r>
        <w:t>14.1 标准样品、标准方法与量值溯源</w:t>
      </w:r>
    </w:p>
    <w:p>
      <w:r>
        <w:t>本节围绕“标准样品、标准方法与量值溯源”展开。分析对象是跨仪器、跨批次和跨实验室测量，核心不是罗列名词，而是说明标准样品和标准物质、标准方法和参考方法、量值溯源和不确定度链、可比性、重复性和再现性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标准样品、标准方法与量值溯源”中，技术路线遵循“先校准硬件和量值链，再讨论模型迁移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把近红外定量模型从主仪器传递到从仪器”落实到可比性、重复性和再现性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14.1.1 标准样品和标准物质</w:t>
      </w:r>
    </w:p>
    <w:p>
      <w:r>
        <w:t>就“标准样品和标准物质”而言，在“标准样品、标准方法与量值溯源”中，标准样品和标准物质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标准样品和标准物质”用于“标准样品、标准方法与量值溯源”时，本书用“把近红外定量模型从主仪器传递到从仪器”检验标准样品和标准物质。实现时遵循“先校准硬件和量值链，再讨论模型迁移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14.1.2 标准方法和参考方法</w:t>
      </w:r>
    </w:p>
    <w:p>
      <w:r>
        <w:t>就“标准方法和参考方法”而言，在“标准样品、标准方法与量值溯源”中，标准方法和参考方法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标准方法和参考方法”用于“标准样品、标准方法与量值溯源”时，本书用“把近红外定量模型从主仪器传递到从仪器”检验标准方法和参考方法。实现时遵循“先校准硬件和量值链，再讨论模型迁移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14.1.3 量值溯源和不确定度链</w:t>
      </w:r>
    </w:p>
    <w:p>
      <w:r>
        <w:t>就“量值溯源和不确定度链”而言，围绕“量值溯源和不确定度链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量值溯源和不确定度链”用于“标准样品、标准方法与量值溯源”时，在“标准样品、标准方法与量值溯源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若该步骤改变了样品单位、统计独立性或物理峰形，必须在独立数据上重新证明其有效性。</w:t>
      </w:r>
    </w:p>
    <w:p>
      <w:pPr>
        <w:pStyle w:val="3"/>
      </w:pPr>
      <w:r>
        <w:t>14.1.4 可比性、重复性和再现性</w:t>
      </w:r>
    </w:p>
    <w:p>
      <w:r>
        <w:t>就“可比性、重复性和再现性”而言，在“标准样品、标准方法与量值溯源”中，可比性、重复性和再现性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可比性、重复性和再现性”用于“标准样品、标准方法与量值溯源”时，本书用“把近红外定量模型从主仪器传递到从仪器”检验可比性、重复性和再现性。实现时遵循“先校准硬件和量值链，再讨论模型迁移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14.2 波长、强度、分辨率、谱响应和硬件标准化</w:t>
      </w:r>
    </w:p>
    <w:p>
      <w:r>
        <w:t>本节围绕“波长、强度、分辨率、谱响应和硬件标准化”展开。分析对象是跨仪器、跨批次和跨实验室测量，核心不是罗列名词，而是说明波长/波数准确度、吸光度/强度准确度、分辨率和仪器线形、检测器响应、对称性和漂移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波长、强度、分辨率、谱响应和硬件标准化”中，技术路线遵循“先校准硬件和量值链，再讨论模型迁移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把近红外定量模型从主仪器传递到从仪器”落实到日常校准和性能确认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14.2.1 波长/波数准确度</w:t>
      </w:r>
    </w:p>
    <w:p>
      <w:r>
        <w:t>就“波长/波数准确度”而言，在“波长、强度、分辨率、谱响应和硬件标准化”中，波长/波数准确度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波长/波数准确度”用于“波长、强度、分辨率、谱响应和硬件标准化”时，本书用“把近红外定量模型从主仪器传递到从仪器”检验波长/波数准确度。实现时遵循“先校准硬件和量值链，再讨论模型迁移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14.2.2 吸光度/强度准确度</w:t>
      </w:r>
    </w:p>
    <w:p>
      <w:r>
        <w:t>就“吸光度/强度准确度”而言，在“波长、强度、分辨率、谱响应和硬件标准化”中，吸光度/强度准确度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吸光度/强度准确度”用于“波长、强度、分辨率、谱响应和硬件标准化”时，本书用“把近红外定量模型从主仪器传递到从仪器”检验吸光度/强度准确度。实现时遵循“先校准硬件和量值链，再讨论模型迁移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14.2.3 分辨率和仪器线形</w:t>
      </w:r>
    </w:p>
    <w:p>
      <w:r>
        <w:t>就“分辨率和仪器线形”而言，围绕“分辨率和仪器线形”，Beer-Lambert定律在理想条件下给出吸光度与浓度、光程和摩尔吸光系数的线性关系。高浓度、化学平衡变化、散射、杂散光和仪器带宽都会破坏线性。机器学习可以拟合非线性，但仍需说明非线性来自化学还是仪器。</w:t>
      </w:r>
    </w:p>
    <w:p>
      <w:r>
        <w:t>把“分辨率和仪器线形”用于“波长、强度、分辨率、谱响应和硬件标准化”时，在“波长、强度、分辨率、谱响应和硬件标准化”的语境下，实际谱图是真实光谱与仪器线形的卷积，并叠加采样和噪声。不同分辨率仪器得到的峰宽和峰高不可直接比较。跨仪器建模前应统一谱轴、分辨率和响应，或显式建立迁移模型。若该步骤改变了样品单位、统计独立性或物理峰形，必须在独立数据上重新证明其有效性。</w:t>
      </w:r>
    </w:p>
    <w:p>
      <w:pPr>
        <w:pStyle w:val="3"/>
      </w:pPr>
      <w:r>
        <w:t>14.2.4 检测器响应、对称性和漂移</w:t>
      </w:r>
    </w:p>
    <w:p>
      <w:r>
        <w:t>就“检测器响应、对称性和漂移”而言，在“波长、强度、分辨率、谱响应和硬件标准化”中，检测器响应、对称性和漂移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检测器响应、对称性和漂移”用于“波长、强度、分辨率、谱响应和硬件标准化”时，本书用“把近红外定量模型从主仪器传递到从仪器”检验检测器响应、对称性和漂移。实现时遵循“先校准硬件和量值链，再讨论模型迁移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14.2.5 日常校准和性能确认</w:t>
      </w:r>
    </w:p>
    <w:p>
      <w:r>
        <w:t>就“日常校准和性能确认”而言，围绕“日常校准和性能确认”，精确率关注预测为阳性的样品中有多少真正阳性，召回率关注真正阳性中有多少被检出，F1是二者的调和平均。类别极不平衡时，PR曲线比ROC曲线更能反映少数类识别的实际难度。</w:t>
      </w:r>
    </w:p>
    <w:p>
      <w:r>
        <w:t>把“日常校准和性能确认”用于“波长、强度、分辨率、谱响应和硬件标准化”时，在“波长、强度、分辨率、谱响应和硬件标准化”的语境下，概率校准回答预测概率是否与实际发生率一致。Brier分数同时受到判别和校准影响；可靠性图可显示模型过度自信或过度保守。阈值应根据漏检和误报代价确定，而不是固定在0.5。最终报告需要给出适用范围和拒绝条件，使方法在证据不足时能够停止输出。</w:t>
      </w:r>
    </w:p>
    <w:p>
      <w:pPr>
        <w:pStyle w:val="2"/>
      </w:pPr>
      <w:r>
        <w:t>14.3 主仪器—从仪器差异与传递样品</w:t>
      </w:r>
    </w:p>
    <w:p>
      <w:r>
        <w:t>本节围绕“主仪器—从仪器差异与传递样品”展开。分析对象是跨仪器、跨批次和跨实验室测量，核心不是罗列名词，而是说明主仪器和从仪器、峰位、峰强和峰宽差异、传递样品的代表性、仪器差异与样品域差异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主仪器—从仪器差异与传递样品”中，技术路线遵循“先校准硬件和量值链，再讨论模型迁移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把近红外定量模型从主仪器传递到从仪器”落实到仪器差异与样品域差异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14.3.1 主仪器和从仪器</w:t>
      </w:r>
    </w:p>
    <w:p>
      <w:r>
        <w:t>就“主仪器和从仪器”而言，在“主仪器—从仪器差异与传递样品”中，主仪器和从仪器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主仪器和从仪器”用于“主仪器—从仪器差异与传递样品”时，本书用“把近红外定量模型从主仪器传递到从仪器”检验主仪器和从仪器。实现时遵循“先校准硬件和量值链，再讨论模型迁移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14.3.2 峰位、峰强和峰宽差异</w:t>
      </w:r>
    </w:p>
    <w:p>
      <w:r>
        <w:t>就“峰位、峰强和峰宽差异”而言，在“主仪器—从仪器差异与传递样品”中，峰位、峰强和峰宽差异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峰位、峰强和峰宽差异”用于“主仪器—从仪器差异与传递样品”时，本书用“把近红外定量模型从主仪器传递到从仪器”检验峰位、峰强和峰宽差异。实现时遵循“先校准硬件和量值链，再讨论模型迁移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14.3.3 传递样品的代表性</w:t>
      </w:r>
    </w:p>
    <w:p>
      <w:r>
        <w:t>就“传递样品的代表性”而言，传递样品的代表性决定数据能否代表待回答的总体。分析试份通常只占原始对象极小比例，空间异质、颗粒尺寸、相分布和批次结构会使制样误差大于仪器重复误差；增加同一试份的重复扫描不能弥补缺乏独立取样。</w:t>
      </w:r>
    </w:p>
    <w:p>
      <w:r>
        <w:t>把“传递样品的代表性”用于“主仪器—从仪器差异与传递样品”时，应先定义总体、初级采样单元、实验样品和分析试份，再配置分层或随机取样、混匀和独立重复。训练/测试划分也必须以真正独立的样品单位为边界，否则模型会因伪重复获得虚高性能。若该步骤改变了样品单位、统计独立性或物理峰形，必须在独立数据上重新证明其有效性。</w:t>
      </w:r>
    </w:p>
    <w:p>
      <w:pPr>
        <w:pStyle w:val="3"/>
      </w:pPr>
      <w:r>
        <w:t>14.3.4 仪器差异与样品域差异</w:t>
      </w:r>
    </w:p>
    <w:p>
      <w:r>
        <w:t>就“仪器差异与样品域差异”而言，在“主仪器—从仪器差异与传递样品”中，仪器差异与样品域差异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仪器差异与样品域差异”用于“主仪器—从仪器差异与传递样品”时，本书用“把近红外定量模型从主仪器传递到从仪器”检验仪器差异与样品域差异。实现时遵循“先校准硬件和量值链，再讨论模型迁移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14.4 斜率/偏差校正、DS与PDS</w:t>
      </w:r>
    </w:p>
    <w:p>
      <w:r>
        <w:t>本节围绕“斜率/偏差校正、DS与PDS”展开。分析对象是跨仪器、跨批次和跨实验室测量，核心不是罗列名词，而是说明斜率—偏差校正、直接标准化DS、分段直接标准化PDS、回归系数转换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斜率/偏差校正、DS与PDS”中，技术路线遵循“先校准硬件和量值链，再讨论模型迁移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把近红外定量模型从主仪器传递到从仪器”落实到传递前后独立目标域验证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14.4.1 斜率—偏差校正</w:t>
      </w:r>
    </w:p>
    <w:p>
      <w:r>
        <w:t>就“斜率—偏差校正”而言，围绕“斜率—偏差校正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斜率—偏差校正”用于“斜率/偏差校正、DS与PDS”时，在“斜率/偏差校正、DS与PDS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教学上应把该概念落实为可观察变量、可运行程序和可反驳检验三层。</w:t>
      </w:r>
    </w:p>
    <w:p>
      <w:pPr>
        <w:pStyle w:val="3"/>
      </w:pPr>
      <w:r>
        <w:t>14.4.2 直接标准化DS</w:t>
      </w:r>
    </w:p>
    <w:p>
      <w:r>
        <w:t>就“直接标准化DS”而言，围绕“直接标准化DS”，中心化和尺度变换改变变量在距离、协方差和损失函数中的权重。标准化适合量纲和方差差异显著的变量；SNV对每条光谱独立中心化并按其标准差缩放；MSC则用参照光谱估计加性和乘性散射。它们解决的问题不同，不能作为无条件的默认步骤。</w:t>
      </w:r>
    </w:p>
    <w:p>
      <w:r>
        <w:t>把“直接标准化DS”用于“斜率/偏差校正、DS与PDS”时，在“斜率/偏差校正、DS与PDS”的语境下，所有缩放参数必须只在训练数据上估计，再应用到验证和测试数据。否则测试集均值、方差或参照谱会进入训练过程，造成信息泄漏。处理效果应同时检查模型误差、峰形变化和跨批次稳定性。在真实项目中，还应保存参数、软件版本和输入校验结果，以便定位变化来自样品还是计算。</w:t>
      </w:r>
    </w:p>
    <w:p>
      <w:pPr>
        <w:pStyle w:val="3"/>
      </w:pPr>
      <w:r>
        <w:t>14.4.3 分段直接标准化PDS</w:t>
      </w:r>
    </w:p>
    <w:p>
      <w:r>
        <w:t>就“分段直接标准化PDS”而言，围绕“分段直接标准化PDS”，中心化和尺度变换改变变量在距离、协方差和损失函数中的权重。标准化适合量纲和方差差异显著的变量；SNV对每条光谱独立中心化并按其标准差缩放；MSC则用参照光谱估计加性和乘性散射。它们解决的问题不同，不能作为无条件的默认步骤。</w:t>
      </w:r>
    </w:p>
    <w:p>
      <w:r>
        <w:t>把“分段直接标准化PDS”用于“斜率/偏差校正、DS与PDS”时，在“斜率/偏差校正、DS与PDS”的语境下，所有缩放参数必须只在训练数据上估计，再应用到验证和测试数据。否则测试集均值、方差或参照谱会进入训练过程，造成信息泄漏。处理效果应同时检查模型误差、峰形变化和跨批次稳定性。若该步骤改变了样品单位、统计独立性或物理峰形，必须在独立数据上重新证明其有效性。</w:t>
      </w:r>
    </w:p>
    <w:p>
      <w:pPr>
        <w:pStyle w:val="3"/>
      </w:pPr>
      <w:r>
        <w:t>14.4.4 回归系数转换</w:t>
      </w:r>
    </w:p>
    <w:p>
      <w:r>
        <w:t>就“回归系数转换”而言，在“斜率/偏差校正、DS与PDS”中，回归系数转换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回归系数转换”用于“斜率/偏差校正、DS与PDS”时，本书用“把近红外定量模型从主仪器传递到从仪器”检验回归系数转换。实现时遵循“先校准硬件和量值链，再讨论模型迁移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14.4.5 传递前后独立目标域验证</w:t>
      </w:r>
    </w:p>
    <w:p>
      <w:r>
        <w:t>就“传递前后独立目标域验证”而言，在“斜率/偏差校正、DS与PDS”中，传递前后独立目标域验证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传递前后独立目标域验证”用于“斜率/偏差校正、DS与PDS”时，本书用“把近红外定量模型从主仪器传递到从仪器”检验传递前后独立目标域验证。实现时遵循“先校准硬件和量值链，再讨论模型迁移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14.5 域适应、模型漂移和在线监测</w:t>
      </w:r>
    </w:p>
    <w:p>
      <w:r>
        <w:t>本节围绕“域适应、模型漂移和在线监测”展开。分析对象是跨仪器、跨批次和跨实验室测量，核心不是罗列名词，而是说明协变量偏移和概念漂移、域适应与MMD、迁移学习和联邦学习、在线监测、触发更新和版本回退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域适应、模型漂移和在线监测”中，技术路线遵循“先校准硬件和量值链，再讨论模型迁移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把近红外定量模型从主仪器传递到从仪器”落实到在线监测、触发更新和版本回退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14.5.1 协变量偏移和概念漂移</w:t>
      </w:r>
    </w:p>
    <w:p>
      <w:r>
        <w:t>就“协变量偏移和概念漂移”而言，在“域适应、模型漂移和在线监测”中，协变量偏移和概念漂移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协变量偏移和概念漂移”用于“域适应、模型漂移和在线监测”时，本书用“把近红外定量模型从主仪器传递到从仪器”检验协变量偏移和概念漂移。实现时遵循“先校准硬件和量值链，再讨论模型迁移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14.5.2 域适应与MMD</w:t>
      </w:r>
    </w:p>
    <w:p>
      <w:r>
        <w:t>就“域适应与MMD”而言，围绕“域适应与MMD”，直接标准化学习从从仪器到主仪器的线性映射，使同一标准样品在两个设备上的响应可比较。PDS在局部变量窗口内学习映射，更适合波长相关的差异。传递样品必须覆盖未来样品空间。</w:t>
      </w:r>
    </w:p>
    <w:p>
      <w:r>
        <w:t>把“域适应与MMD”用于“域适应、模型漂移和在线监测”时，在“域适应、模型漂移和在线监测”的语境下，域适应处理训练域与部署域分布不同的问题。MMD比较两个分布在核特征空间中的均值差异，但减小分布距离不保证目标关系保持不变。迁移后必须用独立目标域样品检验定量偏差和失效区域。在真实项目中，还应保存参数、软件版本和输入校验结果，以便定位变化来自样品还是计算。</w:t>
      </w:r>
    </w:p>
    <w:p>
      <w:pPr>
        <w:pStyle w:val="3"/>
      </w:pPr>
      <w:r>
        <w:t>14.5.3 迁移学习和联邦学习</w:t>
      </w:r>
    </w:p>
    <w:p>
      <w:r>
        <w:t>就“迁移学习和联邦学习”而言，在“域适应、模型漂移和在线监测”中，迁移学习和联邦学习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迁移学习和联邦学习”用于“域适应、模型漂移和在线监测”时，本书用“把近红外定量模型从主仪器传递到从仪器”检验迁移学习和联邦学习。实现时遵循“先校准硬件和量值链，再讨论模型迁移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14.5.4 在线监测、触发更新和版本回退</w:t>
      </w:r>
    </w:p>
    <w:p>
      <w:r>
        <w:t>就“在线监测、触发更新和版本回退”而言，在线监测、触发更新和版本回退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在线监测、触发更新和版本回退”用于“域适应、模型漂移和在线监测”时，建模时应保存真实时间戳、同步误差和操作事件，避免把等间隔文件序号当作真实时间。对于在线控制，还要区分毫秒级设备反馈与分钟级科学决策，并用状态估计处理不可直接观察的化学状态。读图或读指标时应返回原始数据抽查，避免把表示空间中的几何关系直接当成化学机制。</w:t>
      </w:r>
    </w:p>
    <w:p>
      <w:pPr>
        <w:pStyle w:val="2"/>
      </w:pPr>
      <w:r>
        <w:t>14.6 化学文件格式、元数据和版本谱系</w:t>
      </w:r>
    </w:p>
    <w:p>
      <w:r>
        <w:t>本节围绕“化学文件格式、元数据和版本谱系”展开。分析对象是跨仪器、跨批次和跨实验室测量，核心不是罗列名词，而是说明JCAMP-DX、mzML与图像格式、单位、术语和机器可读元数据、样品—仪器—处理—模型谱系、校验码、持久标识符和版本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化学文件格式、元数据和版本谱系”中，技术路线遵循“先校准硬件和量值链，再讨论模型迁移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把近红外定量模型从主仪器传递到从仪器”落实到校验码、持久标识符和版本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14.6.1 JCAMP-DX、mzML与图像格式</w:t>
      </w:r>
    </w:p>
    <w:p>
      <w:r>
        <w:t>就“JCAMP-DX、mzML与图像格式”而言，围绕“JCAMP-DX、mzML与图像格式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JCAMP-DX、mzML与图像格式”用于“化学文件格式、元数据和版本谱系”时，在“化学文件格式、元数据和版本谱系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教学上应把该概念落实为可观察变量、可运行程序和可反驳检验三层。</w:t>
      </w:r>
    </w:p>
    <w:p>
      <w:pPr>
        <w:pStyle w:val="3"/>
      </w:pPr>
      <w:r>
        <w:t>14.6.2 单位、术语和机器可读元数据</w:t>
      </w:r>
    </w:p>
    <w:p>
      <w:r>
        <w:t>就“单位、术语和机器可读元数据”而言，单位、术语和机器可读元数据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单位、术语和机器可读元数据”用于“化学文件格式、元数据和版本谱系”时，推荐把原始文件设为只读，以持久样品标识连接实验表和信号文件，并为每次转换记录脚本版本、参数和校验码。单位转换、重采样与轴反向属于会改变数值含义的操作，必须在数据进入模型前自动检查。在真实项目中，还应保存参数、软件版本和输入校验结果，以便定位变化来自样品还是计算。</w:t>
      </w:r>
    </w:p>
    <w:p>
      <w:pPr>
        <w:pStyle w:val="3"/>
      </w:pPr>
      <w:r>
        <w:t>14.6.3 样品—仪器—处理—模型谱系</w:t>
      </w:r>
    </w:p>
    <w:p>
      <w:r>
        <w:t>就“样品—仪器—处理—模型谱系”而言，围绕“样品—仪器—处理—模型谱系”，FAIR强调数据及其元数据能够被机器发现、访问、互操作和复用。FAIR不等于完全公开：受限数据仍可通过持久标识符、清楚的访问条件和机器可读元数据实现可发现和可治理。</w:t>
      </w:r>
    </w:p>
    <w:p>
      <w:r>
        <w:t>把“样品—仪器—处理—模型谱系”用于“化学文件格式、元数据和版本谱系”时，在“化学文件格式、元数据和版本谱系”的语境下，化学数据的复用依赖样品身份、单位、仪器、方法、校准和处理历史。文件格式只解决语法交换，术语表和本体解决语义。原始文件、转换脚本、训练划分和模型版本应以校验码连接成数据谱系。若该步骤改变了样品单位、统计独立性或物理峰形，必须在独立数据上重新证明其有效性。</w:t>
      </w:r>
    </w:p>
    <w:p>
      <w:pPr>
        <w:pStyle w:val="3"/>
      </w:pPr>
      <w:r>
        <w:t>14.6.4 校验码、持久标识符和版本</w:t>
      </w:r>
    </w:p>
    <w:p>
      <w:r>
        <w:t>就“校验码、持久标识符和版本”而言，围绕“校验码、持久标识符和版本”，FAIR强调数据及其元数据能够被机器发现、访问、互操作和复用。FAIR不等于完全公开：受限数据仍可通过持久标识符、清楚的访问条件和机器可读元数据实现可发现和可治理。</w:t>
      </w:r>
    </w:p>
    <w:p>
      <w:r>
        <w:t>把“校验码、持久标识符和版本”用于“化学文件格式、元数据和版本谱系”时，在“化学文件格式、元数据和版本谱系”的语境下，化学数据的复用依赖样品身份、单位、仪器、方法、校准和处理历史。文件格式只解决语法交换，术语表和本体解决语义。原始文件、转换脚本、训练划分和模型版本应以校验码连接成数据谱系。读图或读指标时应返回原始数据抽查，避免把表示空间中的几何关系直接当成化学机制。</w:t>
      </w:r>
    </w:p>
    <w:p>
      <w:pPr>
        <w:pStyle w:val="2"/>
      </w:pPr>
      <w:r>
        <w:t>14.7 FAIR原则与跨实验室基准</w:t>
      </w:r>
    </w:p>
    <w:p>
      <w:r>
        <w:t>本节围绕“FAIR原则与跨实验室基准”展开。分析对象是跨仪器、跨批次和跨实验室测量，核心不是罗列名词，而是说明可发现、可访问、可互操作、可复用、FAIR不等于完全公开、跨仪器和跨实验室benchmark、共享数据、模型和评价协议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FAIR原则与跨实验室基准”中，技术路线遵循“先校准硬件和量值链，再讨论模型迁移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把近红外定量模型从主仪器传递到从仪器”落实到共享数据、模型和评价协议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14.7.1 可发现、可访问、可互操作、可复用</w:t>
      </w:r>
    </w:p>
    <w:p>
      <w:r>
        <w:t>就“可发现、可访问、可互操作、可复用”而言，在“FAIR原则与跨实验室基准”中，可发现、可访问、可互操作、可复用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可发现、可访问、可互操作、可复用”用于“FAIR原则与跨实验室基准”时，本书用“把近红外定量模型从主仪器传递到从仪器”检验可发现、可访问、可互操作、可复用。实现时遵循“先校准硬件和量值链，再讨论模型迁移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14.7.2 FAIR不等于完全公开</w:t>
      </w:r>
    </w:p>
    <w:p>
      <w:r>
        <w:t>就“FAIR不等于完全公开”而言，围绕“FAIR不等于完全公开”，FAIR强调数据及其元数据能够被机器发现、访问、互操作和复用。FAIR不等于完全公开：受限数据仍可通过持久标识符、清楚的访问条件和机器可读元数据实现可发现和可治理。</w:t>
      </w:r>
    </w:p>
    <w:p>
      <w:r>
        <w:t>把“FAIR不等于完全公开”用于“FAIR原则与跨实验室基准”时，在“FAIR原则与跨实验室基准”的语境下，化学数据的复用依赖样品身份、单位、仪器、方法、校准和处理历史。文件格式只解决语法交换，术语表和本体解决语义。原始文件、转换脚本、训练划分和模型版本应以校验码连接成数据谱系。在真实项目中，还应保存参数、软件版本和输入校验结果，以便定位变化来自样品还是计算。</w:t>
      </w:r>
    </w:p>
    <w:p>
      <w:pPr>
        <w:pStyle w:val="3"/>
      </w:pPr>
      <w:r>
        <w:t>14.7.3 跨仪器和跨实验室benchmark</w:t>
      </w:r>
    </w:p>
    <w:p>
      <w:r>
        <w:t>就“跨仪器和跨实验室benchmark”而言，在“FAIR原则与跨实验室基准”中，跨仪器和跨实验室benchmark具体限定了跨仪器、跨批次和跨实验室测量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跨仪器和跨实验室benchmark”用于“FAIR原则与跨实验室基准”时，本书用“把近红外定量模型从主仪器传递到从仪器”检验跨仪器和跨实验室benchmark。实现时遵循“先校准硬件和量值链，再讨论模型迁移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14.7.4 共享数据、模型和评价协议</w:t>
      </w:r>
    </w:p>
    <w:p>
      <w:r>
        <w:t>就“共享数据、模型和评价协议”而言，共享数据、模型和评价协议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共享数据、模型和评价协议”用于“FAIR原则与跨实验室基准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读图或读指标时应返回原始数据抽查，避免把表示空间中的几何关系直接当成化学机制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（1）X_master≈X_slaveF</w:t>
      </w:r>
    </w:p>
    <w:p>
      <w:pPr>
        <w:ind w:firstLine="0"/>
      </w:pPr>
      <w:r>
        <w:rPr>
          <w:b/>
          <w:color w:val="345A8A"/>
        </w:rPr>
        <w:t>（2）MMD²=||Eφ(X_s)−Eφ(X_t)||²</w:t>
      </w:r>
    </w:p>
    <w:p>
      <w:pPr>
        <w:pStyle w:val="2"/>
      </w:pPr>
      <w:r>
        <w:t>本章综合案例</w:t>
      </w:r>
    </w:p>
    <w:p>
      <w:r>
        <w:t>本章案例为“把近红外定量模型从主仪器传递到从仪器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实现DS/PDS校准迁移和样品—仪器—处理—模型元数据检查器。</w:t>
      </w:r>
    </w:p>
    <w:p>
      <w:pPr>
        <w:pStyle w:val="CodeBlock"/>
        <w:spacing w:after="0"/>
        <w:ind w:firstLine="0"/>
      </w:pPr>
      <w:r>
        <w:t>"""第14章代码练习：仪器标准化、校准迁移与FAIR数据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任务：实现DS/PDS校准迁移和样品—仪器—处理—模型元数据检查器。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X_master=rng.normal(size=(30,100))</w:t>
      </w:r>
    </w:p>
    <w:p>
      <w:pPr>
        <w:pStyle w:val="CodeBlock"/>
        <w:spacing w:after="0"/>
        <w:ind w:firstLine="0"/>
      </w:pPr>
      <w:r>
        <w:t>X_slave=X_master@np.eye(100)+rng.normal(scale=0.03,size=(30,100))</w:t>
      </w:r>
    </w:p>
    <w:p>
      <w:pPr>
        <w:pStyle w:val="CodeBlock"/>
        <w:spacing w:after="0"/>
        <w:ind w:firstLine="0"/>
      </w:pPr>
      <w:r>
        <w:t>metadata={'sample_id':'S001','instrument':'NIR-02','unit':'a.u.','preprocess':'SNV','checksum':'demo'}</w:t>
      </w:r>
    </w:p>
    <w:p>
      <w:pPr>
        <w:pStyle w:val="CodeBlock"/>
        <w:spacing w:after="0"/>
        <w:ind w:firstLine="0"/>
      </w:pPr>
      <w:r>
        <w:t>F=np.linalg.lstsq(X_slave,X_master,rcond=None)[0]</w:t>
      </w:r>
    </w:p>
    <w:p>
      <w:pPr>
        <w:pStyle w:val="CodeBlock"/>
        <w:spacing w:after="0"/>
        <w:ind w:firstLine="0"/>
      </w:pPr>
      <w:r>
        <w:t>X_transfer=X_slave@F</w:t>
      </w:r>
    </w:p>
    <w:p>
      <w:pPr>
        <w:pStyle w:val="CodeBlock"/>
        <w:spacing w:after="0"/>
        <w:ind w:firstLine="0"/>
      </w:pPr>
      <w:r>
        <w:t>required={'sample_id','instrument','unit','preprocess','checksum'}</w:t>
      </w:r>
    </w:p>
    <w:p>
      <w:pPr>
        <w:pStyle w:val="CodeBlock"/>
        <w:spacing w:after="0"/>
        <w:ind w:firstLine="0"/>
      </w:pPr>
      <w:r>
        <w:t>assert not required-set(metadata)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用课程或开放数据替换合成输入，明确对象为主仪器与从仪器对同一批传递样品的响应。</w:t>
      </w:r>
    </w:p>
    <w:p>
      <w:pPr>
        <w:pStyle w:val="CodeBlock"/>
        <w:spacing w:after="0"/>
        <w:ind w:firstLine="0"/>
      </w:pPr>
      <w:r>
        <w:t># TODO 2: 实现在独立日期与未参与传递的目标域样品上检验，并与随机划分或默认流程对照。</w:t>
      </w:r>
    </w:p>
    <w:p>
      <w:pPr>
        <w:pStyle w:val="CodeBlock"/>
        <w:spacing w:after="0"/>
        <w:ind w:firstLine="0"/>
      </w:pPr>
      <w:r>
        <w:t># TODO 3: 输出定位波长区间、浓度范围和仪器状态造成的迁移失效，据此判断能否交付可追溯的校准迁移模型与FAIR数据包。</w:t>
      </w:r>
    </w:p>
    <w:p>
      <w:pPr>
        <w:pStyle w:val="2"/>
      </w:pPr>
      <w:r>
        <w:t>【本章小结】</w:t>
      </w:r>
    </w:p>
    <w:p>
      <w:r>
        <w:t>本章以跨仪器、跨批次和跨实验室测量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为“把近红外定量模型从主仪器传递到从仪器”画出测量链并标出三处可能失真位置。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第14章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第14章 仪器标准化、校准迁移与FAIR数据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