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9"/>
        <w:ind w:firstLine="0"/>
        <w:jc w:val="center"/>
      </w:pPr>
      <w:r>
        <w:t>第15章 可信智能分析：不确定度、适用域与因果机制</w:t>
      </w:r>
    </w:p>
    <w:p>
      <w:pPr>
        <w:pStyle w:val="a8"/>
        <w:ind w:firstLine="0"/>
        <w:jc w:val="center"/>
      </w:pPr>
      <w:r>
        <w:t>第4篇 跨模态、标准化与可信智能分析</w:t>
      </w:r>
    </w:p>
    <w:p>
      <w:pPr>
        <w:pStyle w:val="a8"/>
        <w:ind w:firstLine="0"/>
        <w:jc w:val="center"/>
      </w:pPr>
      <w:r>
        <w:t>出版内容初稿 v2.2</w:t>
      </w:r>
    </w:p>
    <w:p>
      <w:pPr>
        <w:pStyle w:val="2"/>
      </w:pPr>
      <w:r>
        <w:t>【章首导引】</w:t>
      </w:r>
    </w:p>
    <w:p>
      <w:r>
        <w:t>模型什么时候知道自己不知道，预测关系又何时能支持化学解释和方法决策？ 本章以带概率、区间、解释和行动代价的预测为对象，落实“将可信性集中成章，替代各章重复的泛化‘安全/伦理/责任’小节。”。贯穿案例为“为分类器建立概率校准、OOD拒识和失败分层”。</w:t>
      </w:r>
    </w:p>
    <w:p>
      <w:pPr>
        <w:pStyle w:val="2"/>
      </w:pPr>
      <w:r>
        <w:t>学习目标</w:t>
      </w:r>
    </w:p>
    <w:p>
      <w:pPr>
        <w:ind w:firstLine="0"/>
      </w:pPr>
      <w:r>
        <w:t>（1）能够说明带概率、区间、解释和行动代价的预测在本章中的数据结构与主要信息来源。</w:t>
      </w:r>
    </w:p>
    <w:p>
      <w:pPr>
        <w:ind w:firstLine="0"/>
      </w:pPr>
      <w:r>
        <w:t>（2）能够解释本章关键方法的输入、输出、参数、假设和失效条件。</w:t>
      </w:r>
    </w:p>
    <w:p>
      <w:pPr>
        <w:ind w:firstLine="0"/>
      </w:pPr>
      <w:r>
        <w:t>（3）能够以“让模型能够拒绝域外样品并接受因果反驳”设计训练、验证和独立测试。</w:t>
      </w:r>
    </w:p>
    <w:p>
      <w:pPr>
        <w:ind w:firstLine="0"/>
      </w:pPr>
      <w:r>
        <w:t>（4）能够完成“为分类器建立概率校准、OOD拒识和失败分层”的最小代码实验并分析失败样本。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2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15章_知识图谱_预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  <w:ind w:firstLine="0"/>
        <w:jc w:val="center"/>
      </w:pPr>
      <w:r>
        <w:t>图15-1  第15章知识图谱</w:t>
      </w:r>
    </w:p>
    <w:p>
      <w:pPr>
        <w:pStyle w:val="2"/>
      </w:pPr>
      <w:r>
        <w:t>15.1 点预测、区间预测与不确定度来源</w:t>
      </w:r>
    </w:p>
    <w:p>
      <w:r>
        <w:t>本节围绕“点预测、区间预测与不确定度来源”展开。分析对象是带概率、区间、解释和行动代价的预测，核心不是罗列名词，而是说明采样、测量、标签和模型不确定度、偶然不确定度与认知不确定度、点估计、区间和预测分布、误差传播和蒙特卡洛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点预测、区间预测与不确定度来源”中，技术路线遵循“让模型能够拒绝域外样品并接受因果反驳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分类器建立概率校准、OOD拒识和失败分层”落实到误差传播和蒙特卡洛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15.1.1 采样、测量、标签和模型不确定度</w:t>
      </w:r>
    </w:p>
    <w:p>
      <w:r>
        <w:t>就“采样、测量、标签和模型不确定度”而言，围绕“采样、测量、标签和模型不确定度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采样、测量、标签和模型不确定度”用于“点预测、区间预测与不确定度来源”时，在“点预测、区间预测与不确定度来源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在真实项目中，还应保存参数、软件版本和输入校验结果，以便定位变化来自样品还是计算。</w:t>
      </w:r>
    </w:p>
    <w:p>
      <w:pPr>
        <w:pStyle w:val="3"/>
      </w:pPr>
      <w:r>
        <w:t>15.1.2 偶然不确定度与认知不确定度</w:t>
      </w:r>
    </w:p>
    <w:p>
      <w:r>
        <w:t>就“偶然不确定度与认知不确定度”而言，围绕“偶然不确定度与认知不确定度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偶然不确定度与认知不确定度”用于“点预测、区间预测与不确定度来源”时，在“点预测、区间预测与不确定度来源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若该步骤改变了样品单位、统计独立性或物理峰形，必须在独立数据上重新证明其有效性。</w:t>
      </w:r>
    </w:p>
    <w:p>
      <w:pPr>
        <w:pStyle w:val="3"/>
      </w:pPr>
      <w:r>
        <w:t>15.1.3 点估计、区间和预测分布</w:t>
      </w:r>
    </w:p>
    <w:p>
      <w:r>
        <w:t>就“点估计、区间和预测分布”而言，在“点预测、区间预测与不确定度来源”中，点估计、区间和预测分布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点估计、区间和预测分布”用于“点预测、区间预测与不确定度来源”时，本书用“为分类器建立概率校准、OOD拒识和失败分层”检验点估计、区间和预测分布。实现时遵循“让模型能够拒绝域外样品并接受因果反驳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15.1.4 误差传播和蒙特卡洛</w:t>
      </w:r>
    </w:p>
    <w:p>
      <w:r>
        <w:t>就“误差传播和蒙特卡洛”而言，围绕“误差传播和蒙特卡洛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误差传播和蒙特卡洛”用于“点预测、区间预测与不确定度来源”时，在“点预测、区间预测与不确定度来源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最终报告需要给出适用范围和拒绝条件，使方法在证据不足时能够停止输出。</w:t>
      </w:r>
    </w:p>
    <w:p>
      <w:pPr>
        <w:pStyle w:val="2"/>
      </w:pPr>
      <w:r>
        <w:t>15.2 概率校准、共形预测与覆盖率</w:t>
      </w:r>
    </w:p>
    <w:p>
      <w:r>
        <w:t>本节围绕“概率校准、共形预测与覆盖率”展开。分析对象是带概率、区间、解释和行动代价的预测，核心不是罗列名词，而是说明置信度与真实频率、温度缩放和概率校准、Brier分数与可靠性图、共形预测和有限样本覆盖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概率校准、共形预测与覆盖率”中，技术路线遵循“让模型能够拒绝域外样品并接受因果反驳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分类器建立概率校准、OOD拒识和失败分层”落实到区间宽度与有效性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15.2.1 置信度与真实频率</w:t>
      </w:r>
    </w:p>
    <w:p>
      <w:r>
        <w:t>就“置信度与真实频率”而言，在“概率校准、共形预测与覆盖率”中，置信度与真实频率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置信度与真实频率”用于“概率校准、共形预测与覆盖率”时，本书用“为分类器建立概率校准、OOD拒识和失败分层”检验置信度与真实频率。实现时遵循“让模型能够拒绝域外样品并接受因果反驳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15.2.2 温度缩放和概率校准</w:t>
      </w:r>
    </w:p>
    <w:p>
      <w:r>
        <w:t>就“温度缩放和概率校准”而言，围绕“温度缩放和概率校准”，精确率关注预测为阳性的样品中有多少真正阳性，召回率关注真正阳性中有多少被检出，F1是二者的调和平均。类别极不平衡时，PR曲线比ROC曲线更能反映少数类识别的实际难度。</w:t>
      </w:r>
    </w:p>
    <w:p>
      <w:r>
        <w:t>把“温度缩放和概率校准”用于“概率校准、共形预测与覆盖率”时，在“概率校准、共形预测与覆盖率”的语境下，概率校准回答预测概率是否与实际发生率一致。Brier分数同时受到判别和校准影响；可靠性图可显示模型过度自信或过度保守。阈值应根据漏检和误报代价确定，而不是固定在0.5。若该步骤改变了样品单位、统计独立性或物理峰形，必须在独立数据上重新证明其有效性。</w:t>
      </w:r>
    </w:p>
    <w:p>
      <w:pPr>
        <w:pStyle w:val="3"/>
      </w:pPr>
      <w:r>
        <w:t>15.2.3 Brier分数与可靠性图</w:t>
      </w:r>
    </w:p>
    <w:p>
      <w:r>
        <w:t>就“Brier分数与可靠性图”而言，围绕“Brier分数与可靠性图”，精确率关注预测为阳性的样品中有多少真正阳性，召回率关注真正阳性中有多少被检出，F1是二者的调和平均。类别极不平衡时，PR曲线比ROC曲线更能反映少数类识别的实际难度。</w:t>
      </w:r>
    </w:p>
    <w:p>
      <w:r>
        <w:t>把“Brier分数与可靠性图”用于“概率校准、共形预测与覆盖率”时，在“概率校准、共形预测与覆盖率”的语境下，概率校准回答预测概率是否与实际发生率一致。Brier分数同时受到判别和校准影响；可靠性图可显示模型过度自信或过度保守。阈值应根据漏检和误报代价确定，而不是固定在0.5。读图或读指标时应返回原始数据抽查，避免把表示空间中的几何关系直接当成化学机制。</w:t>
      </w:r>
    </w:p>
    <w:p>
      <w:pPr>
        <w:pStyle w:val="3"/>
      </w:pPr>
      <w:r>
        <w:t>15.2.4 共形预测和有限样本覆盖</w:t>
      </w:r>
    </w:p>
    <w:p>
      <w:r>
        <w:t>就“共形预测和有限样本覆盖”而言，在“概率校准、共形预测与覆盖率”中，共形预测和有限样本覆盖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共形预测和有限样本覆盖”用于“概率校准、共形预测与覆盖率”时，本书用“为分类器建立概率校准、OOD拒识和失败分层”检验共形预测和有限样本覆盖。实现时遵循“让模型能够拒绝域外样品并接受因果反驳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15.2.5 区间宽度与有效性</w:t>
      </w:r>
    </w:p>
    <w:p>
      <w:r>
        <w:t>就“区间宽度与有效性”而言，在“概率校准、共形预测与覆盖率”中，区间宽度与有效性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区间宽度与有效性”用于“概率校准、共形预测与覆盖率”时，本书用“为分类器建立概率校准、OOD拒识和失败分层”检验区间宽度与有效性。实现时遵循“让模型能够拒绝域外样品并接受因果反驳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2"/>
      </w:pPr>
      <w:r>
        <w:t>15.3 适用域、OOD检测与拒识策略</w:t>
      </w:r>
    </w:p>
    <w:p>
      <w:r>
        <w:t>本节围绕“适用域、OOD检测与拒识策略”展开。分析对象是带概率、区间、解释和行动代价的预测，核心不是罗列名词，而是说明传统杠杆和马氏距离、Hotelling T²与Q残差、现代密度/能量/OOD方法、开放集识别和拒识阈值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适用域、OOD检测与拒识策略”中，技术路线遵循“让模型能够拒绝域外样品并接受因果反驳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分类器建立概率校准、OOD拒识和失败分层”落实到域外检测的失效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15.3.1 传统杠杆和马氏距离</w:t>
      </w:r>
    </w:p>
    <w:p>
      <w:r>
        <w:t>就“传统杠杆和马氏距离”而言，在“适用域、OOD检测与拒识策略”中，传统杠杆和马氏距离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传统杠杆和马氏距离”用于“适用域、OOD检测与拒识策略”时，本书用“为分类器建立概率校准、OOD拒识和失败分层”检验传统杠杆和马氏距离。实现时遵循“让模型能够拒绝域外样品并接受因果反驳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15.3.2 Hotelling T²与Q残差</w:t>
      </w:r>
    </w:p>
    <w:p>
      <w:r>
        <w:t>就“Hotelling T²与Q残差”而言，围绕“Hotelling T²与Q残差”，RMSE对大误差更敏感，MAE更接近典型绝对偏差；偏差则显示预测是否系统性高估或低估。单一指标会隐藏误差结构，因此还需绘制预测—参照图、残差—浓度图，并按批次、浓度和样品类型分层。</w:t>
      </w:r>
    </w:p>
    <w:p>
      <w:r>
        <w:t>把“Hotelling T²与Q残差”用于“适用域、OOD检测与拒识策略”时，在“适用域、OOD检测与拒识策略”的语境下，Hotelling T²描述样品在模型潜空间内的杠杆程度，Q残差描述样品不能被模型子空间解释的部分。二者结合可区分“位于已知方向的极端样品”和“具有新型结构的样品”，是建立适用域和异常诊断的重要工具。若该步骤改变了样品单位、统计独立性或物理峰形，必须在独立数据上重新证明其有效性。</w:t>
      </w:r>
    </w:p>
    <w:p>
      <w:pPr>
        <w:pStyle w:val="3"/>
      </w:pPr>
      <w:r>
        <w:t>15.3.3 现代密度/能量/OOD方法</w:t>
      </w:r>
    </w:p>
    <w:p>
      <w:r>
        <w:t>就“现代密度/能量/OOD方法”而言，在“适用域、OOD检测与拒识策略”中，现代密度/能量/OOD方法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现代密度/能量/OOD方法”用于“适用域、OOD检测与拒识策略”时，本书用“为分类器建立概率校准、OOD拒识和失败分层”检验现代密度/能量/OOD方法。实现时遵循“让模型能够拒绝域外样品并接受因果反驳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15.3.4 开放集识别和拒识阈值</w:t>
      </w:r>
    </w:p>
    <w:p>
      <w:r>
        <w:t>就“开放集识别和拒识阈值”而言，开放集识别和拒识阈值的目标是判断样品中存在什么，而不是仅把信号分到一个已知类别。可靠识别至少需要选择性响应、参照物或谱库、相似干扰物以及库外样品；若候选集合不完整，最高匹配分只能表示‘在当前库中最相似’，不能等同于身份确认。</w:t>
      </w:r>
    </w:p>
    <w:p>
      <w:r>
        <w:t>把“开放集识别和拒识阈值”用于“适用域、OOD检测与拒识策略”时，定性流程应把检出、候选筛选和确证分开。检出阶段控制空白和假阳性，筛选阶段报告Top-k候选及分数差，确证阶段依靠保留信息、互补谱学或标准物质。模型还应设置拒识阈值，避免对训练分布之外的样品强行命名。最终报告需要给出适用范围和拒绝条件，使方法在证据不足时能够停止输出。</w:t>
      </w:r>
    </w:p>
    <w:p>
      <w:pPr>
        <w:pStyle w:val="3"/>
      </w:pPr>
      <w:r>
        <w:t>15.3.5 域外检测的失效</w:t>
      </w:r>
    </w:p>
    <w:p>
      <w:r>
        <w:t>就“域外检测的失效”而言，在“适用域、OOD检测与拒识策略”中，域外检测的失效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域外检测的失效”用于“适用域、OOD检测与拒识策略”时，本书用“为分类器建立概率校准、OOD拒识和失败分层”检验域外检测的失效。实现时遵循“让模型能够拒绝域外样品并接受因果反驳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2"/>
      </w:pPr>
      <w:r>
        <w:t>15.4 批次、仪器、基质和时间混杂</w:t>
      </w:r>
    </w:p>
    <w:p>
      <w:r>
        <w:t>本节围绕“批次、仪器、基质和时间混杂”展开。分析对象是带概率、区间、解释和行动代价的预测，核心不是罗列名词，而是说明批次、仪器、基质和采样顺序、处理组与批次完全混杂、捷径学习和数据泄漏、分层评价和对照实验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批次、仪器、基质和时间混杂”中，技术路线遵循“让模型能够拒绝域外样品并接受因果反驳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分类器建立概率校准、OOD拒识和失败分层”落实到分层评价和对照实验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15.4.1 批次、仪器、基质和采样顺序</w:t>
      </w:r>
    </w:p>
    <w:p>
      <w:r>
        <w:t>就“批次、仪器、基质和采样顺序”而言，批次、仪器、基质和采样顺序决定数据能否代表待回答的总体。分析试份通常只占原始对象极小比例，空间异质、颗粒尺寸、相分布和批次结构会使制样误差大于仪器重复误差；增加同一试份的重复扫描不能弥补缺乏独立取样。</w:t>
      </w:r>
    </w:p>
    <w:p>
      <w:r>
        <w:t>把“批次、仪器、基质和采样顺序”用于“批次、仪器、基质和时间混杂”时，应先定义总体、初级采样单元、实验样品和分析试份，再配置分层或随机取样、混匀和独立重复。训练/测试划分也必须以真正独立的样品单位为边界，否则模型会因伪重复获得虚高性能。在真实项目中，还应保存参数、软件版本和输入校验结果，以便定位变化来自样品还是计算。</w:t>
      </w:r>
    </w:p>
    <w:p>
      <w:pPr>
        <w:pStyle w:val="3"/>
      </w:pPr>
      <w:r>
        <w:t>15.4.2 处理组与批次完全混杂</w:t>
      </w:r>
    </w:p>
    <w:p>
      <w:r>
        <w:t>就“处理组与批次完全混杂”而言，在“批次、仪器、基质和时间混杂”中，处理组与批次完全混杂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处理组与批次完全混杂”用于“批次、仪器、基质和时间混杂”时，本书用“为分类器建立概率校准、OOD拒识和失败分层”检验处理组与批次完全混杂。实现时遵循“让模型能够拒绝域外样品并接受因果反驳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15.4.3 捷径学习和数据泄漏</w:t>
      </w:r>
    </w:p>
    <w:p>
      <w:r>
        <w:t>就“捷径学习和数据泄漏”而言，捷径学习和数据泄漏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捷径学习和数据泄漏”用于“批次、仪器、基质和时间混杂”时，推荐把原始文件设为只读，以持久样品标识连接实验表和信号文件，并为每次转换记录脚本版本、参数和校验码。单位转换、重采样与轴反向属于会改变数值含义的操作，必须在数据进入模型前自动检查。读图或读指标时应返回原始数据抽查，避免把表示空间中的几何关系直接当成化学机制。</w:t>
      </w:r>
    </w:p>
    <w:p>
      <w:pPr>
        <w:pStyle w:val="3"/>
      </w:pPr>
      <w:r>
        <w:t>15.4.4 分层评价和对照实验</w:t>
      </w:r>
    </w:p>
    <w:p>
      <w:r>
        <w:t>就“分层评价和对照实验”而言，在“批次、仪器、基质和时间混杂”中，分层评价和对照实验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分层评价和对照实验”用于“批次、仪器、基质和时间混杂”时，本书用“为分类器建立概率校准、OOD拒识和失败分层”检验分层评价和对照实验。实现时遵循“让模型能够拒绝域外样品并接受因果反驳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2"/>
      </w:pPr>
      <w:r>
        <w:t>15.5 因果图、干预、对照与反事实</w:t>
      </w:r>
    </w:p>
    <w:p>
      <w:r>
        <w:t>本节围绕“因果图、干预、对照与反事实”展开。分析对象是带概率、区间、解释和行动代价的预测，核心不是罗列名词，而是说明相关、预测和因果、因果图、共同原因和碰撞点、随机化、干预和自然实验、反事实问题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因果图、干预、对照与反事实”中，技术路线遵循“让模型能够拒绝域外样品并接受因果反驳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分类器建立概率校准、OOD拒识和失败分层”落实到实验设计与因果识别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15.5.1 相关、预测和因果</w:t>
      </w:r>
    </w:p>
    <w:p>
      <w:r>
        <w:t>就“相关、预测和因果”而言，在“因果图、干预、对照与反事实”中，相关、预测和因果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相关、预测和因果”用于“因果图、干预、对照与反事实”时，本书用“为分类器建立概率校准、OOD拒识和失败分层”检验相关、预测和因果。实现时遵循“让模型能够拒绝域外样品并接受因果反驳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15.5.2 因果图、共同原因和碰撞点</w:t>
      </w:r>
    </w:p>
    <w:p>
      <w:r>
        <w:t>就“因果图、共同原因和碰撞点”而言，围绕“因果图、共同原因和碰撞点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因果图、共同原因和碰撞点”用于“因果图、干预、对照与反事实”时，在“因果图、干预、对照与反事实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若该步骤改变了样品单位、统计独立性或物理峰形，必须在独立数据上重新证明其有效性。</w:t>
      </w:r>
    </w:p>
    <w:p>
      <w:pPr>
        <w:pStyle w:val="3"/>
      </w:pPr>
      <w:r>
        <w:t>15.5.3 随机化、干预和自然实验</w:t>
      </w:r>
    </w:p>
    <w:p>
      <w:r>
        <w:t>就“随机化、干预和自然实验”而言，在“因果图、干预、对照与反事实”中，随机化、干预和自然实验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随机化、干预和自然实验”用于“因果图、干预、对照与反事实”时，本书用“为分类器建立概率校准、OOD拒识和失败分层”检验随机化、干预和自然实验。实现时遵循“让模型能够拒绝域外样品并接受因果反驳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15.5.4 反事实问题</w:t>
      </w:r>
    </w:p>
    <w:p>
      <w:r>
        <w:t>就“反事实问题”而言，在“因果图、干预、对照与反事实”中，反事实问题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反事实问题”用于“因果图、干预、对照与反事实”时，本书用“为分类器建立概率校准、OOD拒识和失败分层”检验反事实问题。实现时遵循“让模型能够拒绝域外样品并接受因果反驳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15.5.5 实验设计与因果识别</w:t>
      </w:r>
    </w:p>
    <w:p>
      <w:r>
        <w:t>就“实验设计与因果识别”而言，实验设计与因果识别的目标是判断样品中存在什么，而不是仅把信号分到一个已知类别。可靠识别至少需要选择性响应、参照物或谱库、相似干扰物以及库外样品；若候选集合不完整，最高匹配分只能表示‘在当前库中最相似’，不能等同于身份确认。</w:t>
      </w:r>
    </w:p>
    <w:p>
      <w:r>
        <w:t>把“实验设计与因果识别”用于“因果图、干预、对照与反事实”时，定性流程应把检出、候选筛选和确证分开。检出阶段控制空白和假阳性，筛选阶段报告Top-k候选及分数差，确证阶段依靠保留信息、互补谱学或标准物质。模型还应设置拒识阈值，避免对训练分布之外的样品强行命名。教学上应把该概念落实为可观察变量、可运行程序和可反驳检验三层。</w:t>
      </w:r>
    </w:p>
    <w:p>
      <w:pPr>
        <w:pStyle w:val="2"/>
      </w:pPr>
      <w:r>
        <w:t>15.6 特征归因、注意力和机制解释边界</w:t>
      </w:r>
    </w:p>
    <w:p>
      <w:r>
        <w:t>本节围绕“特征归因、注意力和机制解释边界”展开。分析对象是带概率、区间、解释和行动代价的预测，核心不是罗列名词，而是说明系数、载荷和敏感度、SHAP、显著图和注意力、解释稳定性和相关特征、解释不等于机制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特征归因、注意力和机制解释边界”中，技术路线遵循“让模型能够拒绝域外样品并接受因果反驳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分类器建立概率校准、OOD拒识和失败分层”落实到机制需要的互补实验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15.6.1 系数、载荷和敏感度</w:t>
      </w:r>
    </w:p>
    <w:p>
      <w:r>
        <w:t>就“系数、载荷和敏感度”而言，在“特征归因、注意力和机制解释边界”中，系数、载荷和敏感度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系数、载荷和敏感度”用于“特征归因、注意力和机制解释边界”时，本书用“为分类器建立概率校准、OOD拒识和失败分层”检验系数、载荷和敏感度。实现时遵循“让模型能够拒绝域外样品并接受因果反驳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15.6.2 SHAP、显著图和注意力</w:t>
      </w:r>
    </w:p>
    <w:p>
      <w:r>
        <w:t>就“SHAP、显著图和注意力”而言，围绕“SHAP、显著图和注意力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SHAP、显著图和注意力”用于“特征归因、注意力和机制解释边界”时，在“特征归因、注意力和机制解释边界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若该步骤改变了样品单位、统计独立性或物理峰形，必须在独立数据上重新证明其有效性。</w:t>
      </w:r>
    </w:p>
    <w:p>
      <w:pPr>
        <w:pStyle w:val="3"/>
      </w:pPr>
      <w:r>
        <w:t>15.6.3 解释稳定性和相关特征</w:t>
      </w:r>
    </w:p>
    <w:p>
      <w:r>
        <w:t>就“解释稳定性和相关特征”而言，解释稳定性和相关特征的目标是判断样品中存在什么，而不是仅把信号分到一个已知类别。可靠识别至少需要选择性响应、参照物或谱库、相似干扰物以及库外样品；若候选集合不完整，最高匹配分只能表示‘在当前库中最相似’，不能等同于身份确认。</w:t>
      </w:r>
    </w:p>
    <w:p>
      <w:r>
        <w:t>把“解释稳定性和相关特征”用于“特征归因、注意力和机制解释边界”时，定性流程应把检出、候选筛选和确证分开。检出阶段控制空白和假阳性，筛选阶段报告Top-k候选及分数差，确证阶段依靠保留信息、互补谱学或标准物质。模型还应设置拒识阈值，避免对训练分布之外的样品强行命名。读图或读指标时应返回原始数据抽查，避免把表示空间中的几何关系直接当成化学机制。</w:t>
      </w:r>
    </w:p>
    <w:p>
      <w:pPr>
        <w:pStyle w:val="3"/>
      </w:pPr>
      <w:r>
        <w:t>15.6.4 解释不等于机制</w:t>
      </w:r>
    </w:p>
    <w:p>
      <w:r>
        <w:t>就“解释不等于机制”而言，解释不等于机制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解释不等于机制”用于“特征归因、注意力和机制解释边界”时，可信解释需要至少一条独立证据链：改变实验条件观察可预测响应、使用互补仪器验证候选，或以标准物质复现特征。显著性图、注意力和SHAP可定位模型依赖，却不能替代干预和机理实验。最终报告需要给出适用范围和拒绝条件，使方法在证据不足时能够停止输出。</w:t>
      </w:r>
    </w:p>
    <w:p>
      <w:pPr>
        <w:pStyle w:val="3"/>
      </w:pPr>
      <w:r>
        <w:t>15.6.5 机制需要的互补实验</w:t>
      </w:r>
    </w:p>
    <w:p>
      <w:r>
        <w:t>就“机制需要的互补实验”而言，机制需要的互补实验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机制需要的互补实验”用于“特征归因、注意力和机制解释边界”时，可信解释需要至少一条独立证据链：改变实验条件观察可预测响应、使用互补仪器验证候选，或以标准物质复现特征。显著性图、注意力和SHAP可定位模型依赖，却不能替代干预和机理实验。教学上应把该概念落实为可观察变量、可运行程序和可反驳检验三层。</w:t>
      </w:r>
    </w:p>
    <w:p>
      <w:pPr>
        <w:pStyle w:val="2"/>
      </w:pPr>
      <w:r>
        <w:t>15.7 物理/化学约束与混合模型</w:t>
      </w:r>
    </w:p>
    <w:p>
      <w:r>
        <w:t>本节围绕“物理/化学约束与混合模型”展开。分析对象是带概率、区间、解释和行动代价的预测，核心不是罗列名词，而是说明守恒、非负和单调约束、选择定则、峰位和仪器响应、物理信息神经网络、机理—数据混合模型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物理/化学约束与混合模型”中，技术路线遵循“让模型能够拒绝域外样品并接受因果反驳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分类器建立概率校准、OOD拒识和失败分层”落实到约束错误与模型偏差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15.7.1 守恒、非负和单调约束</w:t>
      </w:r>
    </w:p>
    <w:p>
      <w:r>
        <w:t>就“守恒、非负和单调约束”而言，在“物理/化学约束与混合模型”中，守恒、非负和单调约束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守恒、非负和单调约束”用于“物理/化学约束与混合模型”时，本书用“为分类器建立概率校准、OOD拒识和失败分层”检验守恒、非负和单调约束。实现时遵循“让模型能够拒绝域外样品并接受因果反驳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3"/>
      </w:pPr>
      <w:r>
        <w:t>15.7.2 选择定则、峰位和仪器响应</w:t>
      </w:r>
    </w:p>
    <w:p>
      <w:r>
        <w:t>就“选择定则、峰位和仪器响应”而言，在“物理/化学约束与混合模型”中，选择定则、峰位和仪器响应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选择定则、峰位和仪器响应”用于“物理/化学约束与混合模型”时，本书用“为分类器建立概率校准、OOD拒识和失败分层”检验选择定则、峰位和仪器响应。实现时遵循“让模型能够拒绝域外样品并接受因果反驳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15.7.3 物理信息神经网络</w:t>
      </w:r>
    </w:p>
    <w:p>
      <w:r>
        <w:t>就“物理信息神经网络”而言，在“物理/化学约束与混合模型”中，物理信息神经网络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物理信息神经网络”用于“物理/化学约束与混合模型”时，本书用“为分类器建立概率校准、OOD拒识和失败分层”检验物理信息神经网络。实现时遵循“让模型能够拒绝域外样品并接受因果反驳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15.7.4 机理—数据混合模型</w:t>
      </w:r>
    </w:p>
    <w:p>
      <w:r>
        <w:t>就“机理—数据混合模型”而言，机理—数据混合模型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机理—数据混合模型”用于“物理/化学约束与混合模型”时，推荐把原始文件设为只读，以持久样品标识连接实验表和信号文件，并为每次转换记录脚本版本、参数和校验码。单位转换、重采样与轴反向属于会改变数值含义的操作，必须在数据进入模型前自动检查。最终报告需要给出适用范围和拒绝条件，使方法在证据不足时能够停止输出。</w:t>
      </w:r>
    </w:p>
    <w:p>
      <w:pPr>
        <w:pStyle w:val="3"/>
      </w:pPr>
      <w:r>
        <w:t>15.7.5 约束错误与模型偏差</w:t>
      </w:r>
    </w:p>
    <w:p>
      <w:r>
        <w:t>就“约束错误与模型偏差”而言，围绕“约束错误与模型偏差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约束错误与模型偏差”用于“物理/化学约束与混合模型”时，在“物理/化学约束与混合模型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教学上应把该概念落实为可观察变量、可运行程序和可反驳检验三层。</w:t>
      </w:r>
    </w:p>
    <w:p>
      <w:pPr>
        <w:pStyle w:val="2"/>
      </w:pPr>
      <w:r>
        <w:t>15.8 AI分析方法的准确度、精密度、选择性和稳健性验证</w:t>
      </w:r>
    </w:p>
    <w:p>
      <w:r>
        <w:t>本节围绕“AI分析方法的准确度、精密度、选择性和稳健性验证”展开。分析对象是带概率、区间、解释和行动代价的预测，核心不是罗列名词，而是说明准确度、精密度和偏差、线性范围、LOD与LOQ、选择性、鲁棒性和稳健性、跨仪器/跨实验室验证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AI分析方法的准确度、精密度、选择性和稳健性验证”中，技术路线遵循“让模型能够拒绝域外样品并接受因果反驳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为分类器建立概率校准、OOD拒识和失败分层”落实到模型卡、适用域和变更控制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15.8.1 准确度、精密度和偏差</w:t>
      </w:r>
    </w:p>
    <w:p>
      <w:r>
        <w:t>就“准确度、精密度和偏差”而言，围绕“准确度、精密度和偏差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准确度、精密度和偏差”用于“AI分析方法的准确度、精密度、选择性和稳健性验证”时，在“AI分析方法的准确度、精密度、选择性和稳健性验证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在真实项目中，还应保存参数、软件版本和输入校验结果，以便定位变化来自样品还是计算。</w:t>
      </w:r>
    </w:p>
    <w:p>
      <w:pPr>
        <w:pStyle w:val="3"/>
      </w:pPr>
      <w:r>
        <w:t>15.8.2 线性范围、LOD与LOQ</w:t>
      </w:r>
    </w:p>
    <w:p>
      <w:r>
        <w:t>就“线性范围、LOD与LOQ”而言，在“AI分析方法的准确度、精密度、选择性和稳健性验证”中，线性范围、LOD与LOQ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线性范围、LOD与LOQ”用于“AI分析方法的准确度、精密度、选择性和稳健性验证”时，本书用“为分类器建立概率校准、OOD拒识和失败分层”检验线性范围、LOD与LOQ。实现时遵循“让模型能够拒绝域外样品并接受因果反驳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15.8.3 选择性、鲁棒性和稳健性</w:t>
      </w:r>
    </w:p>
    <w:p>
      <w:r>
        <w:t>就“选择性、鲁棒性和稳健性”而言，在“AI分析方法的准确度、精密度、选择性和稳健性验证”中，选择性、鲁棒性和稳健性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选择性、鲁棒性和稳健性”用于“AI分析方法的准确度、精密度、选择性和稳健性验证”时，本书用“为分类器建立概率校准、OOD拒识和失败分层”检验选择性、鲁棒性和稳健性。实现时遵循“让模型能够拒绝域外样品并接受因果反驳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15.8.4 跨仪器/跨实验室验证</w:t>
      </w:r>
    </w:p>
    <w:p>
      <w:r>
        <w:t>就“跨仪器/跨实验室验证”而言，在“AI分析方法的准确度、精密度、选择性和稳健性验证”中，跨仪器/跨实验室验证具体限定了带概率、区间、解释和行动代价的预测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跨仪器/跨实验室验证”用于“AI分析方法的准确度、精密度、选择性和稳健性验证”时，本书用“为分类器建立概率校准、OOD拒识和失败分层”检验跨仪器/跨实验室验证。实现时遵循“让模型能够拒绝域外样品并接受因果反驳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15.8.5 模型卡、适用域和变更控制</w:t>
      </w:r>
    </w:p>
    <w:p>
      <w:r>
        <w:t>就“模型卡、适用域和变更控制”而言，围绕“模型卡、适用域和变更控制”，RMSE对大误差更敏感，MAE更接近典型绝对偏差；偏差则显示预测是否系统性高估或低估。单一指标会隐藏误差结构，因此还需绘制预测—参照图、残差—浓度图，并按批次、浓度和样品类型分层。</w:t>
      </w:r>
    </w:p>
    <w:p>
      <w:r>
        <w:t>把“模型卡、适用域和变更控制”用于“AI分析方法的准确度、精密度、选择性和稳健性验证”时，在“AI分析方法的准确度、精密度、选择性和稳健性验证”的语境下，Hotelling T²描述样品在模型潜空间内的杠杆程度，Q残差描述样品不能被模型子空间解释的部分。二者结合可区分“位于已知方向的极端样品”和“具有新型结构的样品”，是建立适用域和异常诊断的重要工具。教学上应把该概念落实为可观察变量、可运行程序和可反驳检验三层。</w:t>
      </w:r>
    </w:p>
    <w:p>
      <w:pPr>
        <w:pStyle w:val="2"/>
      </w:pPr>
      <w:r>
        <w:t>关键关系与计算抓手</w:t>
      </w:r>
    </w:p>
    <w:p>
      <w:pPr>
        <w:ind w:firstLine="0"/>
      </w:pPr>
      <w:r>
        <w:rPr>
          <w:b/>
          <w:color w:val="345A8A"/>
        </w:rPr>
        <w:t>（1）P(Y∈C(X))≥1−α</w:t>
      </w:r>
    </w:p>
    <w:p>
      <w:pPr>
        <w:ind w:firstLine="0"/>
      </w:pPr>
      <w:r>
        <w:rPr>
          <w:b/>
          <w:color w:val="345A8A"/>
        </w:rPr>
        <w:t>（2）p(y|do(x))≠p(y|x)</w:t>
      </w:r>
    </w:p>
    <w:p>
      <w:pPr>
        <w:pStyle w:val="2"/>
      </w:pPr>
      <w:r>
        <w:t>本章综合案例</w:t>
      </w:r>
    </w:p>
    <w:p>
      <w:r>
        <w:t>本章案例为“为分类器建立概率校准、OOD拒识和失败分层”。先冻结问题、样品单位、测量协议和独立测试边界，再建立可诊断的经典基线。新增模型组件必须解决已识别的误差来源，并通过相同测试集、消融和失败样本分析证明价值。</w:t>
      </w:r>
    </w:p>
    <w:p>
      <w:r>
        <w:t>案例交付物包括问题卡、数据字典、运行日志、关键图表、错误对象和可执行代码。模型给出的结构、机制或实验建议属于待验证假设，需由互补测量或后续干预确认。</w:t>
      </w:r>
    </w:p>
    <w:p>
      <w:pPr>
        <w:pStyle w:val="2"/>
      </w:pPr>
      <w:r>
        <w:t>代码实践</w:t>
      </w:r>
    </w:p>
    <w:p>
      <w:r>
        <w:t>为光谱分类器加入概率校准、OOD拒识和按批次/浓度分层的失败分析。</w:t>
      </w:r>
    </w:p>
    <w:p>
      <w:pPr>
        <w:pStyle w:val="CodeBlock"/>
        <w:spacing w:after="0"/>
        <w:ind w:firstLine="0"/>
      </w:pPr>
      <w:r>
        <w:t>"""第15章代码练习：可信智能分析：不确定度、适用域与因果机制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任务：为光谱分类器加入概率校准、OOD拒识和按批次/浓度分层的失败分析。</w:t>
      </w:r>
    </w:p>
    <w:p>
      <w:pPr>
        <w:pStyle w:val="CodeBlock"/>
        <w:spacing w:after="0"/>
        <w:ind w:firstLine="0"/>
      </w:pPr>
      <w:r>
        <w:t>运行方式：python chapter_exercise.py</w:t>
      </w:r>
    </w:p>
    <w:p>
      <w:pPr>
        <w:pStyle w:val="CodeBlock"/>
        <w:spacing w:after="0"/>
        <w:ind w:firstLine="0"/>
      </w:pPr>
      <w:r>
        <w:t>所有合成数据仅用于验证接口；换用真实数据时必须保留样品/批次分组。</w:t>
      </w:r>
    </w:p>
    <w:p>
      <w:pPr>
        <w:pStyle w:val="CodeBlock"/>
        <w:spacing w:after="0"/>
        <w:ind w:firstLine="0"/>
      </w:pPr>
      <w:r>
        <w:t>"""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import numpy as np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rng = np.random.default_rng(42)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groups=np.repeat(np.arange(8),5)</w:t>
      </w:r>
    </w:p>
    <w:p>
      <w:pPr>
        <w:pStyle w:val="CodeBlock"/>
        <w:spacing w:after="0"/>
        <w:ind w:firstLine="0"/>
      </w:pPr>
      <w:r>
        <w:t>X=rng.normal(size=(40,12))</w:t>
      </w:r>
    </w:p>
    <w:p>
      <w:pPr>
        <w:pStyle w:val="CodeBlock"/>
        <w:spacing w:after="0"/>
        <w:ind w:firstLine="0"/>
      </w:pPr>
      <w:r>
        <w:t>y=rng.normal(size=40)</w:t>
      </w:r>
    </w:p>
    <w:p>
      <w:pPr>
        <w:pStyle w:val="CodeBlock"/>
        <w:spacing w:after="0"/>
        <w:ind w:firstLine="0"/>
      </w:pPr>
      <w:r>
        <w:t>for held_out in np.unique(groups):</w:t>
      </w:r>
    </w:p>
    <w:p>
      <w:pPr>
        <w:pStyle w:val="CodeBlock"/>
        <w:spacing w:after="0"/>
        <w:ind w:firstLine="0"/>
      </w:pPr>
      <w:r>
        <w:t xml:space="preserve">    test=groups==held_out</w:t>
      </w:r>
    </w:p>
    <w:p>
      <w:pPr>
        <w:pStyle w:val="CodeBlock"/>
        <w:spacing w:after="0"/>
        <w:ind w:firstLine="0"/>
      </w:pPr>
      <w:r>
        <w:t xml:space="preserve">    train=~test</w:t>
      </w:r>
    </w:p>
    <w:p>
      <w:pPr>
        <w:pStyle w:val="CodeBlock"/>
        <w:spacing w:after="0"/>
        <w:ind w:firstLine="0"/>
      </w:pPr>
      <w:r>
        <w:t xml:space="preserve">    assert set(groups[train]).isdisjoint(groups[test])</w:t>
      </w:r>
    </w:p>
    <w:p>
      <w:pPr>
        <w:pStyle w:val="CodeBlock"/>
        <w:spacing w:after="0"/>
        <w:ind w:firstLine="0"/>
      </w:pPr>
      <w:r>
        <w:t xml:space="preserve">    # fit preprocessing and model on train only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# TODO 1: 用课程或开放数据替换合成输入，明确对象为含重复谱图、化合物身份和采集时间的数据集。</w:t>
      </w:r>
    </w:p>
    <w:p>
      <w:pPr>
        <w:pStyle w:val="CodeBlock"/>
        <w:spacing w:after="0"/>
        <w:ind w:firstLine="0"/>
      </w:pPr>
      <w:r>
        <w:t># TODO 2: 实现比较随机、按化合物分组和时间外推三种划分，并与随机划分或默认流程对照。</w:t>
      </w:r>
    </w:p>
    <w:p>
      <w:pPr>
        <w:pStyle w:val="CodeBlock"/>
        <w:spacing w:after="0"/>
        <w:ind w:firstLine="0"/>
      </w:pPr>
      <w:r>
        <w:t># TODO 3: 输出检查概率校准、少数类召回和最高置信错误，据此判断能否确定模型是否真正学到可迁移的化学结构。</w:t>
      </w:r>
    </w:p>
    <w:p>
      <w:pPr>
        <w:pStyle w:val="2"/>
      </w:pPr>
      <w:r>
        <w:t>【本章小结】</w:t>
      </w:r>
    </w:p>
    <w:p>
      <w:r>
        <w:t>本章以带概率、区间、解释和行动代价的预测为对象，把测量原理、数据表示、模型计算和分析决策连成完整链条。掌握本章的标准，不是记住模型名称，而是能够说明数据如何生成、结论怎样验证、方法在哪些条件下失效。</w:t>
      </w:r>
    </w:p>
    <w:p>
      <w:pPr>
        <w:pStyle w:val="2"/>
      </w:pPr>
      <w:r>
        <w:t>【思考题与计算题】</w:t>
      </w:r>
    </w:p>
    <w:p>
      <w:pPr>
        <w:ind w:firstLine="0"/>
      </w:pPr>
      <w:r>
        <w:t>1. 为“为分类器建立概率校准、OOD拒识和失败分层”画出测量链并标出三处可能失真位置。</w:t>
      </w:r>
    </w:p>
    <w:p>
      <w:pPr>
        <w:ind w:firstLine="0"/>
      </w:pPr>
      <w:r>
        <w:t>2. 选择一个核心方法，写出输入、输出、参数、假设和两个失效条件。</w:t>
      </w:r>
    </w:p>
    <w:p>
      <w:pPr>
        <w:ind w:firstLine="0"/>
      </w:pPr>
      <w:r>
        <w:t>3. 建立经典基线，给出复杂模型必须超过的独立评价门槛。</w:t>
      </w:r>
    </w:p>
    <w:p>
      <w:pPr>
        <w:ind w:firstLine="0"/>
      </w:pPr>
      <w:r>
        <w:t>4. 设计符合未来使用条件的分组或外推划分，并与随机划分比较。</w:t>
      </w:r>
    </w:p>
    <w:p>
      <w:pPr>
        <w:ind w:firstLine="0"/>
      </w:pPr>
      <w:r>
        <w:t>5. 完成配套代码，增加一个单元测试和一个失败样本可视化。</w:t>
      </w:r>
    </w:p>
    <w:p>
      <w:pPr>
        <w:ind w:firstLine="0"/>
      </w:pPr>
      <w:r>
        <w:t>6. 设计能区分化学信息与批次捷径的对照实验。</w:t>
      </w:r>
    </w:p>
    <w:sectPr w:rsidR="00DF2813">
      <w:headerReference w:type="default" r:id="rId9"/>
      <w:footerReference w:type="default" r:id="rId10"/>
      <w:pgSz w:w="10488" w:h="14740"/>
      <w:pgMar w:top="1417" w:right="1247" w:bottom="141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41C9A" w14:textId="77777777" w:rsidR="000B6296" w:rsidRDefault="000B6296">
      <w:pPr>
        <w:spacing w:after="0"/>
      </w:pPr>
      <w:r>
        <w:separator/>
      </w:r>
    </w:p>
  </w:endnote>
  <w:endnote w:type="continuationSeparator" w:id="0">
    <w:p w14:paraId="02E66D36" w14:textId="77777777" w:rsidR="000B6296" w:rsidRDefault="000B62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E3B54" w14:textId="77777777" w:rsidR="00DF2813" w:rsidRDefault="00DF28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AC7C5" w14:textId="486F403A" w:rsidR="00DF2813" w:rsidRDefault="000B6296">
    <w:pPr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1DDB" w14:textId="77777777" w:rsidR="000B6296" w:rsidRDefault="000B6296">
      <w:pPr>
        <w:spacing w:after="0"/>
      </w:pPr>
      <w:r>
        <w:separator/>
      </w:r>
    </w:p>
  </w:footnote>
  <w:footnote w:type="continuationSeparator" w:id="0">
    <w:p w14:paraId="10E87919" w14:textId="77777777" w:rsidR="000B6296" w:rsidRDefault="000B62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9FA5" w14:textId="77777777" w:rsidR="00DF2813" w:rsidRDefault="00DF28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503F" w14:textId="77777777" w:rsidR="00DF2813" w:rsidRDefault="000B6296">
    <w:pPr>
      <w:jc w:val="center"/>
    </w:pPr>
    <w:r>
      <w:t>智能分析化学 · 第15章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00A99413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00A994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00A99417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00A99419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0A99411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0A994111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3"/>
    <w:multiLevelType w:val="multilevel"/>
    <w:tmpl w:val="0A994113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4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0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5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9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813"/>
    <w:rsid w:val="000B6296"/>
    <w:rsid w:val="003208BF"/>
    <w:rsid w:val="00DF2813"/>
    <w:rsid w:val="06A724A7"/>
    <w:rsid w:val="192E7DCB"/>
    <w:rsid w:val="3C4076A1"/>
    <w:rsid w:val="60143417"/>
    <w:rsid w:val="629F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6579"/>
  <w15:docId w15:val="{205839D2-68C0-46F1-AD46-0C8BD552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24" w:lineRule="auto"/>
      <w:ind w:firstLine="460"/>
    </w:pPr>
    <w:rPr>
      <w:rFonts w:eastAsiaTheme="minorHAnsi" w:ascii="Arial Unicode MS" w:hAnsi="Arial Unicode MS" w:eastAsia="Arial Unicode MS" w:cs="Arial Unicode MS"/>
      <w:sz w:val="23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character" w:default="1" w:styleId="a1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a2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  <w:rPr>
      <w:rFonts w:ascii="Arial Unicode MS" w:hAnsi="Arial Unicode MS" w:eastAsia="Arial Unicode MS" w:cs="Arial Unicode MS"/>
    </w:rPr>
  </w:style>
  <w:style w:type="paragraph" w:styleId="a5">
    <w:name w:val="caption"/>
    <w:basedOn w:val="a"/>
    <w:pPr>
      <w:spacing w:after="120"/>
    </w:pPr>
    <w:rPr>
      <w:rFonts w:ascii="Arial Unicode MS" w:hAnsi="Arial Unicode MS" w:eastAsia="Arial Unicode MS" w:cs="Arial Unicode MS"/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Arial Unicode MS" w:hAnsi="Arial Unicode MS" w:eastAsia="Arial Unicode MS" w:cs="Arial Unicode MS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rFonts w:ascii="Arial Unicode MS" w:hAnsi="Arial Unicode MS" w:eastAsia="Arial Unicode MS" w:cs="Arial Unicode MS"/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45A8A"/>
      <w:sz w:val="36"/>
      <w:szCs w:val="36"/>
    </w:rPr>
  </w:style>
  <w:style w:type="paragraph" w:styleId="aa">
    <w:name w:val="footnote text"/>
    <w:basedOn w:val="a"/>
    <w:uiPriority w:val="9"/>
    <w:unhideWhenUsed/>
    <w:qFormat/>
    <w:rPr>
      <w:rFonts w:ascii="Arial Unicode MS" w:hAnsi="Arial Unicode MS" w:eastAsia="Arial Unicode MS" w:cs="Arial Unicode MS"/>
    </w:rPr>
  </w:style>
  <w:style w:type="character" w:styleId="ab">
    <w:name w:val="Hyperlink"/>
    <w:basedOn w:val="a4"/>
    <w:qFormat/>
    <w:rPr>
      <w:rFonts w:ascii="Arial Unicode MS" w:hAnsi="Arial Unicode MS" w:eastAsia="Arial Unicode MS" w:cs="Arial Unicode MS"/>
      <w:color w:val="4F81BD" w:themeColor="accent1"/>
    </w:rPr>
  </w:style>
  <w:style w:type="character" w:customStyle="1" w:styleId="a4">
    <w:name w:val="正文文本 字符"/>
    <w:basedOn w:val="a1"/>
    <w:link w:val="a0"/>
    <w:qFormat/>
    <w:rPr>
      <w:rFonts w:ascii="Arial Unicode MS" w:hAnsi="Arial Unicode MS" w:eastAsia="Arial Unicode MS" w:cs="Arial Unicode MS"/>
    </w:rPr>
  </w:style>
  <w:style w:type="character" w:styleId="ac">
    <w:name w:val="footnote reference"/>
    <w:basedOn w:val="a4"/>
    <w:qFormat/>
    <w:rPr>
      <w:rFonts w:ascii="Arial Unicode MS" w:hAnsi="Arial Unicode MS" w:eastAsia="Arial Unicode MS" w:cs="Arial Unicode MS"/>
      <w:vertAlign w:val="superscript"/>
    </w:rPr>
  </w:style>
  <w:style w:type="paragraph" w:customStyle="1" w:styleId="FirstParagraph">
    <w:name w:val="First Paragraph"/>
    <w:basedOn w:val="a0"/>
    <w:next w:val="a0"/>
    <w:qFormat/>
    <w:rPr>
      <w:rFonts w:ascii="Arial Unicode MS" w:hAnsi="Arial Unicode MS" w:eastAsia="Arial Unicode MS" w:cs="Arial Unicode MS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Arial Unicode MS" w:hAnsi="Arial Unicode MS" w:eastAsia="Arial Unicode MS" w:cs="Arial Unicode MS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rFonts w:ascii="Arial Unicode MS" w:hAnsi="Arial Unicode MS" w:eastAsia="Arial Unicode MS" w:cs="Arial Unicode MS"/>
      <w:sz w:val="20"/>
      <w:szCs w:val="20"/>
    </w:rPr>
  </w:style>
  <w:style w:type="paragraph" w:customStyle="1" w:styleId="10">
    <w:name w:val="书目1"/>
    <w:basedOn w:val="a"/>
    <w:qFormat/>
    <w:rPr>
      <w:rFonts w:ascii="Arial Unicode MS" w:hAnsi="Arial Unicode MS" w:eastAsia="Arial Unicode MS" w:cs="Arial Unicode MS"/>
    </w:rPr>
  </w:style>
  <w:style w:type="table" w:customStyle="1" w:styleId="Table">
    <w:name w:val="Table"/>
    <w:semiHidden/>
    <w:unhideWhenUsed/>
    <w:qFormat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Arial Unicode MS" w:hAnsi="Arial Unicode MS" w:eastAsia="Arial Unicode MS" w:cs="Arial Unicode MS"/>
      <w:b/>
    </w:rPr>
  </w:style>
  <w:style w:type="paragraph" w:customStyle="1" w:styleId="Definition">
    <w:name w:val="Definition"/>
    <w:basedOn w:val="a"/>
    <w:rPr>
      <w:rFonts w:ascii="Arial Unicode MS" w:hAnsi="Arial Unicode MS" w:eastAsia="Arial Unicode MS" w:cs="Arial Unicode MS"/>
    </w:rPr>
  </w:style>
  <w:style w:type="paragraph" w:customStyle="1" w:styleId="TableCaption">
    <w:name w:val="Table Caption"/>
    <w:basedOn w:val="a5"/>
    <w:qFormat/>
    <w:pPr>
      <w:keepNext/>
    </w:pPr>
    <w:rPr>
      <w:rFonts w:ascii="Arial Unicode MS" w:hAnsi="Arial Unicode MS" w:eastAsia="Arial Unicode MS" w:cs="Arial Unicode MS"/>
    </w:rPr>
  </w:style>
  <w:style w:type="paragraph" w:customStyle="1" w:styleId="ImageCaption">
    <w:name w:val="Image Caption"/>
    <w:basedOn w:val="a5"/>
    <w:qFormat/>
    <w:rPr>
      <w:rFonts w:ascii="Arial Unicode MS" w:hAnsi="Arial Unicode MS" w:eastAsia="Arial Unicode MS" w:cs="Arial Unicode MS"/>
    </w:rPr>
  </w:style>
  <w:style w:type="paragraph" w:customStyle="1" w:styleId="Figure">
    <w:name w:val="Figure"/>
    <w:basedOn w:val="a"/>
    <w:qFormat/>
    <w:rPr>
      <w:rFonts w:ascii="Arial Unicode MS" w:hAnsi="Arial Unicode MS" w:eastAsia="Arial Unicode MS" w:cs="Arial Unicode MS"/>
    </w:rPr>
  </w:style>
  <w:style w:type="paragraph" w:customStyle="1" w:styleId="CaptionedFigure">
    <w:name w:val="Captioned Figure"/>
    <w:basedOn w:val="Figure"/>
    <w:qFormat/>
    <w:pPr>
      <w:keepNext/>
    </w:pPr>
    <w:rPr>
      <w:rFonts w:ascii="Arial Unicode MS" w:hAnsi="Arial Unicode MS" w:eastAsia="Arial Unicode MS" w:cs="Arial Unicode MS"/>
    </w:rPr>
  </w:style>
  <w:style w:type="character" w:customStyle="1" w:styleId="VerbatimChar">
    <w:name w:val="Verbatim Char"/>
    <w:basedOn w:val="a4"/>
    <w:link w:val="SourceCode"/>
    <w:qFormat/>
    <w:rPr>
      <w:rFonts w:ascii="Arial Unicode MS" w:hAnsi="Arial Unicode MS" w:eastAsia="Arial Unicode MS" w:cs="Arial Unicode MS"/>
      <w:sz w:val="22"/>
    </w:rPr>
  </w:style>
  <w:style w:type="paragraph" w:customStyle="1" w:styleId="SourceCode">
    <w:name w:val="Source Code"/>
    <w:basedOn w:val="a"/>
    <w:link w:val="VerbatimChar"/>
    <w:qFormat/>
    <w:pPr>
      <w:shd w:val="clear" w:color="auto" w:fill="F8F8F8"/>
      <w:wordWrap w:val="0"/>
    </w:pPr>
    <w:rPr>
      <w:rFonts w:ascii="Arial Unicode MS" w:hAnsi="Arial Unicode MS" w:eastAsia="Arial Unicode MS" w:cs="Arial Unicode MS"/>
    </w:rPr>
  </w:style>
  <w:style w:type="character" w:customStyle="1" w:styleId="SectionNumber">
    <w:name w:val="Section Number"/>
    <w:basedOn w:val="a4"/>
    <w:qFormat/>
    <w:rPr>
      <w:rFonts w:ascii="Arial Unicode MS" w:hAnsi="Arial Unicode MS" w:eastAsia="Arial Unicode MS" w:cs="Arial Unicode MS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Arial Unicode MS" w:hAnsi="Arial Unicode MS" w:eastAsia="Arial Unicode MS" w:cs="Arial Unicode MS"/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Arial Unicode MS" w:hAnsi="Arial Unicode MS" w:eastAsia="Arial Unicode MS" w:cs="Arial Unicode M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Arial Unicode MS" w:hAnsi="Arial Unicode MS" w:eastAsia="Arial Unicode MS" w:cs="Arial Unicode M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Arial Unicode MS" w:hAnsi="Arial Unicode MS" w:eastAsia="Arial Unicode MS" w:cs="Arial Unicode M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Arial Unicode MS" w:hAnsi="Arial Unicode MS" w:eastAsia="Arial Unicode MS" w:cs="Arial Unicode M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Arial Unicode MS" w:hAnsi="Arial Unicode MS" w:eastAsia="Arial Unicode MS" w:cs="Arial Unicode M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Arial Unicode MS" w:hAnsi="Arial Unicode MS" w:eastAsia="Arial Unicode MS" w:cs="Arial Unicode M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paragraph" w:customStyle="1" w:styleId="CodeBlock">
    <w:name w:val="Code Block"/>
    <w:pPr>
      <w:spacing w:line="240" w:lineRule="auto"/>
      <w:ind w:firstLine="0" w:left="283"/>
      <w:shd w:fill="F2F2F2"/>
    </w:pPr>
    <w:rPr>
      <w:rFonts w:ascii="Menlo" w:hAnsi="Menlo" w:eastAsia="Menlo" w:cs="Menl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497</Pages>
  <Words>78486</Words>
  <Characters>447373</Characters>
  <Application>Microsoft Office Word</Application>
  <DocSecurity>0</DocSecurity>
  <Lines>3728</Lines>
  <Paragraphs>1049</Paragraphs>
  <ScaleCrop>false</ScaleCrop>
  <Company/>
  <LinksUpToDate>false</LinksUpToDate>
  <CharactersWithSpaces>524810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2026-05-06T14:15:00Z</dcterms:created>
  <dcterms:modified xsi:type="dcterms:W3CDTF">2026-05-07T01:22:00Z</dcterms:modified>
  <dc:title>第15章 可信智能分析：不确定度、适用域与因果机制</dc:title>
  <dc:subject>《智能分析化学》出版内容初稿v2.2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eyJoZGlkIjoiMDljYzUzMWQ4OWI0YzBkYjYzMDRhZTY5ZjZkYmFmYTgiLCJ1c2VySWQiOiIzNDY3ODI5MDMifQ==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74DB65D882BD4BF7A9A58B5557D771E8_12</vt:lpwstr>
  </property>
</Properties>
</file>