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a9"/>
        <w:ind w:firstLine="0"/>
        <w:jc w:val="center"/>
      </w:pPr>
      <w:r>
        <w:t>第16章 科学大模型与分析化学智能体</w:t>
      </w:r>
    </w:p>
    <w:p>
      <w:pPr>
        <w:pStyle w:val="a8"/>
        <w:ind w:firstLine="0"/>
        <w:jc w:val="center"/>
      </w:pPr>
      <w:r>
        <w:t>第5篇 科学智能体与自主分析系统</w:t>
      </w:r>
    </w:p>
    <w:p>
      <w:pPr>
        <w:pStyle w:val="a8"/>
        <w:ind w:firstLine="0"/>
        <w:jc w:val="center"/>
      </w:pPr>
      <w:r>
        <w:t>出版内容初稿 v2.2</w:t>
      </w:r>
    </w:p>
    <w:p>
      <w:pPr>
        <w:pStyle w:val="2"/>
      </w:pPr>
      <w:r>
        <w:t>【章首导引】</w:t>
      </w:r>
    </w:p>
    <w:p>
      <w:r>
        <w:t>大模型怎样调用可靠工具完成分析任务，同时不把语言流畅误当成科学正确？ 本章以标准方法、数据工具、代码和仪器接口为对象，落实“把LLM定位为任务编排和人机接口，数值计算、事实和实验仍由可验证工具承担。”。贯穿案例为“构建具有检索、拟合、复算和审计日志的分析Copilot”。</w:t>
      </w:r>
    </w:p>
    <w:p>
      <w:pPr>
        <w:pStyle w:val="2"/>
      </w:pPr>
      <w:r>
        <w:t>学习目标</w:t>
      </w:r>
    </w:p>
    <w:p>
      <w:pPr>
        <w:ind w:firstLine="0"/>
      </w:pPr>
      <w:r>
        <w:t>（1）能够说明标准方法、数据工具、代码和仪器接口在本章中的数据结构与主要信息来源。</w:t>
      </w:r>
    </w:p>
    <w:p>
      <w:pPr>
        <w:ind w:firstLine="0"/>
      </w:pPr>
      <w:r>
        <w:t>（2）能够解释本章关键方法的输入、输出、参数、假设和失效条件。</w:t>
      </w:r>
    </w:p>
    <w:p>
      <w:pPr>
        <w:ind w:firstLine="0"/>
      </w:pPr>
      <w:r>
        <w:t>（3）能够以“让大模型负责编排，让确定性工具负责事实和计算”设计训练、验证和独立测试。</w:t>
      </w:r>
    </w:p>
    <w:p>
      <w:pPr>
        <w:ind w:firstLine="0"/>
      </w:pPr>
      <w:r>
        <w:t>（4）能够完成“构建具有检索、拟合、复算和审计日志的分析Copilot”的最小代码实验并分析失败样本。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12000" cy="3322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16章_知识图谱_预览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32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5"/>
        <w:ind w:firstLine="0"/>
        <w:jc w:val="center"/>
      </w:pPr>
      <w:r>
        <w:t>图16-1  第16章知识图谱</w:t>
      </w:r>
    </w:p>
    <w:p>
      <w:pPr>
        <w:pStyle w:val="2"/>
      </w:pPr>
      <w:r>
        <w:t>16.1 语言模型、上下文与化学能力边界</w:t>
      </w:r>
    </w:p>
    <w:p>
      <w:r>
        <w:t>本节围绕“语言模型、上下文与化学能力边界”展开。分析对象是标准方法、数据工具、代码和仪器接口，核心不是罗列名词，而是说明token、上下文和生成机制、预训练与指令对齐、化学知识与推理能力、幻觉、过时知识和数值弱点怎样进入同一条测量与推断链。读者首先要辨认哪些量来自真实样品，哪些量由仪器转换得到，哪些量由算法估计；三类量若混在一起，模型精度就很难被解释。</w:t>
      </w:r>
    </w:p>
    <w:p>
      <w:r>
        <w:t>在“语言模型、上下文与化学能力边界”中，技术路线遵循“让大模型负责编排，让确定性工具负责事实和计算”。具体计算从可诊断的经典基线开始，再增加本节所需的非线性、结构先验或不确定度组件。新增组件必须回答一个明确问题，并在相同数据边界下与基线比较；只有平均分提高而误差结构没有改善，不能构成采用复杂模型的充分理由。</w:t>
      </w:r>
    </w:p>
    <w:p>
      <w:r>
        <w:t>本节把“构建具有检索、拟合、复算和审计日志的分析Copilot”落实到LLM作为编排器而非测量事实源这一检查点。验证时保留与未来使用条件一致的独立对象，检查坐标轴、单位、样品身份、批次、参数来源和失败样本。由此得到的结论才可用于下一步测量或实验，而不是停留在一张看似分离良好的图上。</w:t>
      </w:r>
    </w:p>
    <w:p>
      <w:pPr>
        <w:pStyle w:val="3"/>
      </w:pPr>
      <w:r>
        <w:t>16.1.1 token、上下文和生成机制</w:t>
      </w:r>
    </w:p>
    <w:p>
      <w:r>
        <w:t>就“token、上下文和生成机制”而言，token、上下文和生成机制属于从观测反推对象的逆问题，常存在多解性。同一峰可由多个结构片段贡献，同一空间热点也可能受厚度、照明或离子抑制影响；因此模型输出首先是候选解释，而不是自动成立的机制。</w:t>
      </w:r>
    </w:p>
    <w:p>
      <w:r>
        <w:t>把“token、上下文和生成机制”用于“语言模型、上下文与化学能力边界”时，可信解释需要至少一条独立证据链：改变实验条件观察可预测响应、使用互补仪器验证候选，或以标准物质复现特征。显著性图、注意力和SHAP可定位模型依赖，却不能替代干预和机理实验。若该步骤改变了样品单位、统计独立性或物理峰形，必须在独立数据上重新证明其有效性。</w:t>
      </w:r>
    </w:p>
    <w:p>
      <w:pPr>
        <w:pStyle w:val="3"/>
      </w:pPr>
      <w:r>
        <w:t>16.1.2 预训练与指令对齐</w:t>
      </w:r>
    </w:p>
    <w:p>
      <w:r>
        <w:t>就“预训练与指令对齐”而言，在“语言模型、上下文与化学能力边界”中，预训练与指令对齐具体限定了标准方法、数据工具、代码和仪器接口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预训练与指令对齐”用于“语言模型、上下文与化学能力边界”时，本书用“构建具有检索、拟合、复算和审计日志的分析Copilot”检验预训练与指令对齐。实现时遵循“让大模型负责编排，让确定性工具负责事实和计算”，先建立经典基线，再对参数敏感性、独立样品和失败对象进行检查。若结果只能在同批数据或单次划分中成立，应把它视为探索性现象而非稳定规律。读图或读指标时应返回原始数据抽查，避免把表示空间中的几何关系直接当成化学机制。</w:t>
      </w:r>
    </w:p>
    <w:p>
      <w:pPr>
        <w:pStyle w:val="3"/>
      </w:pPr>
      <w:r>
        <w:t>16.1.3 化学知识与推理能力</w:t>
      </w:r>
    </w:p>
    <w:p>
      <w:r>
        <w:t>就“化学知识与推理能力”而言，在“语言模型、上下文与化学能力边界”中，化学知识与推理能力具体限定了标准方法、数据工具、代码和仪器接口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化学知识与推理能力”用于“语言模型、上下文与化学能力边界”时，本书用“构建具有检索、拟合、复算和审计日志的分析Copilot”检验化学知识与推理能力。实现时遵循“让大模型负责编排，让确定性工具负责事实和计算”，先建立经典基线，再对参数敏感性、独立样品和失败对象进行检查。若结果只能在同批数据或单次划分中成立，应把它视为探索性现象而非稳定规律。最终报告需要给出适用范围和拒绝条件，使方法在证据不足时能够停止输出。</w:t>
      </w:r>
    </w:p>
    <w:p>
      <w:pPr>
        <w:pStyle w:val="3"/>
      </w:pPr>
      <w:r>
        <w:t>16.1.4 幻觉、过时知识和数值弱点</w:t>
      </w:r>
    </w:p>
    <w:p>
      <w:r>
        <w:t>就“幻觉、过时知识和数值弱点”而言，在“语言模型、上下文与化学能力边界”中，幻觉、过时知识和数值弱点具体限定了标准方法、数据工具、代码和仪器接口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幻觉、过时知识和数值弱点”用于“语言模型、上下文与化学能力边界”时，本书用“构建具有检索、拟合、复算和审计日志的分析Copilot”检验幻觉、过时知识和数值弱点。实现时遵循“让大模型负责编排，让确定性工具负责事实和计算”，先建立经典基线，再对参数敏感性、独立样品和失败对象进行检查。若结果只能在同批数据或单次划分中成立，应把它视为探索性现象而非稳定规律。教学上应把该概念落实为可观察变量、可运行程序和可反驳检验三层。</w:t>
      </w:r>
    </w:p>
    <w:p>
      <w:pPr>
        <w:pStyle w:val="3"/>
      </w:pPr>
      <w:r>
        <w:t>16.1.5 LLM作为编排器而非测量事实源</w:t>
      </w:r>
    </w:p>
    <w:p>
      <w:r>
        <w:t>就“LLM作为编排器而非测量事实源”而言，在“语言模型、上下文与化学能力边界”中，LLM作为编排器而非测量事实源具体限定了标准方法、数据工具、代码和仪器接口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LLM作为编排器而非测量事实源”用于“语言模型、上下文与化学能力边界”时，本书用“构建具有检索、拟合、复算和审计日志的分析Copilot”检验LLM作为编排器而非测量事实源。实现时遵循“让大模型负责编排，让确定性工具负责事实和计算”，先建立经典基线，再对参数敏感性、独立样品和失败对象进行检查。若结果只能在同批数据或单次划分中成立，应把它视为探索性现象而非稳定规律。在真实项目中，还应保存参数、软件版本和输入校验结果，以便定位变化来自样品还是计算。</w:t>
      </w:r>
    </w:p>
    <w:p>
      <w:pPr>
        <w:pStyle w:val="2"/>
      </w:pPr>
      <w:r>
        <w:t>16.2 RAG：标准方法、仪器说明和实验记录检索</w:t>
      </w:r>
    </w:p>
    <w:p>
      <w:r>
        <w:t>本节围绕“RAG：标准方法、仪器说明和实验记录检索”展开。分析对象是标准方法、数据工具、代码和仪器接口，核心不是罗列名词，而是说明检索、重排和生成、标准方法和仪器说明书、实验记录和内部知识库、来源锚点、版本和冲突怎样进入同一条测量与推断链。读者首先要辨认哪些量来自真实样品，哪些量由仪器转换得到，哪些量由算法估计；三类量若混在一起，模型精度就很难被解释。</w:t>
      </w:r>
    </w:p>
    <w:p>
      <w:r>
        <w:t>在“RAG：标准方法、仪器说明和实验记录检索”中，技术路线遵循“让大模型负责编排，让确定性工具负责事实和计算”。具体计算从可诊断的经典基线开始，再增加本节所需的非线性、结构先验或不确定度组件。新增组件必须回答一个明确问题，并在相同数据边界下与基线比较；只有平均分提高而误差结构没有改善，不能构成采用复杂模型的充分理由。</w:t>
      </w:r>
    </w:p>
    <w:p>
      <w:r>
        <w:t>本节把“构建具有检索、拟合、复算和审计日志的分析Copilot”落实到RAG评价这一检查点。验证时保留与未来使用条件一致的独立对象，检查坐标轴、单位、样品身份、批次、参数来源和失败样本。由此得到的结论才可用于下一步测量或实验，而不是停留在一张看似分离良好的图上。</w:t>
      </w:r>
    </w:p>
    <w:p>
      <w:pPr>
        <w:pStyle w:val="3"/>
      </w:pPr>
      <w:r>
        <w:t>16.2.1 检索、重排和生成</w:t>
      </w:r>
    </w:p>
    <w:p>
      <w:r>
        <w:t>就“检索、重排和生成”而言，在“RAG：标准方法、仪器说明和实验记录检索”中，检索、重排和生成具体限定了标准方法、数据工具、代码和仪器接口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检索、重排和生成”用于“RAG：标准方法、仪器说明和实验记录检索”时，本书用“构建具有检索、拟合、复算和审计日志的分析Copilot”检验检索、重排和生成。实现时遵循“让大模型负责编排，让确定性工具负责事实和计算”，先建立经典基线，再对参数敏感性、独立样品和失败对象进行检查。若结果只能在同批数据或单次划分中成立，应把它视为探索性现象而非稳定规律。若该步骤改变了样品单位、统计独立性或物理峰形，必须在独立数据上重新证明其有效性。</w:t>
      </w:r>
    </w:p>
    <w:p>
      <w:pPr>
        <w:pStyle w:val="3"/>
      </w:pPr>
      <w:r>
        <w:t>16.2.2 标准方法和仪器说明书</w:t>
      </w:r>
    </w:p>
    <w:p>
      <w:r>
        <w:t>就“标准方法和仪器说明书”而言，在“RAG：标准方法、仪器说明和实验记录检索”中，标准方法和仪器说明书具体限定了标准方法、数据工具、代码和仪器接口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标准方法和仪器说明书”用于“RAG：标准方法、仪器说明和实验记录检索”时，本书用“构建具有检索、拟合、复算和审计日志的分析Copilot”检验标准方法和仪器说明书。实现时遵循“让大模型负责编排，让确定性工具负责事实和计算”，先建立经典基线，再对参数敏感性、独立样品和失败对象进行检查。若结果只能在同批数据或单次划分中成立，应把它视为探索性现象而非稳定规律。读图或读指标时应返回原始数据抽查，避免把表示空间中的几何关系直接当成化学机制。</w:t>
      </w:r>
    </w:p>
    <w:p>
      <w:pPr>
        <w:pStyle w:val="3"/>
      </w:pPr>
      <w:r>
        <w:t>16.2.3 实验记录和内部知识库</w:t>
      </w:r>
    </w:p>
    <w:p>
      <w:r>
        <w:t>就“实验记录和内部知识库”而言，实验记录和内部知识库决定数字能否被重新解释。仅保存强度矩阵会丢失坐标轴、单位、采样间隔、样品身份、仪器参数和校准状态；这些信息一旦脱离原始信号，后续很难判断变化来自化学对象还是采集条件。</w:t>
      </w:r>
    </w:p>
    <w:p>
      <w:r>
        <w:t>把“实验记录和内部知识库”用于“RAG：标准方法、仪器说明和实验记录检索”时，推荐把原始文件设为只读，以持久样品标识连接实验表和信号文件，并为每次转换记录脚本版本、参数和校验码。单位转换、重采样与轴反向属于会改变数值含义的操作，必须在数据进入模型前自动检查。最终报告需要给出适用范围和拒绝条件，使方法在证据不足时能够停止输出。</w:t>
      </w:r>
    </w:p>
    <w:p>
      <w:pPr>
        <w:pStyle w:val="3"/>
      </w:pPr>
      <w:r>
        <w:t>16.2.4 来源锚点、版本和冲突</w:t>
      </w:r>
    </w:p>
    <w:p>
      <w:r>
        <w:t>就“来源锚点、版本和冲突”而言，在“RAG：标准方法、仪器说明和实验记录检索”中，来源锚点、版本和冲突具体限定了标准方法、数据工具、代码和仪器接口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来源锚点、版本和冲突”用于“RAG：标准方法、仪器说明和实验记录检索”时，本书用“构建具有检索、拟合、复算和审计日志的分析Copilot”检验来源锚点、版本和冲突。实现时遵循“让大模型负责编排，让确定性工具负责事实和计算”，先建立经典基线，再对参数敏感性、独立样品和失败对象进行检查。若结果只能在同批数据或单次划分中成立，应把它视为探索性现象而非稳定规律。教学上应把该概念落实为可观察变量、可运行程序和可反驳检验三层。</w:t>
      </w:r>
    </w:p>
    <w:p>
      <w:pPr>
        <w:pStyle w:val="3"/>
      </w:pPr>
      <w:r>
        <w:t>16.2.5 RAG评价</w:t>
      </w:r>
    </w:p>
    <w:p>
      <w:r>
        <w:t>就“RAG评价”而言，围绕“RAG评价”，科学智能体把语言模型与检索、代码、数据库和仪器接口连接。RAG提供可追溯资料，工具调用执行确定性计算，状态记录保存中间结果。语言模型负责计划和接口，不应替代数值计算或实验事实。</w:t>
      </w:r>
    </w:p>
    <w:p>
      <w:r>
        <w:t>把“RAG评价”用于“RAG：标准方法、仪器说明和实验记录检索”时，在“RAG：标准方法、仪器说明和实验记录检索”的语境下，可靠工作流把输出分为来源事实、模型推断和待验证假设。每个工具具有明确函数签名、权限和返回结构；关键数值通过复算或测试核验；危险动作必须经过人工批准。日志保存查询、工具版本、输入和输出。在真实项目中，还应保存参数、软件版本和输入校验结果，以便定位变化来自样品还是计算。</w:t>
      </w:r>
    </w:p>
    <w:p>
      <w:pPr>
        <w:pStyle w:val="2"/>
      </w:pPr>
      <w:r>
        <w:t>16.3 工具调用：谱库、RDKit、统计计算与仪器接口</w:t>
      </w:r>
    </w:p>
    <w:p>
      <w:r>
        <w:t>本节围绕“工具调用：谱库、RDKit、统计计算与仪器接口”展开。分析对象是标准方法、数据工具、代码和仪器接口，核心不是罗列名词，而是说明函数签名和结构化参数、谱库、RDKit和数据库、统计拟合和绘图工具、代码执行和单元测试怎样进入同一条测量与推断链。读者首先要辨认哪些量来自真实样品，哪些量由仪器转换得到，哪些量由算法估计；三类量若混在一起，模型精度就很难被解释。</w:t>
      </w:r>
    </w:p>
    <w:p>
      <w:r>
        <w:t>在“工具调用：谱库、RDKit、统计计算与仪器接口”中，技术路线遵循“让大模型负责编排，让确定性工具负责事实和计算”。具体计算从可诊断的经典基线开始，再增加本节所需的非线性、结构先验或不确定度组件。新增组件必须回答一个明确问题，并在相同数据边界下与基线比较；只有平均分提高而误差结构没有改善，不能构成采用复杂模型的充分理由。</w:t>
      </w:r>
    </w:p>
    <w:p>
      <w:r>
        <w:t>本节把“构建具有检索、拟合、复算和审计日志的分析Copilot”落实到仪器API和权限边界这一检查点。验证时保留与未来使用条件一致的独立对象，检查坐标轴、单位、样品身份、批次、参数来源和失败样本。由此得到的结论才可用于下一步测量或实验，而不是停留在一张看似分离良好的图上。</w:t>
      </w:r>
    </w:p>
    <w:p>
      <w:pPr>
        <w:pStyle w:val="3"/>
      </w:pPr>
      <w:r>
        <w:t>16.3.1 函数签名和结构化参数</w:t>
      </w:r>
    </w:p>
    <w:p>
      <w:r>
        <w:t>就“函数签名和结构化参数”而言，函数签名和结构化参数属于从观测反推对象的逆问题，常存在多解性。同一峰可由多个结构片段贡献，同一空间热点也可能受厚度、照明或离子抑制影响；因此模型输出首先是候选解释，而不是自动成立的机制。</w:t>
      </w:r>
    </w:p>
    <w:p>
      <w:r>
        <w:t>把“函数签名和结构化参数”用于“工具调用：谱库、RDKit、统计计算与仪器接口”时，可信解释需要至少一条独立证据链：改变实验条件观察可预测响应、使用互补仪器验证候选，或以标准物质复现特征。显著性图、注意力和SHAP可定位模型依赖，却不能替代干预和机理实验。若该步骤改变了样品单位、统计独立性或物理峰形，必须在独立数据上重新证明其有效性。</w:t>
      </w:r>
    </w:p>
    <w:p>
      <w:pPr>
        <w:pStyle w:val="3"/>
      </w:pPr>
      <w:r>
        <w:t>16.3.2 谱库、RDKit和数据库</w:t>
      </w:r>
    </w:p>
    <w:p>
      <w:r>
        <w:t>就“谱库、RDKit和数据库”而言，谱库、RDKit和数据库决定数字能否被重新解释。仅保存强度矩阵会丢失坐标轴、单位、采样间隔、样品身份、仪器参数和校准状态；这些信息一旦脱离原始信号，后续很难判断变化来自化学对象还是采集条件。</w:t>
      </w:r>
    </w:p>
    <w:p>
      <w:r>
        <w:t>把“谱库、RDKit和数据库”用于“工具调用：谱库、RDKit、统计计算与仪器接口”时，推荐把原始文件设为只读，以持久样品标识连接实验表和信号文件，并为每次转换记录脚本版本、参数和校验码。单位转换、重采样与轴反向属于会改变数值含义的操作，必须在数据进入模型前自动检查。读图或读指标时应返回原始数据抽查，避免把表示空间中的几何关系直接当成化学机制。</w:t>
      </w:r>
    </w:p>
    <w:p>
      <w:pPr>
        <w:pStyle w:val="3"/>
      </w:pPr>
      <w:r>
        <w:t>16.3.3 统计拟合和绘图工具</w:t>
      </w:r>
    </w:p>
    <w:p>
      <w:r>
        <w:t>就“统计拟合和绘图工具”而言，围绕“统计拟合和绘图工具”，分子图以原子为节点、化学键为空间关系。消息传递网络在每一层聚合邻居信息并更新节点表示，多层传播扩大感受野。全局池化把节点表示汇总为分子级向量。</w:t>
      </w:r>
    </w:p>
    <w:p>
      <w:r>
        <w:t>把“统计拟合和绘图工具”用于“工具调用：谱库、RDKit、统计计算与仪器接口”时，在“工具调用：谱库、RDKit、统计计算与仪器接口”的语境下，二维图不能完整表达构象和空间相互作用。使用距离、角度或等变网络可以处理三维几何；SE(3)等变性要求模型输出随旋转和平移按物理规律变化。构象生成、温度和质子化态仍是输入不确定性的来源。最终报告需要给出适用范围和拒绝条件，使方法在证据不足时能够停止输出。</w:t>
      </w:r>
    </w:p>
    <w:p>
      <w:pPr>
        <w:pStyle w:val="3"/>
      </w:pPr>
      <w:r>
        <w:t>16.3.4 代码执行和单元测试</w:t>
      </w:r>
    </w:p>
    <w:p>
      <w:r>
        <w:t>就“代码执行和单元测试”而言，在“工具调用：谱库、RDKit、统计计算与仪器接口”中，代码执行和单元测试具体限定了标准方法、数据工具、代码和仪器接口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代码执行和单元测试”用于“工具调用：谱库、RDKit、统计计算与仪器接口”时，本书用“构建具有检索、拟合、复算和审计日志的分析Copilot”检验代码执行和单元测试。实现时遵循“让大模型负责编排，让确定性工具负责事实和计算”，先建立经典基线，再对参数敏感性、独立样品和失败对象进行检查。若结果只能在同批数据或单次划分中成立，应把它视为探索性现象而非稳定规律。教学上应把该概念落实为可观察变量、可运行程序和可反驳检验三层。</w:t>
      </w:r>
    </w:p>
    <w:p>
      <w:pPr>
        <w:pStyle w:val="3"/>
      </w:pPr>
      <w:r>
        <w:t>16.3.5 仪器API和权限边界</w:t>
      </w:r>
    </w:p>
    <w:p>
      <w:r>
        <w:t>就“仪器API和权限边界”而言，在“工具调用：谱库、RDKit、统计计算与仪器接口”中，仪器API和权限边界具体限定了标准方法、数据工具、代码和仪器接口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仪器API和权限边界”用于“工具调用：谱库、RDKit、统计计算与仪器接口”时，本书用“构建具有检索、拟合、复算和审计日志的分析Copilot”检验仪器API和权限边界。实现时遵循“让大模型负责编排，让确定性工具负责事实和计算”，先建立经典基线，再对参数敏感性、独立样品和失败对象进行检查。若结果只能在同批数据或单次划分中成立，应把它视为探索性现象而非稳定规律。在真实项目中，还应保存参数、软件版本和输入校验结果，以便定位变化来自样品还是计算。</w:t>
      </w:r>
    </w:p>
    <w:p>
      <w:pPr>
        <w:pStyle w:val="2"/>
      </w:pPr>
      <w:r>
        <w:t>16.4 计划—执行—观察—修正的任务图</w:t>
      </w:r>
    </w:p>
    <w:p>
      <w:r>
        <w:t>本节围绕“计划—执行—观察—修正的任务图”展开。分析对象是标准方法、数据工具、代码和仪器接口，核心不是罗列名词，而是说明任务分解和计划、工具选择和执行、观察、反思和修正、状态机、任务图和终止条件怎样进入同一条测量与推断链。读者首先要辨认哪些量来自真实样品，哪些量由仪器转换得到，哪些量由算法估计；三类量若混在一起，模型精度就很难被解释。</w:t>
      </w:r>
    </w:p>
    <w:p>
      <w:r>
        <w:t>在“计划—执行—观察—修正的任务图”中，技术路线遵循“让大模型负责编排，让确定性工具负责事实和计算”。具体计算从可诊断的经典基线开始，再增加本节所需的非线性、结构先验或不确定度组件。新增组件必须回答一个明确问题，并在相同数据边界下与基线比较；只有平均分提高而误差结构没有改善，不能构成采用复杂模型的充分理由。</w:t>
      </w:r>
    </w:p>
    <w:p>
      <w:r>
        <w:t>本节把“构建具有检索、拟合、复算和审计日志的分析Copilot”落实到单智能体与多智能体这一检查点。验证时保留与未来使用条件一致的独立对象，检查坐标轴、单位、样品身份、批次、参数来源和失败样本。由此得到的结论才可用于下一步测量或实验，而不是停留在一张看似分离良好的图上。</w:t>
      </w:r>
    </w:p>
    <w:p>
      <w:pPr>
        <w:pStyle w:val="3"/>
      </w:pPr>
      <w:r>
        <w:t>16.4.1 任务分解和计划</w:t>
      </w:r>
    </w:p>
    <w:p>
      <w:r>
        <w:t>就“任务分解和计划”而言，在“计划—执行—观察—修正的任务图”中，任务分解和计划具体限定了标准方法、数据工具、代码和仪器接口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任务分解和计划”用于“计划—执行—观察—修正的任务图”时，本书用“构建具有检索、拟合、复算和审计日志的分析Copilot”检验任务分解和计划。实现时遵循“让大模型负责编排，让确定性工具负责事实和计算”，先建立经典基线，再对参数敏感性、独立样品和失败对象进行检查。若结果只能在同批数据或单次划分中成立，应把它视为探索性现象而非稳定规律。若该步骤改变了样品单位、统计独立性或物理峰形，必须在独立数据上重新证明其有效性。</w:t>
      </w:r>
    </w:p>
    <w:p>
      <w:pPr>
        <w:pStyle w:val="3"/>
      </w:pPr>
      <w:r>
        <w:t>16.4.2 工具选择和执行</w:t>
      </w:r>
    </w:p>
    <w:p>
      <w:r>
        <w:t>就“工具选择和执行”而言，围绕“工具选择和执行”，科学智能体把语言模型与检索、代码、数据库和仪器接口连接。RAG提供可追溯资料，工具调用执行确定性计算，状态记录保存中间结果。语言模型负责计划和接口，不应替代数值计算或实验事实。</w:t>
      </w:r>
    </w:p>
    <w:p>
      <w:r>
        <w:t>把“工具选择和执行”用于“计划—执行—观察—修正的任务图”时，在“计划—执行—观察—修正的任务图”的语境下，可靠工作流把输出分为来源事实、模型推断和待验证假设。每个工具具有明确函数签名、权限和返回结构；关键数值通过复算或测试核验；危险动作必须经过人工批准。日志保存查询、工具版本、输入和输出。读图或读指标时应返回原始数据抽查，避免把表示空间中的几何关系直接当成化学机制。</w:t>
      </w:r>
    </w:p>
    <w:p>
      <w:pPr>
        <w:pStyle w:val="3"/>
      </w:pPr>
      <w:r>
        <w:t>16.4.3 观察、反思和修正</w:t>
      </w:r>
    </w:p>
    <w:p>
      <w:r>
        <w:t>就“观察、反思和修正”而言，在“计划—执行—观察—修正的任务图”中，观察、反思和修正具体限定了标准方法、数据工具、代码和仪器接口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观察、反思和修正”用于“计划—执行—观察—修正的任务图”时，本书用“构建具有检索、拟合、复算和审计日志的分析Copilot”检验观察、反思和修正。实现时遵循“让大模型负责编排，让确定性工具负责事实和计算”，先建立经典基线，再对参数敏感性、独立样品和失败对象进行检查。若结果只能在同批数据或单次划分中成立，应把它视为探索性现象而非稳定规律。最终报告需要给出适用范围和拒绝条件，使方法在证据不足时能够停止输出。</w:t>
      </w:r>
    </w:p>
    <w:p>
      <w:pPr>
        <w:pStyle w:val="3"/>
      </w:pPr>
      <w:r>
        <w:t>16.4.4 状态机、任务图和终止条件</w:t>
      </w:r>
    </w:p>
    <w:p>
      <w:r>
        <w:t>就“状态机、任务图和终止条件”而言，围绕“状态机、任务图和终止条件”，分子图以原子为节点、化学键为空间关系。消息传递网络在每一层聚合邻居信息并更新节点表示，多层传播扩大感受野。全局池化把节点表示汇总为分子级向量。</w:t>
      </w:r>
    </w:p>
    <w:p>
      <w:r>
        <w:t>把“状态机、任务图和终止条件”用于“计划—执行—观察—修正的任务图”时，在“计划—执行—观察—修正的任务图”的语境下，二维图不能完整表达构象和空间相互作用。使用距离、角度或等变网络可以处理三维几何；SE(3)等变性要求模型输出随旋转和平移按物理规律变化。构象生成、温度和质子化态仍是输入不确定性的来源。教学上应把该概念落实为可观察变量、可运行程序和可反驳检验三层。</w:t>
      </w:r>
    </w:p>
    <w:p>
      <w:pPr>
        <w:pStyle w:val="3"/>
      </w:pPr>
      <w:r>
        <w:t>16.4.5 单智能体与多智能体</w:t>
      </w:r>
    </w:p>
    <w:p>
      <w:r>
        <w:t>就“单智能体与多智能体”而言，单智能体与多智能体适合处理跨文档、跨工具的任务分解，但语言生成概率不等于化学事实。标准方法和仪器说明书应通过检索提供来源，数值拟合交给确定性程序，谱库和分子操作交给专用工具，模型只负责组织步骤和解释返回状态。</w:t>
      </w:r>
    </w:p>
    <w:p>
      <w:r>
        <w:t>把“单智能体与多智能体”用于“计划—执行—观察—修正的任务图”时，一个可用工作流需要结构化参数、工具白名单、异常返回、关键数值复算和完整日志。输出应明确区分来源事实、计算结果、模型推断与待验证假设；涉及设备动作时还需权限、审批点和可恢复终止条件。在真实项目中，还应保存参数、软件版本和输入校验结果，以便定位变化来自样品还是计算。</w:t>
      </w:r>
    </w:p>
    <w:p>
      <w:pPr>
        <w:pStyle w:val="2"/>
      </w:pPr>
      <w:r>
        <w:t>16.5 事实、推断、假设和待测量结论的状态区分</w:t>
      </w:r>
    </w:p>
    <w:p>
      <w:r>
        <w:t>本节围绕“事实、推断、假设和待测量结论的状态区分”展开。分析对象是标准方法、数据工具、代码和仪器接口，核心不是罗列名词，而是说明来源事实、数值计算结果、模型推断、待验证假设怎样进入同一条测量与推断链。读者首先要辨认哪些量来自真实样品，哪些量由仪器转换得到，哪些量由算法估计；三类量若混在一起，模型精度就很难被解释。</w:t>
      </w:r>
    </w:p>
    <w:p>
      <w:r>
        <w:t>在“事实、推断、假设和待测量结论的状态区分”中，技术路线遵循“让大模型负责编排，让确定性工具负责事实和计算”。具体计算从可诊断的经典基线开始，再增加本节所需的非线性、结构先验或不确定度组件。新增组件必须回答一个明确问题，并在相同数据边界下与基线比较；只有平均分提高而误差结构没有改善，不能构成采用复杂模型的充分理由。</w:t>
      </w:r>
    </w:p>
    <w:p>
      <w:r>
        <w:t>本节把“构建具有检索、拟合、复算和审计日志的分析Copilot”落实到不确定或冲突状态这一检查点。验证时保留与未来使用条件一致的独立对象，检查坐标轴、单位、样品身份、批次、参数来源和失败样本。由此得到的结论才可用于下一步测量或实验，而不是停留在一张看似分离良好的图上。</w:t>
      </w:r>
    </w:p>
    <w:p>
      <w:pPr>
        <w:pStyle w:val="3"/>
      </w:pPr>
      <w:r>
        <w:t>16.5.1 来源事实</w:t>
      </w:r>
    </w:p>
    <w:p>
      <w:r>
        <w:t>就“来源事实”而言，在“事实、推断、假设和待测量结论的状态区分”中，来源事实具体限定了标准方法、数据工具、代码和仪器接口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来源事实”用于“事实、推断、假设和待测量结论的状态区分”时，本书用“构建具有检索、拟合、复算和审计日志的分析Copilot”检验来源事实。实现时遵循“让大模型负责编排，让确定性工具负责事实和计算”，先建立经典基线，再对参数敏感性、独立样品和失败对象进行检查。若结果只能在同批数据或单次划分中成立，应把它视为探索性现象而非稳定规律。若该步骤改变了样品单位、统计独立性或物理峰形，必须在独立数据上重新证明其有效性。</w:t>
      </w:r>
    </w:p>
    <w:p>
      <w:pPr>
        <w:pStyle w:val="3"/>
      </w:pPr>
      <w:r>
        <w:t>16.5.2 数值计算结果</w:t>
      </w:r>
    </w:p>
    <w:p>
      <w:r>
        <w:t>就“数值计算结果”而言，在“事实、推断、假设和待测量结论的状态区分”中，数值计算结果具体限定了标准方法、数据工具、代码和仪器接口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数值计算结果”用于“事实、推断、假设和待测量结论的状态区分”时，本书用“构建具有检索、拟合、复算和审计日志的分析Copilot”检验数值计算结果。实现时遵循“让大模型负责编排，让确定性工具负责事实和计算”，先建立经典基线，再对参数敏感性、独立样品和失败对象进行检查。若结果只能在同批数据或单次划分中成立，应把它视为探索性现象而非稳定规律。读图或读指标时应返回原始数据抽查，避免把表示空间中的几何关系直接当成化学机制。</w:t>
      </w:r>
    </w:p>
    <w:p>
      <w:pPr>
        <w:pStyle w:val="3"/>
      </w:pPr>
      <w:r>
        <w:t>16.5.3 模型推断</w:t>
      </w:r>
    </w:p>
    <w:p>
      <w:r>
        <w:t>就“模型推断”而言，在“事实、推断、假设和待测量结论的状态区分”中，模型推断具体限定了标准方法、数据工具、代码和仪器接口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模型推断”用于“事实、推断、假设和待测量结论的状态区分”时，本书用“构建具有检索、拟合、复算和审计日志的分析Copilot”检验模型推断。实现时遵循“让大模型负责编排，让确定性工具负责事实和计算”，先建立经典基线，再对参数敏感性、独立样品和失败对象进行检查。若结果只能在同批数据或单次划分中成立，应把它视为探索性现象而非稳定规律。最终报告需要给出适用范围和拒绝条件，使方法在证据不足时能够停止输出。</w:t>
      </w:r>
    </w:p>
    <w:p>
      <w:pPr>
        <w:pStyle w:val="3"/>
      </w:pPr>
      <w:r>
        <w:t>16.5.4 待验证假设</w:t>
      </w:r>
    </w:p>
    <w:p>
      <w:r>
        <w:t>就“待验证假设”而言，在“事实、推断、假设和待测量结论的状态区分”中，待验证假设具体限定了标准方法、数据工具、代码和仪器接口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待验证假设”用于“事实、推断、假设和待测量结论的状态区分”时，本书用“构建具有检索、拟合、复算和审计日志的分析Copilot”检验待验证假设。实现时遵循“让大模型负责编排，让确定性工具负责事实和计算”，先建立经典基线，再对参数敏感性、独立样品和失败对象进行检查。若结果只能在同批数据或单次划分中成立，应把它视为探索性现象而非稳定规律。教学上应把该概念落实为可观察变量、可运行程序和可反驳检验三层。</w:t>
      </w:r>
    </w:p>
    <w:p>
      <w:pPr>
        <w:pStyle w:val="3"/>
      </w:pPr>
      <w:r>
        <w:t>16.5.5 不确定或冲突状态</w:t>
      </w:r>
    </w:p>
    <w:p>
      <w:r>
        <w:t>就“不确定或冲突状态”而言，围绕“不确定或冲突状态”，随机误差反映重复测量的波动，系统偏差使结果稳定地偏离参照，不确定度则量化在现有知识下结果可能处于的范围。三者属于不同概念。高重复性不代表无偏，模型测试误差很低也不代表参照标签准确。</w:t>
      </w:r>
    </w:p>
    <w:p>
      <w:r>
        <w:t>把“不确定或冲突状态”用于“事实、推断、假设和待测量结论的状态区分”时，在“事实、推断、假设和待测量结论的状态区分”的语境下，不确定度应沿采样、制样、校准、仪器、预处理和模型逐步传播。对于线性关系可使用一阶误差传播，对于明显非线性或参数相关的系统可使用蒙特卡洛抽样。报告时应给出覆盖概率、区间构造方法和适用条件，而不是只给一个小数位很多的点估计。在真实项目中，还应保存参数、软件版本和输入校验结果，以便定位变化来自样品还是计算。</w:t>
      </w:r>
    </w:p>
    <w:p>
      <w:pPr>
        <w:pStyle w:val="2"/>
      </w:pPr>
      <w:r>
        <w:t>16.6 结构化输出、日志、复算和测试</w:t>
      </w:r>
    </w:p>
    <w:p>
      <w:r>
        <w:t>本节围绕“结构化输出、日志、复算和测试”展开。分析对象是标准方法、数据工具、代码和仪器接口，核心不是罗列名词，而是说明JSON/表格等结构化输出、输入、输出和工具版本日志、关键数值复算、异常路径和审批点怎样进入同一条测量与推断链。读者首先要辨认哪些量来自真实样品，哪些量由仪器转换得到，哪些量由算法估计；三类量若混在一起，模型精度就很难被解释。</w:t>
      </w:r>
    </w:p>
    <w:p>
      <w:r>
        <w:t>在“结构化输出、日志、复算和测试”中，技术路线遵循“让大模型负责编排，让确定性工具负责事实和计算”。具体计算从可诊断的经典基线开始，再增加本节所需的非线性、结构先验或不确定度组件。新增组件必须回答一个明确问题，并在相同数据边界下与基线比较；只有平均分提高而误差结构没有改善，不能构成采用复杂模型的充分理由。</w:t>
      </w:r>
    </w:p>
    <w:p>
      <w:r>
        <w:t>本节把“构建具有检索、拟合、复算和审计日志的分析Copilot”落实到可重放任务记录这一检查点。验证时保留与未来使用条件一致的独立对象，检查坐标轴、单位、样品身份、批次、参数来源和失败样本。由此得到的结论才可用于下一步测量或实验，而不是停留在一张看似分离良好的图上。</w:t>
      </w:r>
    </w:p>
    <w:p>
      <w:pPr>
        <w:pStyle w:val="3"/>
      </w:pPr>
      <w:r>
        <w:t>16.6.1 JSON/表格等结构化输出</w:t>
      </w:r>
    </w:p>
    <w:p>
      <w:r>
        <w:t>就“JSON/表格等结构化输出”而言，JSON/表格等结构化输出属于从观测反推对象的逆问题，常存在多解性。同一峰可由多个结构片段贡献，同一空间热点也可能受厚度、照明或离子抑制影响；因此模型输出首先是候选解释，而不是自动成立的机制。</w:t>
      </w:r>
    </w:p>
    <w:p>
      <w:r>
        <w:t>把“JSON/表格等结构化输出”用于“结构化输出、日志、复算和测试”时，可信解释需要至少一条独立证据链：改变实验条件观察可预测响应、使用互补仪器验证候选，或以标准物质复现特征。显著性图、注意力和SHAP可定位模型依赖，却不能替代干预和机理实验。若该步骤改变了样品单位、统计独立性或物理峰形，必须在独立数据上重新证明其有效性。</w:t>
      </w:r>
    </w:p>
    <w:p>
      <w:pPr>
        <w:pStyle w:val="3"/>
      </w:pPr>
      <w:r>
        <w:t>16.6.2 输入、输出和工具版本日志</w:t>
      </w:r>
    </w:p>
    <w:p>
      <w:r>
        <w:t>就“输入、输出和工具版本日志”而言，围绕“输入、输出和工具版本日志”，科学智能体把语言模型与检索、代码、数据库和仪器接口连接。RAG提供可追溯资料，工具调用执行确定性计算，状态记录保存中间结果。语言模型负责计划和接口，不应替代数值计算或实验事实。</w:t>
      </w:r>
    </w:p>
    <w:p>
      <w:r>
        <w:t>把“输入、输出和工具版本日志”用于“结构化输出、日志、复算和测试”时，在“结构化输出、日志、复算和测试”的语境下，可靠工作流把输出分为来源事实、模型推断和待验证假设。每个工具具有明确函数签名、权限和返回结构；关键数值通过复算或测试核验；危险动作必须经过人工批准。日志保存查询、工具版本、输入和输出。读图或读指标时应返回原始数据抽查，避免把表示空间中的几何关系直接当成化学机制。</w:t>
      </w:r>
    </w:p>
    <w:p>
      <w:pPr>
        <w:pStyle w:val="3"/>
      </w:pPr>
      <w:r>
        <w:t>16.6.3 关键数值复算</w:t>
      </w:r>
    </w:p>
    <w:p>
      <w:r>
        <w:t>就“关键数值复算”而言，在“结构化输出、日志、复算和测试”中，关键数值复算具体限定了标准方法、数据工具、代码和仪器接口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关键数值复算”用于“结构化输出、日志、复算和测试”时，本书用“构建具有检索、拟合、复算和审计日志的分析Copilot”检验关键数值复算。实现时遵循“让大模型负责编排，让确定性工具负责事实和计算”，先建立经典基线，再对参数敏感性、独立样品和失败对象进行检查。若结果只能在同批数据或单次划分中成立，应把它视为探索性现象而非稳定规律。最终报告需要给出适用范围和拒绝条件，使方法在证据不足时能够停止输出。</w:t>
      </w:r>
    </w:p>
    <w:p>
      <w:pPr>
        <w:pStyle w:val="3"/>
      </w:pPr>
      <w:r>
        <w:t>16.6.4 异常路径和审批点</w:t>
      </w:r>
    </w:p>
    <w:p>
      <w:r>
        <w:t>就“异常路径和审批点”而言，在“结构化输出、日志、复算和测试”中，异常路径和审批点具体限定了标准方法、数据工具、代码和仪器接口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异常路径和审批点”用于“结构化输出、日志、复算和测试”时，本书用“构建具有检索、拟合、复算和审计日志的分析Copilot”检验异常路径和审批点。实现时遵循“让大模型负责编排，让确定性工具负责事实和计算”，先建立经典基线，再对参数敏感性、独立样品和失败对象进行检查。若结果只能在同批数据或单次划分中成立，应把它视为探索性现象而非稳定规律。教学上应把该概念落实为可观察变量、可运行程序和可反驳检验三层。</w:t>
      </w:r>
    </w:p>
    <w:p>
      <w:pPr>
        <w:pStyle w:val="3"/>
      </w:pPr>
      <w:r>
        <w:t>16.6.5 可重放任务记录</w:t>
      </w:r>
    </w:p>
    <w:p>
      <w:r>
        <w:t>就“可重放任务记录”而言，可重放任务记录决定数字能否被重新解释。仅保存强度矩阵会丢失坐标轴、单位、采样间隔、样品身份、仪器参数和校准状态；这些信息一旦脱离原始信号，后续很难判断变化来自化学对象还是采集条件。</w:t>
      </w:r>
    </w:p>
    <w:p>
      <w:r>
        <w:t>把“可重放任务记录”用于“结构化输出、日志、复算和测试”时，推荐把原始文件设为只读，以持久样品标识连接实验表和信号文件，并为每次转换记录脚本版本、参数和校验码。单位转换、重采样与轴反向属于会改变数值含义的操作，必须在数据进入模型前自动检查。在真实项目中，还应保存参数、软件版本和输入校验结果，以便定位变化来自样品还是计算。</w:t>
      </w:r>
    </w:p>
    <w:p>
      <w:pPr>
        <w:pStyle w:val="2"/>
      </w:pPr>
      <w:r>
        <w:t>16.7 分析化学Copilot与多智能体协作案例</w:t>
      </w:r>
    </w:p>
    <w:p>
      <w:r>
        <w:t>本节围绕“分析化学Copilot与多智能体协作案例”展开。分析对象是标准方法、数据工具、代码和仪器接口，核心不是罗列名词，而是说明分析数据Copilot、谱库和方法问答、自动拟合与残差诊断、实验建议和可证伪预测怎样进入同一条测量与推断链。读者首先要辨认哪些量来自真实样品，哪些量由仪器转换得到，哪些量由算法估计；三类量若混在一起，模型精度就很难被解释。</w:t>
      </w:r>
    </w:p>
    <w:p>
      <w:r>
        <w:t>在“分析化学Copilot与多智能体协作案例”中，技术路线遵循“让大模型负责编排，让确定性工具负责事实和计算”。具体计算从可诊断的经典基线开始，再增加本节所需的非线性、结构先验或不确定度组件。新增组件必须回答一个明确问题，并在相同数据边界下与基线比较；只有平均分提高而误差结构没有改善，不能构成采用复杂模型的充分理由。</w:t>
      </w:r>
    </w:p>
    <w:p>
      <w:r>
        <w:t>本节把“构建具有检索、拟合、复算和审计日志的分析Copilot”落实到规划—执行—验证—审计协作这一检查点。验证时保留与未来使用条件一致的独立对象，检查坐标轴、单位、样品身份、批次、参数来源和失败样本。由此得到的结论才可用于下一步测量或实验，而不是停留在一张看似分离良好的图上。</w:t>
      </w:r>
    </w:p>
    <w:p>
      <w:pPr>
        <w:pStyle w:val="3"/>
      </w:pPr>
      <w:r>
        <w:t>16.7.1 分析数据Copilot</w:t>
      </w:r>
    </w:p>
    <w:p>
      <w:r>
        <w:t>就“分析数据Copilot”而言，分析数据Copilot决定数字能否被重新解释。仅保存强度矩阵会丢失坐标轴、单位、采样间隔、样品身份、仪器参数和校准状态；这些信息一旦脱离原始信号，后续很难判断变化来自化学对象还是采集条件。</w:t>
      </w:r>
    </w:p>
    <w:p>
      <w:r>
        <w:t>把“分析数据Copilot”用于“分析化学Copilot与多智能体协作案例”时，推荐把原始文件设为只读，以持久样品标识连接实验表和信号文件，并为每次转换记录脚本版本、参数和校验码。单位转换、重采样与轴反向属于会改变数值含义的操作，必须在数据进入模型前自动检查。若该步骤改变了样品单位、统计独立性或物理峰形，必须在独立数据上重新证明其有效性。</w:t>
      </w:r>
    </w:p>
    <w:p>
      <w:pPr>
        <w:pStyle w:val="3"/>
      </w:pPr>
      <w:r>
        <w:t>16.7.2 谱库和方法问答</w:t>
      </w:r>
    </w:p>
    <w:p>
      <w:r>
        <w:t>就“谱库和方法问答”而言，在“分析化学Copilot与多智能体协作案例”中，谱库和方法问答具体限定了标准方法、数据工具、代码和仪器接口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谱库和方法问答”用于“分析化学Copilot与多智能体协作案例”时，本书用“构建具有检索、拟合、复算和审计日志的分析Copilot”检验谱库和方法问答。实现时遵循“让大模型负责编排，让确定性工具负责事实和计算”，先建立经典基线，再对参数敏感性、独立样品和失败对象进行检查。若结果只能在同批数据或单次划分中成立，应把它视为探索性现象而非稳定规律。读图或读指标时应返回原始数据抽查，避免把表示空间中的几何关系直接当成化学机制。</w:t>
      </w:r>
    </w:p>
    <w:p>
      <w:pPr>
        <w:pStyle w:val="3"/>
      </w:pPr>
      <w:r>
        <w:t>16.7.3 自动拟合与残差诊断</w:t>
      </w:r>
    </w:p>
    <w:p>
      <w:r>
        <w:t>就“自动拟合与残差诊断”而言，在“分析化学Copilot与多智能体协作案例”中，自动拟合与残差诊断具体限定了标准方法、数据工具、代码和仪器接口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自动拟合与残差诊断”用于“分析化学Copilot与多智能体协作案例”时，本书用“构建具有检索、拟合、复算和审计日志的分析Copilot”检验自动拟合与残差诊断。实现时遵循“让大模型负责编排，让确定性工具负责事实和计算”，先建立经典基线，再对参数敏感性、独立样品和失败对象进行检查。若结果只能在同批数据或单次划分中成立，应把它视为探索性现象而非稳定规律。最终报告需要给出适用范围和拒绝条件，使方法在证据不足时能够停止输出。</w:t>
      </w:r>
    </w:p>
    <w:p>
      <w:pPr>
        <w:pStyle w:val="3"/>
      </w:pPr>
      <w:r>
        <w:t>16.7.4 实验建议和可证伪预测</w:t>
      </w:r>
    </w:p>
    <w:p>
      <w:r>
        <w:t>就“实验建议和可证伪预测”而言，在“分析化学Copilot与多智能体协作案例”中，实验建议和可证伪预测具体限定了标准方法、数据工具、代码和仪器接口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实验建议和可证伪预测”用于“分析化学Copilot与多智能体协作案例”时，本书用“构建具有检索、拟合、复算和审计日志的分析Copilot”检验实验建议和可证伪预测。实现时遵循“让大模型负责编排，让确定性工具负责事实和计算”，先建立经典基线，再对参数敏感性、独立样品和失败对象进行检查。若结果只能在同批数据或单次划分中成立，应把它视为探索性现象而非稳定规律。教学上应把该概念落实为可观察变量、可运行程序和可反驳检验三层。</w:t>
      </w:r>
    </w:p>
    <w:p>
      <w:pPr>
        <w:pStyle w:val="3"/>
      </w:pPr>
      <w:r>
        <w:t>16.7.5 规划—执行—验证—审计协作</w:t>
      </w:r>
    </w:p>
    <w:p>
      <w:r>
        <w:t>就“规划—执行—验证—审计协作”而言，在“分析化学Copilot与多智能体协作案例”中，规划—执行—验证—审计协作具体限定了标准方法、数据工具、代码和仪器接口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规划—执行—验证—审计协作”用于“分析化学Copilot与多智能体协作案例”时，本书用“构建具有检索、拟合、复算和审计日志的分析Copilot”检验规划—执行—验证—审计协作。实现时遵循“让大模型负责编排，让确定性工具负责事实和计算”，先建立经典基线，再对参数敏感性、独立样品和失败对象进行检查。若结果只能在同批数据或单次划分中成立，应把它视为探索性现象而非稳定规律。在真实项目中，还应保存参数、软件版本和输入校验结果，以便定位变化来自样品还是计算。</w:t>
      </w:r>
    </w:p>
    <w:p>
      <w:pPr>
        <w:pStyle w:val="2"/>
      </w:pPr>
      <w:r>
        <w:t>关键关系与计算抓手</w:t>
      </w:r>
    </w:p>
    <w:p>
      <w:pPr>
        <w:ind w:firstLine="0"/>
      </w:pPr>
      <w:r>
        <w:rPr>
          <w:b/>
          <w:color w:val="345A8A"/>
        </w:rPr>
        <w:t>（1）答案=检索证据+工具结果+受限推断</w:t>
      </w:r>
    </w:p>
    <w:p>
      <w:pPr>
        <w:ind w:firstLine="0"/>
      </w:pPr>
      <w:r>
        <w:rPr>
          <w:b/>
          <w:color w:val="345A8A"/>
        </w:rPr>
        <w:t>（2）状态=(计划,工具输出,证据级别,审批点)</w:t>
      </w:r>
    </w:p>
    <w:p>
      <w:pPr>
        <w:pStyle w:val="2"/>
      </w:pPr>
      <w:r>
        <w:t>本章综合案例</w:t>
      </w:r>
    </w:p>
    <w:p>
      <w:r>
        <w:t>本章案例为“构建具有检索、拟合、复算和审计日志的分析Copilot”。先冻结问题、样品单位、测量协议和独立测试边界，再建立可诊断的经典基线。新增模型组件必须解决已识别的误差来源，并通过相同测试集、消融和失败样本分析证明价值。</w:t>
      </w:r>
    </w:p>
    <w:p>
      <w:r>
        <w:t>案例交付物包括问题卡、数据字典、运行日志、关键图表、错误对象和可执行代码。模型给出的结构、机制或实验建议属于待验证假设，需由互补测量或后续干预确认。</w:t>
      </w:r>
    </w:p>
    <w:p>
      <w:pPr>
        <w:pStyle w:val="2"/>
      </w:pPr>
      <w:r>
        <w:t>代码实践</w:t>
      </w:r>
    </w:p>
    <w:p>
      <w:r>
        <w:t>实现带白名单工具、结构化返回、日志和复算检查的分析智能体骨架。</w:t>
      </w:r>
    </w:p>
    <w:p>
      <w:pPr>
        <w:pStyle w:val="CodeBlock"/>
        <w:spacing w:after="0"/>
        <w:ind w:firstLine="0"/>
      </w:pPr>
      <w:r>
        <w:t>"""第16章代码练习：科学大模型与分析化学智能体</w:t>
      </w:r>
    </w:p>
    <w:p>
      <w:pPr>
        <w:pStyle w:val="CodeBlock"/>
        <w:spacing w:after="0"/>
        <w:ind w:firstLine="0"/>
      </w:pPr>
      <w:r>
        <w:t xml:space="preserve"> </w:t>
      </w:r>
    </w:p>
    <w:p>
      <w:pPr>
        <w:pStyle w:val="CodeBlock"/>
        <w:spacing w:after="0"/>
        <w:ind w:firstLine="0"/>
      </w:pPr>
      <w:r>
        <w:t>任务：实现带白名单工具、结构化返回、日志和复算检查的分析智能体骨架。</w:t>
      </w:r>
    </w:p>
    <w:p>
      <w:pPr>
        <w:pStyle w:val="CodeBlock"/>
        <w:spacing w:after="0"/>
        <w:ind w:firstLine="0"/>
      </w:pPr>
      <w:r>
        <w:t>运行方式：python chapter_exercise.py</w:t>
      </w:r>
    </w:p>
    <w:p>
      <w:pPr>
        <w:pStyle w:val="CodeBlock"/>
        <w:spacing w:after="0"/>
        <w:ind w:firstLine="0"/>
      </w:pPr>
      <w:r>
        <w:t>所有合成数据仅用于验证接口；换用真实数据时必须保留样品/批次分组。</w:t>
      </w:r>
    </w:p>
    <w:p>
      <w:pPr>
        <w:pStyle w:val="CodeBlock"/>
        <w:spacing w:after="0"/>
        <w:ind w:firstLine="0"/>
      </w:pPr>
      <w:r>
        <w:t>"""</w:t>
      </w:r>
    </w:p>
    <w:p>
      <w:pPr>
        <w:pStyle w:val="CodeBlock"/>
        <w:spacing w:after="0"/>
        <w:ind w:firstLine="0"/>
      </w:pPr>
      <w:r>
        <w:t xml:space="preserve"> </w:t>
      </w:r>
    </w:p>
    <w:p>
      <w:pPr>
        <w:pStyle w:val="CodeBlock"/>
        <w:spacing w:after="0"/>
        <w:ind w:firstLine="0"/>
      </w:pPr>
      <w:r>
        <w:t>import numpy as np</w:t>
      </w:r>
    </w:p>
    <w:p>
      <w:pPr>
        <w:pStyle w:val="CodeBlock"/>
        <w:spacing w:after="0"/>
        <w:ind w:firstLine="0"/>
      </w:pPr>
      <w:r>
        <w:t xml:space="preserve"> </w:t>
      </w:r>
    </w:p>
    <w:p>
      <w:pPr>
        <w:pStyle w:val="CodeBlock"/>
        <w:spacing w:after="0"/>
        <w:ind w:firstLine="0"/>
      </w:pPr>
      <w:r>
        <w:t>rng = np.random.default_rng(42)</w:t>
      </w:r>
    </w:p>
    <w:p>
      <w:pPr>
        <w:pStyle w:val="CodeBlock"/>
        <w:spacing w:after="0"/>
        <w:ind w:firstLine="0"/>
      </w:pPr>
      <w:r>
        <w:t xml:space="preserve"> </w:t>
      </w:r>
    </w:p>
    <w:p>
      <w:pPr>
        <w:pStyle w:val="CodeBlock"/>
        <w:spacing w:after="0"/>
        <w:ind w:firstLine="0"/>
      </w:pPr>
      <w:r>
        <w:t>audit_log=[]</w:t>
      </w:r>
    </w:p>
    <w:p>
      <w:pPr>
        <w:pStyle w:val="CodeBlock"/>
        <w:spacing w:after="0"/>
        <w:ind w:firstLine="0"/>
      </w:pPr>
      <w:r>
        <w:t>def fit_model(**kwargs): return {'status':'fit','kwargs':kwargs}</w:t>
      </w:r>
    </w:p>
    <w:p>
      <w:pPr>
        <w:pStyle w:val="CodeBlock"/>
        <w:spacing w:after="0"/>
        <w:ind w:firstLine="0"/>
      </w:pPr>
      <w:r>
        <w:t>def check_units(**kwargs): return {'status':'checked','kwargs':kwargs}</w:t>
      </w:r>
    </w:p>
    <w:p>
      <w:pPr>
        <w:pStyle w:val="CodeBlock"/>
        <w:spacing w:after="0"/>
        <w:ind w:firstLine="0"/>
      </w:pPr>
      <w:r>
        <w:t>def plot_residuals(**kwargs): return {'status':'plotted','kwargs':kwargs}</w:t>
      </w:r>
    </w:p>
    <w:p>
      <w:pPr>
        <w:pStyle w:val="CodeBlock"/>
        <w:spacing w:after="0"/>
        <w:ind w:firstLine="0"/>
      </w:pPr>
      <w:r>
        <w:t>TOOLS={'fit':fit_model,'check_units':check_units,'plot_residuals':plot_residuals}</w:t>
      </w:r>
    </w:p>
    <w:p>
      <w:pPr>
        <w:pStyle w:val="CodeBlock"/>
        <w:spacing w:after="0"/>
        <w:ind w:firstLine="0"/>
      </w:pPr>
      <w:r>
        <w:t>def call_tool(name,kwargs):</w:t>
      </w:r>
    </w:p>
    <w:p>
      <w:pPr>
        <w:pStyle w:val="CodeBlock"/>
        <w:spacing w:after="0"/>
        <w:ind w:firstLine="0"/>
      </w:pPr>
      <w:r>
        <w:t xml:space="preserve">    if name not in TOOLS: raise PermissionError(name)</w:t>
      </w:r>
    </w:p>
    <w:p>
      <w:pPr>
        <w:pStyle w:val="CodeBlock"/>
        <w:spacing w:after="0"/>
        <w:ind w:firstLine="0"/>
      </w:pPr>
      <w:r>
        <w:t xml:space="preserve">    result=TOOLS[name](**kwargs)</w:t>
      </w:r>
    </w:p>
    <w:p>
      <w:pPr>
        <w:pStyle w:val="CodeBlock"/>
        <w:spacing w:after="0"/>
        <w:ind w:firstLine="0"/>
      </w:pPr>
      <w:r>
        <w:t xml:space="preserve">    audit_log.append({'tool':name,'kwargs':kwargs})</w:t>
      </w:r>
    </w:p>
    <w:p>
      <w:pPr>
        <w:pStyle w:val="CodeBlock"/>
        <w:spacing w:after="0"/>
        <w:ind w:firstLine="0"/>
      </w:pPr>
      <w:r>
        <w:t xml:space="preserve">    return result</w:t>
      </w:r>
    </w:p>
    <w:p>
      <w:pPr>
        <w:pStyle w:val="CodeBlock"/>
        <w:spacing w:after="0"/>
        <w:ind w:firstLine="0"/>
      </w:pPr>
      <w:r>
        <w:t xml:space="preserve"> </w:t>
      </w:r>
    </w:p>
    <w:p>
      <w:pPr>
        <w:pStyle w:val="CodeBlock"/>
        <w:spacing w:after="0"/>
        <w:ind w:firstLine="0"/>
      </w:pPr>
      <w:r>
        <w:t># TODO 1: 用课程或开放数据替换合成输入，明确对象为吸附数据、候选等温模型、计算工具和来源材料。</w:t>
      </w:r>
    </w:p>
    <w:p>
      <w:pPr>
        <w:pStyle w:val="CodeBlock"/>
        <w:spacing w:after="0"/>
        <w:ind w:firstLine="0"/>
      </w:pPr>
      <w:r>
        <w:t># TODO 2: 实现让独立测试用例和复算结果约束智能体输出，并与随机划分或默认流程对照。</w:t>
      </w:r>
    </w:p>
    <w:p>
      <w:pPr>
        <w:pStyle w:val="CodeBlock"/>
        <w:spacing w:after="0"/>
        <w:ind w:firstLine="0"/>
      </w:pPr>
      <w:r>
        <w:t># TODO 3: 输出区分来源事实、模型推断、工具错误和待验假设，据此判断能否生成可证伪的下一步实验而非无出处结论。</w:t>
      </w:r>
    </w:p>
    <w:p>
      <w:pPr>
        <w:pStyle w:val="2"/>
      </w:pPr>
      <w:r>
        <w:t>【本章小结】</w:t>
      </w:r>
    </w:p>
    <w:p>
      <w:r>
        <w:t>本章以标准方法、数据工具、代码和仪器接口为对象，把测量原理、数据表示、模型计算和分析决策连成完整链条。掌握本章的标准，不是记住模型名称，而是能够说明数据如何生成、结论怎样验证、方法在哪些条件下失效。</w:t>
      </w:r>
    </w:p>
    <w:p>
      <w:pPr>
        <w:pStyle w:val="2"/>
      </w:pPr>
      <w:r>
        <w:t>【思考题与计算题】</w:t>
      </w:r>
    </w:p>
    <w:p>
      <w:pPr>
        <w:ind w:firstLine="0"/>
      </w:pPr>
      <w:r>
        <w:t>1. 为“构建具有检索、拟合、复算和审计日志的分析Copilot”画出测量链并标出三处可能失真位置。</w:t>
      </w:r>
    </w:p>
    <w:p>
      <w:pPr>
        <w:ind w:firstLine="0"/>
      </w:pPr>
      <w:r>
        <w:t>2. 选择一个核心方法，写出输入、输出、参数、假设和两个失效条件。</w:t>
      </w:r>
    </w:p>
    <w:p>
      <w:pPr>
        <w:ind w:firstLine="0"/>
      </w:pPr>
      <w:r>
        <w:t>3. 建立经典基线，给出复杂模型必须超过的独立评价门槛。</w:t>
      </w:r>
    </w:p>
    <w:p>
      <w:pPr>
        <w:ind w:firstLine="0"/>
      </w:pPr>
      <w:r>
        <w:t>4. 设计符合未来使用条件的分组或外推划分，并与随机划分比较。</w:t>
      </w:r>
    </w:p>
    <w:p>
      <w:pPr>
        <w:ind w:firstLine="0"/>
      </w:pPr>
      <w:r>
        <w:t>5. 完成配套代码，增加一个单元测试和一个失败样本可视化。</w:t>
      </w:r>
    </w:p>
    <w:p>
      <w:pPr>
        <w:ind w:firstLine="0"/>
      </w:pPr>
      <w:r>
        <w:t>6. 设计能区分化学信息与批次捷径的对照实验。</w:t>
      </w:r>
    </w:p>
    <w:sectPr w:rsidR="00DF2813">
      <w:headerReference w:type="default" r:id="rId9"/>
      <w:footerReference w:type="default" r:id="rId10"/>
      <w:pgSz w:w="10488" w:h="14740"/>
      <w:pgMar w:top="1417" w:right="1247" w:bottom="1417" w:left="124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541C9A" w14:textId="77777777" w:rsidR="000B6296" w:rsidRDefault="000B6296">
      <w:pPr>
        <w:spacing w:after="0"/>
      </w:pPr>
      <w:r>
        <w:separator/>
      </w:r>
    </w:p>
  </w:endnote>
  <w:endnote w:type="continuationSeparator" w:id="0">
    <w:p w14:paraId="02E66D36" w14:textId="77777777" w:rsidR="000B6296" w:rsidRDefault="000B629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6E3B54" w14:textId="77777777" w:rsidR="00DF2813" w:rsidRDefault="00DF2813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EAC7C5" w14:textId="486F403A" w:rsidR="00DF2813" w:rsidRDefault="000B6296">
    <w:pPr>
      <w:jc w:val="center"/>
    </w:pPr>
    <w:r/>
    <w:r>
      <w:fldChar w:fldCharType="begin"/>
      <w:instrText xml:space="preserve"> PAGE </w:instrText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171DDB" w14:textId="77777777" w:rsidR="000B6296" w:rsidRDefault="000B6296">
      <w:pPr>
        <w:spacing w:after="0"/>
      </w:pPr>
      <w:r>
        <w:separator/>
      </w:r>
    </w:p>
  </w:footnote>
  <w:footnote w:type="continuationSeparator" w:id="0">
    <w:p w14:paraId="10E87919" w14:textId="77777777" w:rsidR="000B6296" w:rsidRDefault="000B629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6A9FA5" w14:textId="77777777" w:rsidR="00DF2813" w:rsidRDefault="00DF2813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2B503F" w14:textId="77777777" w:rsidR="00DF2813" w:rsidRDefault="000B6296">
    <w:pPr>
      <w:jc w:val="center"/>
    </w:pPr>
    <w:r>
      <w:t>智能分析化学 · 第16章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1"/>
    <w:multiLevelType w:val="multilevel"/>
    <w:tmpl w:val="0000A991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00A99411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2" w15:restartNumberingAfterBreak="0">
    <w:nsid w:val="00A99412"/>
    <w:multiLevelType w:val="multilevel"/>
    <w:tmpl w:val="00A99412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0A99413"/>
    <w:multiLevelType w:val="multilevel"/>
    <w:tmpl w:val="00A99413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4" w15:restartNumberingAfterBreak="0">
    <w:nsid w:val="00A99416"/>
    <w:multiLevelType w:val="multilevel"/>
    <w:tmpl w:val="00A99416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5" w15:restartNumberingAfterBreak="0">
    <w:nsid w:val="00A99417"/>
    <w:multiLevelType w:val="multilevel"/>
    <w:tmpl w:val="00A99417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6" w15:restartNumberingAfterBreak="0">
    <w:nsid w:val="00A99419"/>
    <w:multiLevelType w:val="multilevel"/>
    <w:tmpl w:val="00A99419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7" w15:restartNumberingAfterBreak="0">
    <w:nsid w:val="0A994110"/>
    <w:multiLevelType w:val="multilevel"/>
    <w:tmpl w:val="0A994110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abstractNum w:abstractNumId="8" w15:restartNumberingAfterBreak="0">
    <w:nsid w:val="0A994111"/>
    <w:multiLevelType w:val="multilevel"/>
    <w:tmpl w:val="0A994111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abstractNum w:abstractNumId="9" w15:restartNumberingAfterBreak="0">
    <w:nsid w:val="0A994113"/>
    <w:multiLevelType w:val="multilevel"/>
    <w:tmpl w:val="0A994113"/>
    <w:lvl w:ilvl="0">
      <w:start w:val="13"/>
      <w:numFmt w:val="decimal"/>
      <w:lvlText w:val="%1."/>
      <w:lvlJc w:val="left"/>
      <w:pPr>
        <w:ind w:left="720" w:hanging="480"/>
      </w:pPr>
    </w:lvl>
    <w:lvl w:ilvl="1">
      <w:start w:val="13"/>
      <w:numFmt w:val="decimal"/>
      <w:lvlText w:val="%2."/>
      <w:lvlJc w:val="left"/>
      <w:pPr>
        <w:ind w:left="1440" w:hanging="480"/>
      </w:pPr>
    </w:lvl>
    <w:lvl w:ilvl="2">
      <w:start w:val="13"/>
      <w:numFmt w:val="decimal"/>
      <w:lvlText w:val="%3."/>
      <w:lvlJc w:val="left"/>
      <w:pPr>
        <w:ind w:left="2160" w:hanging="480"/>
      </w:pPr>
    </w:lvl>
    <w:lvl w:ilvl="3">
      <w:start w:val="13"/>
      <w:numFmt w:val="decimal"/>
      <w:lvlText w:val="%4."/>
      <w:lvlJc w:val="left"/>
      <w:pPr>
        <w:ind w:left="2880" w:hanging="480"/>
      </w:pPr>
    </w:lvl>
    <w:lvl w:ilvl="4">
      <w:start w:val="13"/>
      <w:numFmt w:val="decimal"/>
      <w:lvlText w:val="%5."/>
      <w:lvlJc w:val="left"/>
      <w:pPr>
        <w:ind w:left="3600" w:hanging="480"/>
      </w:pPr>
    </w:lvl>
    <w:lvl w:ilvl="5">
      <w:start w:val="13"/>
      <w:numFmt w:val="decimal"/>
      <w:lvlText w:val="%6."/>
      <w:lvlJc w:val="left"/>
      <w:pPr>
        <w:ind w:left="4320" w:hanging="480"/>
      </w:pPr>
    </w:lvl>
    <w:lvl w:ilvl="6">
      <w:start w:val="13"/>
      <w:numFmt w:val="decimal"/>
      <w:lvlText w:val="%7."/>
      <w:lvlJc w:val="left"/>
      <w:pPr>
        <w:ind w:left="5040" w:hanging="480"/>
      </w:pPr>
    </w:lvl>
    <w:lvl w:ilvl="7">
      <w:start w:val="13"/>
      <w:numFmt w:val="decimal"/>
      <w:lvlText w:val="%8."/>
      <w:lvlJc w:val="left"/>
      <w:pPr>
        <w:ind w:left="5760" w:hanging="480"/>
      </w:pPr>
    </w:lvl>
    <w:lvl w:ilvl="8">
      <w:start w:val="13"/>
      <w:numFmt w:val="decimal"/>
      <w:lvlText w:val="%9."/>
      <w:lvlJc w:val="left"/>
      <w:pPr>
        <w:ind w:left="6480" w:hanging="4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4">
    <w:abstractNumId w:val="7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5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">
    <w:abstractNumId w:val="7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5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5">
    <w:abstractNumId w:val="7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4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22">
    <w:abstractNumId w:val="7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2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4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26">
    <w:abstractNumId w:val="7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2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4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30">
    <w:abstractNumId w:val="7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3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4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34">
    <w:abstractNumId w:val="7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3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4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38">
    <w:abstractNumId w:val="7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3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4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55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5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3">
    <w:abstractNumId w:val="6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64">
    <w:abstractNumId w:val="9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6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9">
    <w:abstractNumId w:val="5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70">
    <w:abstractNumId w:val="8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7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4">
    <w:abstractNumId w:val="5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75">
    <w:abstractNumId w:val="8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7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8">
    <w:abstractNumId w:val="5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79">
    <w:abstractNumId w:val="8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8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9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bordersDoNotSurroundHeader/>
  <w:bordersDoNotSurroundFooter/>
  <w:proofState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splitPgBreakAndParaMark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F2813"/>
    <w:rsid w:val="000B6296"/>
    <w:rsid w:val="003208BF"/>
    <w:rsid w:val="00DF2813"/>
    <w:rsid w:val="06A724A7"/>
    <w:rsid w:val="192E7DCB"/>
    <w:rsid w:val="3C4076A1"/>
    <w:rsid w:val="60143417"/>
    <w:rsid w:val="629F2D6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B6579"/>
  <w15:docId w15:val="{205839D2-68C0-46F1-AD46-0C8BD5521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footnote text" w:uiPriority="9" w:unhideWhenUsed="1" w:qFormat="1"/>
    <w:lsdException w:name="footnote reference" w:qFormat="1"/>
    <w:lsdException w:name="Title" w:qFormat="1"/>
    <w:lsdException w:name="Default Paragraph Font" w:semiHidden="1" w:unhideWhenUsed="1"/>
    <w:lsdException w:name="Body Text" w:qFormat="1"/>
    <w:lsdException w:name="Subtitle" w:qFormat="1"/>
    <w:lsdException w:name="Date" w:qFormat="1"/>
    <w:lsdException w:name="Block Text" w:uiPriority="9" w:unhideWhenUsed="1" w:qFormat="1"/>
    <w:lsdException w:name="Hyperlink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20" w:line="324" w:lineRule="auto"/>
      <w:ind w:firstLine="460"/>
    </w:pPr>
    <w:rPr>
      <w:rFonts w:eastAsiaTheme="minorHAnsi" w:ascii="Arial Unicode MS" w:hAnsi="Arial Unicode MS" w:eastAsia="Arial Unicode MS" w:cs="Arial Unicode MS"/>
      <w:sz w:val="23"/>
      <w:szCs w:val="24"/>
      <w:lang w:eastAsia="en-US"/>
    </w:rPr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4F81BD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4F81BD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4F81BD"/>
      <w:sz w:val="24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 Unicode MS" w:hAnsi="Arial Unicode MS" w:eastAsia="Arial Unicode MS" w:cs="Arial Unicode MS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 Unicode MS" w:hAnsi="Arial Unicode MS" w:eastAsia="Arial Unicode MS" w:cs="Arial Unicode MS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4F81BD" w:themeColor="accent1"/>
    </w:rPr>
  </w:style>
  <w:style w:type="character" w:default="1" w:styleId="a1">
    <w:name w:val="Default Paragraph Font"/>
    <w:uiPriority w:val="1"/>
    <w:semiHidden/>
    <w:unhideWhenUsed/>
    <w:rPr>
      <w:rFonts w:ascii="Arial Unicode MS" w:hAnsi="Arial Unicode MS" w:eastAsia="Arial Unicode MS" w:cs="Arial Unicode MS"/>
    </w:rPr>
  </w:style>
  <w:style w:type="table" w:default="1" w:styleId="a2">
    <w:name w:val="Normal Table"/>
    <w:uiPriority w:val="99"/>
    <w:semiHidden/>
    <w:unhideWhenUsed/>
    <w:rPr>
      <w:rFonts w:ascii="Arial Unicode MS" w:hAnsi="Arial Unicode MS" w:eastAsia="Arial Unicode MS" w:cs="Arial Unicode M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pPr>
      <w:spacing w:before="180" w:after="180"/>
    </w:pPr>
    <w:rPr>
      <w:rFonts w:ascii="Arial Unicode MS" w:hAnsi="Arial Unicode MS" w:eastAsia="Arial Unicode MS" w:cs="Arial Unicode MS"/>
    </w:rPr>
  </w:style>
  <w:style w:type="paragraph" w:styleId="a5">
    <w:name w:val="caption"/>
    <w:basedOn w:val="a"/>
    <w:pPr>
      <w:spacing w:after="120"/>
    </w:pPr>
    <w:rPr>
      <w:rFonts w:ascii="Arial Unicode MS" w:hAnsi="Arial Unicode MS" w:eastAsia="Arial Unicode MS" w:cs="Arial Unicode MS"/>
      <w:i/>
    </w:rPr>
  </w:style>
  <w:style w:type="paragraph" w:styleId="a6">
    <w:name w:val="Block Text"/>
    <w:basedOn w:val="a0"/>
    <w:next w:val="a0"/>
    <w:uiPriority w:val="9"/>
    <w:unhideWhenUsed/>
    <w:qFormat/>
    <w:pPr>
      <w:spacing w:before="100" w:after="100"/>
      <w:ind w:left="480" w:right="480"/>
    </w:pPr>
    <w:rPr>
      <w:rFonts w:ascii="Arial Unicode MS" w:hAnsi="Arial Unicode MS" w:eastAsia="Arial Unicode MS" w:cs="Arial Unicode MS"/>
    </w:rPr>
  </w:style>
  <w:style w:type="paragraph" w:styleId="a7">
    <w:name w:val="Date"/>
    <w:next w:val="a0"/>
    <w:qFormat/>
    <w:pPr>
      <w:keepNext/>
      <w:keepLines/>
      <w:spacing w:after="200"/>
      <w:jc w:val="center"/>
    </w:pPr>
    <w:rPr>
      <w:rFonts w:eastAsiaTheme="minorHAnsi" w:ascii="Arial Unicode MS" w:hAnsi="Arial Unicode MS" w:eastAsia="Arial Unicode MS" w:cs="Arial Unicode MS"/>
      <w:sz w:val="24"/>
      <w:szCs w:val="24"/>
      <w:lang w:eastAsia="en-US"/>
    </w:rPr>
  </w:style>
  <w:style w:type="paragraph" w:styleId="a8">
    <w:name w:val="Subtitle"/>
    <w:basedOn w:val="a9"/>
    <w:next w:val="a0"/>
    <w:qFormat/>
    <w:pPr>
      <w:spacing w:before="240"/>
    </w:pPr>
    <w:rPr>
      <w:rFonts w:ascii="Arial Unicode MS" w:hAnsi="Arial Unicode MS" w:eastAsia="Arial Unicode MS" w:cs="Arial Unicode MS"/>
      <w:sz w:val="30"/>
      <w:szCs w:val="30"/>
    </w:rPr>
  </w:style>
  <w:style w:type="paragraph" w:styleId="a9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345A8A"/>
      <w:sz w:val="36"/>
      <w:szCs w:val="36"/>
    </w:rPr>
  </w:style>
  <w:style w:type="paragraph" w:styleId="aa">
    <w:name w:val="footnote text"/>
    <w:basedOn w:val="a"/>
    <w:uiPriority w:val="9"/>
    <w:unhideWhenUsed/>
    <w:qFormat/>
    <w:rPr>
      <w:rFonts w:ascii="Arial Unicode MS" w:hAnsi="Arial Unicode MS" w:eastAsia="Arial Unicode MS" w:cs="Arial Unicode MS"/>
    </w:rPr>
  </w:style>
  <w:style w:type="character" w:styleId="ab">
    <w:name w:val="Hyperlink"/>
    <w:basedOn w:val="a4"/>
    <w:qFormat/>
    <w:rPr>
      <w:rFonts w:ascii="Arial Unicode MS" w:hAnsi="Arial Unicode MS" w:eastAsia="Arial Unicode MS" w:cs="Arial Unicode MS"/>
      <w:color w:val="4F81BD" w:themeColor="accent1"/>
    </w:rPr>
  </w:style>
  <w:style w:type="character" w:customStyle="1" w:styleId="a4">
    <w:name w:val="正文文本 字符"/>
    <w:basedOn w:val="a1"/>
    <w:link w:val="a0"/>
    <w:qFormat/>
    <w:rPr>
      <w:rFonts w:ascii="Arial Unicode MS" w:hAnsi="Arial Unicode MS" w:eastAsia="Arial Unicode MS" w:cs="Arial Unicode MS"/>
    </w:rPr>
  </w:style>
  <w:style w:type="character" w:styleId="ac">
    <w:name w:val="footnote reference"/>
    <w:basedOn w:val="a4"/>
    <w:qFormat/>
    <w:rPr>
      <w:rFonts w:ascii="Arial Unicode MS" w:hAnsi="Arial Unicode MS" w:eastAsia="Arial Unicode MS" w:cs="Arial Unicode MS"/>
      <w:vertAlign w:val="superscript"/>
    </w:rPr>
  </w:style>
  <w:style w:type="paragraph" w:customStyle="1" w:styleId="FirstParagraph">
    <w:name w:val="First Paragraph"/>
    <w:basedOn w:val="a0"/>
    <w:next w:val="a0"/>
    <w:qFormat/>
    <w:rPr>
      <w:rFonts w:ascii="Arial Unicode MS" w:hAnsi="Arial Unicode MS" w:eastAsia="Arial Unicode MS" w:cs="Arial Unicode MS"/>
    </w:rPr>
  </w:style>
  <w:style w:type="paragraph" w:customStyle="1" w:styleId="Compact">
    <w:name w:val="Compact"/>
    <w:basedOn w:val="a0"/>
    <w:qFormat/>
    <w:pPr>
      <w:spacing w:before="36" w:after="36"/>
    </w:pPr>
    <w:rPr>
      <w:rFonts w:ascii="Arial Unicode MS" w:hAnsi="Arial Unicode MS" w:eastAsia="Arial Unicode MS" w:cs="Arial Unicode MS"/>
    </w:rPr>
  </w:style>
  <w:style w:type="paragraph" w:customStyle="1" w:styleId="Author">
    <w:name w:val="Author"/>
    <w:next w:val="a0"/>
    <w:qFormat/>
    <w:pPr>
      <w:keepNext/>
      <w:keepLines/>
      <w:spacing w:after="200"/>
      <w:jc w:val="center"/>
    </w:pPr>
    <w:rPr>
      <w:rFonts w:eastAsiaTheme="minorHAnsi" w:ascii="Arial Unicode MS" w:hAnsi="Arial Unicode MS" w:eastAsia="Arial Unicode MS" w:cs="Arial Unicode MS"/>
      <w:sz w:val="24"/>
      <w:szCs w:val="24"/>
      <w:lang w:eastAsia="en-US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rFonts w:ascii="Arial Unicode MS" w:hAnsi="Arial Unicode MS" w:eastAsia="Arial Unicode MS" w:cs="Arial Unicode MS"/>
      <w:sz w:val="20"/>
      <w:szCs w:val="20"/>
    </w:rPr>
  </w:style>
  <w:style w:type="paragraph" w:customStyle="1" w:styleId="10">
    <w:name w:val="书目1"/>
    <w:basedOn w:val="a"/>
    <w:qFormat/>
    <w:rPr>
      <w:rFonts w:ascii="Arial Unicode MS" w:hAnsi="Arial Unicode MS" w:eastAsia="Arial Unicode MS" w:cs="Arial Unicode MS"/>
    </w:rPr>
  </w:style>
  <w:style w:type="table" w:customStyle="1" w:styleId="Table">
    <w:name w:val="Table"/>
    <w:semiHidden/>
    <w:unhideWhenUsed/>
    <w:qFormat/>
    <w:rPr>
      <w:rFonts w:ascii="Arial Unicode MS" w:hAnsi="Arial Unicode MS" w:eastAsia="Arial Unicode MS" w:cs="Arial Unicode MS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rFonts w:ascii="Arial Unicode MS" w:hAnsi="Arial Unicode MS" w:eastAsia="Arial Unicode MS" w:cs="Arial Unicode MS"/>
      <w:b/>
    </w:rPr>
  </w:style>
  <w:style w:type="paragraph" w:customStyle="1" w:styleId="Definition">
    <w:name w:val="Definition"/>
    <w:basedOn w:val="a"/>
    <w:rPr>
      <w:rFonts w:ascii="Arial Unicode MS" w:hAnsi="Arial Unicode MS" w:eastAsia="Arial Unicode MS" w:cs="Arial Unicode MS"/>
    </w:rPr>
  </w:style>
  <w:style w:type="paragraph" w:customStyle="1" w:styleId="TableCaption">
    <w:name w:val="Table Caption"/>
    <w:basedOn w:val="a5"/>
    <w:qFormat/>
    <w:pPr>
      <w:keepNext/>
    </w:pPr>
    <w:rPr>
      <w:rFonts w:ascii="Arial Unicode MS" w:hAnsi="Arial Unicode MS" w:eastAsia="Arial Unicode MS" w:cs="Arial Unicode MS"/>
    </w:rPr>
  </w:style>
  <w:style w:type="paragraph" w:customStyle="1" w:styleId="ImageCaption">
    <w:name w:val="Image Caption"/>
    <w:basedOn w:val="a5"/>
    <w:qFormat/>
    <w:rPr>
      <w:rFonts w:ascii="Arial Unicode MS" w:hAnsi="Arial Unicode MS" w:eastAsia="Arial Unicode MS" w:cs="Arial Unicode MS"/>
    </w:rPr>
  </w:style>
  <w:style w:type="paragraph" w:customStyle="1" w:styleId="Figure">
    <w:name w:val="Figure"/>
    <w:basedOn w:val="a"/>
    <w:qFormat/>
    <w:rPr>
      <w:rFonts w:ascii="Arial Unicode MS" w:hAnsi="Arial Unicode MS" w:eastAsia="Arial Unicode MS" w:cs="Arial Unicode MS"/>
    </w:rPr>
  </w:style>
  <w:style w:type="paragraph" w:customStyle="1" w:styleId="CaptionedFigure">
    <w:name w:val="Captioned Figure"/>
    <w:basedOn w:val="Figure"/>
    <w:qFormat/>
    <w:pPr>
      <w:keepNext/>
    </w:pPr>
    <w:rPr>
      <w:rFonts w:ascii="Arial Unicode MS" w:hAnsi="Arial Unicode MS" w:eastAsia="Arial Unicode MS" w:cs="Arial Unicode MS"/>
    </w:rPr>
  </w:style>
  <w:style w:type="character" w:customStyle="1" w:styleId="VerbatimChar">
    <w:name w:val="Verbatim Char"/>
    <w:basedOn w:val="a4"/>
    <w:link w:val="SourceCode"/>
    <w:qFormat/>
    <w:rPr>
      <w:rFonts w:ascii="Arial Unicode MS" w:hAnsi="Arial Unicode MS" w:eastAsia="Arial Unicode MS" w:cs="Arial Unicode MS"/>
      <w:sz w:val="22"/>
    </w:rPr>
  </w:style>
  <w:style w:type="paragraph" w:customStyle="1" w:styleId="SourceCode">
    <w:name w:val="Source Code"/>
    <w:basedOn w:val="a"/>
    <w:link w:val="VerbatimChar"/>
    <w:qFormat/>
    <w:pPr>
      <w:shd w:val="clear" w:color="auto" w:fill="F8F8F8"/>
      <w:wordWrap w:val="0"/>
    </w:pPr>
    <w:rPr>
      <w:rFonts w:ascii="Arial Unicode MS" w:hAnsi="Arial Unicode MS" w:eastAsia="Arial Unicode MS" w:cs="Arial Unicode MS"/>
    </w:rPr>
  </w:style>
  <w:style w:type="character" w:customStyle="1" w:styleId="SectionNumber">
    <w:name w:val="Section Number"/>
    <w:basedOn w:val="a4"/>
    <w:qFormat/>
    <w:rPr>
      <w:rFonts w:ascii="Arial Unicode MS" w:hAnsi="Arial Unicode MS" w:eastAsia="Arial Unicode MS" w:cs="Arial Unicode MS"/>
    </w:rPr>
  </w:style>
  <w:style w:type="paragraph" w:customStyle="1" w:styleId="TOC1">
    <w:name w:val="TOC 标题1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="Arial Unicode MS" w:hAnsi="Arial Unicode MS" w:eastAsia="Arial Unicode MS" w:cs="Arial Unicode MS"/>
      <w:b w:val="0"/>
      <w:bCs w:val="0"/>
      <w:color w:val="365F91" w:themeColor="accent1" w:themeShade="BF"/>
    </w:rPr>
  </w:style>
  <w:style w:type="character" w:customStyle="1" w:styleId="KeywordTok">
    <w:name w:val="KeywordTok"/>
    <w:basedOn w:val="VerbatimChar"/>
    <w:qFormat/>
    <w:rPr>
      <w:rFonts w:ascii="Arial Unicode MS" w:hAnsi="Arial Unicode MS" w:eastAsia="Arial Unicode MS" w:cs="Arial Unicode M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qFormat/>
    <w:rPr>
      <w:rFonts w:ascii="Arial Unicode MS" w:hAnsi="Arial Unicode MS" w:eastAsia="Arial Unicode MS" w:cs="Arial Unicode M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qFormat/>
    <w:rPr>
      <w:rFonts w:ascii="Arial Unicode MS" w:hAnsi="Arial Unicode MS" w:eastAsia="Arial Unicode MS" w:cs="Arial Unicode M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qFormat/>
    <w:rPr>
      <w:rFonts w:ascii="Arial Unicode MS" w:hAnsi="Arial Unicode MS" w:eastAsia="Arial Unicode MS" w:cs="Arial Unicode M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qFormat/>
    <w:rPr>
      <w:rFonts w:ascii="Arial Unicode MS" w:hAnsi="Arial Unicode MS" w:eastAsia="Arial Unicode MS" w:cs="Arial Unicode M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qFormat/>
    <w:rPr>
      <w:rFonts w:ascii="Arial Unicode MS" w:hAnsi="Arial Unicode MS" w:eastAsia="Arial Unicode MS" w:cs="Arial Unicode MS"/>
      <w:color w:val="000000"/>
      <w:sz w:val="22"/>
      <w:shd w:val="clear" w:color="auto" w:fill="F8F8F8"/>
    </w:rPr>
  </w:style>
  <w:style w:type="character" w:customStyle="1" w:styleId="CharTok">
    <w:name w:val="CharTok"/>
    <w:basedOn w:val="VerbatimChar"/>
    <w:qFormat/>
    <w:rPr>
      <w:rFonts w:ascii="Arial Unicode MS" w:hAnsi="Arial Unicode MS" w:eastAsia="Arial Unicode MS" w:cs="Arial Unicode M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qFormat/>
    <w:rPr>
      <w:rFonts w:ascii="Arial Unicode MS" w:hAnsi="Arial Unicode MS" w:eastAsia="Arial Unicode MS" w:cs="Arial Unicode MS"/>
      <w:color w:val="000000"/>
      <w:sz w:val="22"/>
      <w:shd w:val="clear" w:color="auto" w:fill="F8F8F8"/>
    </w:rPr>
  </w:style>
  <w:style w:type="character" w:customStyle="1" w:styleId="StringTok">
    <w:name w:val="StringTok"/>
    <w:basedOn w:val="VerbatimChar"/>
    <w:qFormat/>
    <w:rPr>
      <w:rFonts w:ascii="Arial Unicode MS" w:hAnsi="Arial Unicode MS" w:eastAsia="Arial Unicode MS" w:cs="Arial Unicode M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Arial Unicode MS" w:hAnsi="Arial Unicode MS" w:eastAsia="Arial Unicode MS" w:cs="Arial Unicode M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qFormat/>
    <w:rPr>
      <w:rFonts w:ascii="Arial Unicode MS" w:hAnsi="Arial Unicode MS" w:eastAsia="Arial Unicode MS" w:cs="Arial Unicode M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qFormat/>
    <w:rPr>
      <w:rFonts w:ascii="Arial Unicode MS" w:hAnsi="Arial Unicode MS" w:eastAsia="Arial Unicode MS" w:cs="Arial Unicode MS"/>
      <w:sz w:val="22"/>
      <w:shd w:val="clear" w:color="auto" w:fill="F8F8F8"/>
    </w:rPr>
  </w:style>
  <w:style w:type="character" w:customStyle="1" w:styleId="CommentTok">
    <w:name w:val="CommentTok"/>
    <w:basedOn w:val="VerbatimChar"/>
    <w:qFormat/>
    <w:rPr>
      <w:rFonts w:ascii="Arial Unicode MS" w:hAnsi="Arial Unicode MS" w:eastAsia="Arial Unicode MS" w:cs="Arial Unicode M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qFormat/>
    <w:rPr>
      <w:rFonts w:ascii="Arial Unicode MS" w:hAnsi="Arial Unicode MS" w:eastAsia="Arial Unicode MS" w:cs="Arial Unicode M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qFormat/>
    <w:rPr>
      <w:rFonts w:ascii="Arial Unicode MS" w:hAnsi="Arial Unicode MS" w:eastAsia="Arial Unicode MS" w:cs="Arial Unicode M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qFormat/>
    <w:rPr>
      <w:rFonts w:ascii="Arial Unicode MS" w:hAnsi="Arial Unicode MS" w:eastAsia="Arial Unicode MS" w:cs="Arial Unicode M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qFormat/>
    <w:rPr>
      <w:rFonts w:ascii="Arial Unicode MS" w:hAnsi="Arial Unicode MS" w:eastAsia="Arial Unicode MS" w:cs="Arial Unicode M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qFormat/>
    <w:rPr>
      <w:rFonts w:ascii="Arial Unicode MS" w:hAnsi="Arial Unicode MS" w:eastAsia="Arial Unicode MS" w:cs="Arial Unicode MS"/>
      <w:color w:val="000000"/>
      <w:sz w:val="22"/>
      <w:shd w:val="clear" w:color="auto" w:fill="F8F8F8"/>
    </w:rPr>
  </w:style>
  <w:style w:type="character" w:customStyle="1" w:styleId="VariableTok">
    <w:name w:val="VariableTok"/>
    <w:basedOn w:val="VerbatimChar"/>
    <w:qFormat/>
    <w:rPr>
      <w:rFonts w:ascii="Arial Unicode MS" w:hAnsi="Arial Unicode MS" w:eastAsia="Arial Unicode MS" w:cs="Arial Unicode M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qFormat/>
    <w:rPr>
      <w:rFonts w:ascii="Arial Unicode MS" w:hAnsi="Arial Unicode MS" w:eastAsia="Arial Unicode MS" w:cs="Arial Unicode M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qFormat/>
    <w:rPr>
      <w:rFonts w:ascii="Arial Unicode MS" w:hAnsi="Arial Unicode MS" w:eastAsia="Arial Unicode MS" w:cs="Arial Unicode M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qFormat/>
    <w:rPr>
      <w:rFonts w:ascii="Arial Unicode MS" w:hAnsi="Arial Unicode MS" w:eastAsia="Arial Unicode MS" w:cs="Arial Unicode MS"/>
      <w:sz w:val="22"/>
      <w:shd w:val="clear" w:color="auto" w:fill="F8F8F8"/>
    </w:rPr>
  </w:style>
  <w:style w:type="character" w:customStyle="1" w:styleId="ExtensionTok">
    <w:name w:val="ExtensionTok"/>
    <w:basedOn w:val="VerbatimChar"/>
    <w:qFormat/>
    <w:rPr>
      <w:rFonts w:ascii="Arial Unicode MS" w:hAnsi="Arial Unicode MS" w:eastAsia="Arial Unicode MS" w:cs="Arial Unicode MS"/>
      <w:sz w:val="22"/>
      <w:shd w:val="clear" w:color="auto" w:fill="F8F8F8"/>
    </w:rPr>
  </w:style>
  <w:style w:type="character" w:customStyle="1" w:styleId="PreprocessorTok">
    <w:name w:val="PreprocessorTok"/>
    <w:basedOn w:val="VerbatimChar"/>
    <w:qFormat/>
    <w:rPr>
      <w:rFonts w:ascii="Arial Unicode MS" w:hAnsi="Arial Unicode MS" w:eastAsia="Arial Unicode MS" w:cs="Arial Unicode M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qFormat/>
    <w:rPr>
      <w:rFonts w:ascii="Arial Unicode MS" w:hAnsi="Arial Unicode MS" w:eastAsia="Arial Unicode MS" w:cs="Arial Unicode MS"/>
      <w:color w:val="C4A000"/>
      <w:sz w:val="22"/>
      <w:shd w:val="clear" w:color="auto" w:fill="F8F8F8"/>
    </w:rPr>
  </w:style>
  <w:style w:type="character" w:customStyle="1" w:styleId="RegionMarkerTok">
    <w:name w:val="RegionMarkerTok"/>
    <w:basedOn w:val="VerbatimChar"/>
    <w:qFormat/>
    <w:rPr>
      <w:rFonts w:ascii="Arial Unicode MS" w:hAnsi="Arial Unicode MS" w:eastAsia="Arial Unicode MS" w:cs="Arial Unicode MS"/>
      <w:sz w:val="22"/>
      <w:shd w:val="clear" w:color="auto" w:fill="F8F8F8"/>
    </w:rPr>
  </w:style>
  <w:style w:type="character" w:customStyle="1" w:styleId="InformationTok">
    <w:name w:val="InformationTok"/>
    <w:basedOn w:val="VerbatimChar"/>
    <w:qFormat/>
    <w:rPr>
      <w:rFonts w:ascii="Arial Unicode MS" w:hAnsi="Arial Unicode MS" w:eastAsia="Arial Unicode MS" w:cs="Arial Unicode M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qFormat/>
    <w:rPr>
      <w:rFonts w:ascii="Arial Unicode MS" w:hAnsi="Arial Unicode MS" w:eastAsia="Arial Unicode MS" w:cs="Arial Unicode M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qFormat/>
    <w:rPr>
      <w:rFonts w:ascii="Arial Unicode MS" w:hAnsi="Arial Unicode MS" w:eastAsia="Arial Unicode MS" w:cs="Arial Unicode M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qFormat/>
    <w:rPr>
      <w:rFonts w:ascii="Arial Unicode MS" w:hAnsi="Arial Unicode MS" w:eastAsia="Arial Unicode MS" w:cs="Arial Unicode M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qFormat/>
    <w:rPr>
      <w:rFonts w:ascii="Arial Unicode MS" w:hAnsi="Arial Unicode MS" w:eastAsia="Arial Unicode MS" w:cs="Arial Unicode MS"/>
      <w:sz w:val="22"/>
      <w:shd w:val="clear" w:color="auto" w:fill="F8F8F8"/>
    </w:rPr>
  </w:style>
  <w:style w:type="paragraph" w:customStyle="1" w:styleId="CodeBlock">
    <w:name w:val="Code Block"/>
    <w:pPr>
      <w:spacing w:line="240" w:lineRule="auto"/>
      <w:ind w:firstLine="0" w:left="283"/>
      <w:shd w:fill="F2F2F2"/>
    </w:pPr>
    <w:rPr>
      <w:rFonts w:ascii="Menlo" w:hAnsi="Menlo" w:eastAsia="Menlo" w:cs="Menlo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497</Pages>
  <Words>78486</Words>
  <Characters>447373</Characters>
  <Application>Microsoft Office Word</Application>
  <DocSecurity>0</DocSecurity>
  <Lines>3728</Lines>
  <Paragraphs>1049</Paragraphs>
  <ScaleCrop>false</ScaleCrop>
  <Company/>
  <LinksUpToDate>false</LinksUpToDate>
  <CharactersWithSpaces>524810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2</cp:revision>
  <dcterms:created xsi:type="dcterms:W3CDTF">2026-05-06T14:15:00Z</dcterms:created>
  <dcterms:modified xsi:type="dcterms:W3CDTF">2026-05-07T01:22:00Z</dcterms:modified>
  <dc:title>第16章 科学大模型与分析化学智能体</dc:title>
  <dc:subject>《智能分析化学》出版内容初稿v2.2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eyJoZGlkIjoiMDljYzUzMWQ4OWI0YzBkYjYzMDRhZTY5ZjZkYmFmYTgiLCJ1c2VySWQiOiIzNDY3ODI5MDMifQ==</vt:lpwstr>
  </property>
  <property fmtid="{D5CDD505-2E9C-101B-9397-08002B2CF9AE}" pid="3" name="KSOProductBuildVer">
    <vt:lpwstr>2052-12.1.0.25865</vt:lpwstr>
  </property>
  <property fmtid="{D5CDD505-2E9C-101B-9397-08002B2CF9AE}" pid="4" name="ICV">
    <vt:lpwstr>74DB65D882BD4BF7A9A58B5557D771E8_12</vt:lpwstr>
  </property>
</Properties>
</file>