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9"/>
        <w:ind w:firstLine="0"/>
        <w:jc w:val="center"/>
      </w:pPr>
      <w:r>
        <w:t>第18章 世界模型、化学数字孪生与机器科学家</w:t>
      </w:r>
    </w:p>
    <w:p>
      <w:pPr>
        <w:pStyle w:val="a8"/>
        <w:ind w:firstLine="0"/>
        <w:jc w:val="center"/>
      </w:pPr>
      <w:r>
        <w:t>第5篇 科学智能体与自主分析系统</w:t>
      </w:r>
    </w:p>
    <w:p>
      <w:pPr>
        <w:pStyle w:val="a8"/>
        <w:ind w:firstLine="0"/>
        <w:jc w:val="center"/>
      </w:pPr>
      <w:r>
        <w:t>出版内容初稿 v2.2</w:t>
      </w:r>
    </w:p>
    <w:p>
      <w:pPr>
        <w:pStyle w:val="2"/>
      </w:pPr>
      <w:r>
        <w:t>【章首导引】</w:t>
      </w:r>
    </w:p>
    <w:p>
      <w:r>
        <w:t>一个系统怎样在内部预测‘如果这样操作，下一步会发生什么’，并据此规划实验？ 本章以样品状态、仪器状态、动作与观测为对象，落实“以状态转移模型收束全书，将测量、生成、控制和科学发现统一到可规划模型中。”。贯穿案例为“为连续流反应器建立状态估计和滚动规划”。</w:t>
      </w:r>
    </w:p>
    <w:p>
      <w:pPr>
        <w:pStyle w:val="2"/>
      </w:pPr>
      <w:r>
        <w:t>学习目标</w:t>
      </w:r>
    </w:p>
    <w:p>
      <w:pPr>
        <w:ind w:firstLine="0"/>
      </w:pPr>
      <w:r>
        <w:t>（1）能够说明样品状态、仪器状态、动作与观测在本章中的数据结构与主要信息来源。</w:t>
      </w:r>
    </w:p>
    <w:p>
      <w:pPr>
        <w:ind w:firstLine="0"/>
      </w:pPr>
      <w:r>
        <w:t>（2）能够解释本章关键方法的输入、输出、参数、假设和失效条件。</w:t>
      </w:r>
    </w:p>
    <w:p>
      <w:pPr>
        <w:ind w:firstLine="0"/>
      </w:pPr>
      <w:r>
        <w:t>（3）能够以“以机理—数据混合模型预测操作后果”设计训练、验证和独立测试。</w:t>
      </w:r>
    </w:p>
    <w:p>
      <w:pPr>
        <w:ind w:firstLine="0"/>
      </w:pPr>
      <w:r>
        <w:t>（4）能够完成“为连续流反应器建立状态估计和滚动规划”的最小代码实验并分析失败样本。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32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18章_知识图谱_预览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32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5"/>
        <w:ind w:firstLine="0"/>
        <w:jc w:val="center"/>
      </w:pPr>
      <w:r>
        <w:t>图18-1  第18章知识图谱</w:t>
      </w:r>
    </w:p>
    <w:p>
      <w:pPr>
        <w:pStyle w:val="2"/>
      </w:pPr>
      <w:r>
        <w:t>18.1 数字孪生与世界模型：镜像、预测与规划</w:t>
      </w:r>
    </w:p>
    <w:p>
      <w:r>
        <w:t>本节围绕“数字孪生与世界模型：镜像、预测与规划”展开。分析对象是样品状态、仪器状态、动作与观测，核心不是罗列名词，而是说明仪器仿真和过程仿真、数字孪生的实时镜像、世界模型的动作条件预测、从状态描述到可规划模型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数字孪生与世界模型：镜像、预测与规划”中，技术路线遵循“以机理—数据混合模型预测操作后果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为连续流反应器建立状态估计和滚动规划”落实到从状态描述到可规划模型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18.1.1 仪器仿真和过程仿真</w:t>
      </w:r>
    </w:p>
    <w:p>
      <w:r>
        <w:t>就“仪器仿真和过程仿真”而言，在“数字孪生与世界模型：镜像、预测与规划”中，仪器仿真和过程仿真具体限定了样品状态、仪器状态、动作与观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仪器仿真和过程仿真”用于“数字孪生与世界模型：镜像、预测与规划”时，本书用“为连续流反应器建立状态估计和滚动规划”检验仪器仿真和过程仿真。实现时遵循“以机理—数据混合模型预测操作后果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3"/>
      </w:pPr>
      <w:r>
        <w:t>18.1.2 数字孪生的实时镜像</w:t>
      </w:r>
    </w:p>
    <w:p>
      <w:r>
        <w:t>就“数字孪生的实时镜像”而言，在“数字孪生与世界模型：镜像、预测与规划”中，数字孪生的实时镜像具体限定了样品状态、仪器状态、动作与观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数字孪生的实时镜像”用于“数字孪生与世界模型：镜像、预测与规划”时，本书用“为连续流反应器建立状态估计和滚动规划”检验数字孪生的实时镜像。实现时遵循“以机理—数据混合模型预测操作后果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3"/>
      </w:pPr>
      <w:r>
        <w:t>18.1.3 世界模型的动作条件预测</w:t>
      </w:r>
    </w:p>
    <w:p>
      <w:r>
        <w:t>就“世界模型的动作条件预测”而言，在“数字孪生与世界模型：镜像、预测与规划”中，世界模型的动作条件预测具体限定了样品状态、仪器状态、动作与观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世界模型的动作条件预测”用于“数字孪生与世界模型：镜像、预测与规划”时，本书用“为连续流反应器建立状态估计和滚动规划”检验世界模型的动作条件预测。实现时遵循“以机理—数据混合模型预测操作后果”，先建立经典基线，再对参数敏感性、独立样品和失败对象进行检查。若结果只能在同批数据或单次划分中成立，应把它视为探索性现象而非稳定规律。在真实项目中，还应保存参数、软件版本和输入校验结果，以便定位变化来自样品还是计算。</w:t>
      </w:r>
    </w:p>
    <w:p>
      <w:pPr>
        <w:pStyle w:val="3"/>
      </w:pPr>
      <w:r>
        <w:t>18.1.4 从状态描述到可规划模型</w:t>
      </w:r>
    </w:p>
    <w:p>
      <w:r>
        <w:t>就“从状态描述到可规划模型”而言，在“数字孪生与世界模型：镜像、预测与规划”中，从状态描述到可规划模型具体限定了样品状态、仪器状态、动作与观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从状态描述到可规划模型”用于“数字孪生与世界模型：镜像、预测与规划”时，本书用“为连续流反应器建立状态估计和滚动规划”检验从状态描述到可规划模型。实现时遵循“以机理—数据混合模型预测操作后果”，先建立经典基线，再对参数敏感性、独立样品和失败对象进行检查。若结果只能在同批数据或单次划分中成立，应把它视为探索性现象而非稳定规律。若该步骤改变了样品单位、统计独立性或物理峰形，必须在独立数据上重新证明其有效性。</w:t>
      </w:r>
    </w:p>
    <w:p>
      <w:pPr>
        <w:pStyle w:val="2"/>
      </w:pPr>
      <w:r>
        <w:t>18.2 样品状态、仪器状态、动作与观测</w:t>
      </w:r>
    </w:p>
    <w:p>
      <w:r>
        <w:t>本节围绕“样品状态、仪器状态、动作与观测”展开。分析对象是样品状态、仪器状态、动作与观测，核心不是罗列名词，而是说明样品组成、基质和反应状态、仪器、环境和设备状态、动作：功率、时间、流速、电位和位置、观测：谱图、图像、电流和峰表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样品状态、仪器状态、动作与观测”中，技术路线遵循“以机理—数据混合模型预测操作后果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为连续流反应器建立状态估计和滚动规划”落实到代价和奖励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18.2.1 样品组成、基质和反应状态</w:t>
      </w:r>
    </w:p>
    <w:p>
      <w:r>
        <w:t>就“样品组成、基质和反应状态”而言，样品组成、基质和反应状态的目标是判断样品中存在什么，而不是仅把信号分到一个已知类别。可靠识别至少需要选择性响应、参照物或谱库、相似干扰物以及库外样品；若候选集合不完整，最高匹配分只能表示‘在当前库中最相似’，不能等同于身份确认。</w:t>
      </w:r>
    </w:p>
    <w:p>
      <w:r>
        <w:t>把“样品组成、基质和反应状态”用于“样品状态、仪器状态、动作与观测”时，定性流程应把检出、候选筛选和确证分开。检出阶段控制空白和假阳性，筛选阶段报告Top-k候选及分数差，确证阶段依靠保留信息、互补谱学或标准物质。模型还应设置拒识阈值，避免对训练分布之外的样品强行命名。最终报告需要给出适用范围和拒绝条件，使方法在证据不足时能够停止输出。</w:t>
      </w:r>
    </w:p>
    <w:p>
      <w:pPr>
        <w:pStyle w:val="3"/>
      </w:pPr>
      <w:r>
        <w:t>18.2.2 仪器、环境和设备状态</w:t>
      </w:r>
    </w:p>
    <w:p>
      <w:r>
        <w:t>就“仪器、环境和设备状态”而言，在“样品状态、仪器状态、动作与观测”中，仪器、环境和设备状态具体限定了样品状态、仪器状态、动作与观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仪器、环境和设备状态”用于“样品状态、仪器状态、动作与观测”时，本书用“为连续流反应器建立状态估计和滚动规划”检验仪器、环境和设备状态。实现时遵循“以机理—数据混合模型预测操作后果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3"/>
      </w:pPr>
      <w:r>
        <w:t>18.2.3 动作：功率、时间、流速、电位和位置</w:t>
      </w:r>
    </w:p>
    <w:p>
      <w:r>
        <w:t>就“动作：功率、时间、流速、电位和位置”而言，动作：功率、时间、流速、电位和位置要求测量时间尺度快于被研究过程的关键变化。采样、传质、仪器响应和数据处理都可能造成时间延迟；若响应时间与反应时间相当，记录到的曲线是系统动力学与仪器核的卷积。</w:t>
      </w:r>
    </w:p>
    <w:p>
      <w:r>
        <w:t>把“动作：功率、时间、流速、电位和位置”用于“样品状态、仪器状态、动作与观测”时，建模时应保存真实时间戳、同步误差和操作事件，避免把等间隔文件序号当作真实时间。对于在线控制，还要区分毫秒级设备反馈与分钟级科学决策，并用状态估计处理不可直接观察的化学状态。在真实项目中，还应保存参数、软件版本和输入校验结果，以便定位变化来自样品还是计算。</w:t>
      </w:r>
    </w:p>
    <w:p>
      <w:pPr>
        <w:pStyle w:val="3"/>
      </w:pPr>
      <w:r>
        <w:t>18.2.4 观测：谱图、图像、电流和峰表</w:t>
      </w:r>
    </w:p>
    <w:p>
      <w:r>
        <w:t>就“观测：谱图、图像、电流和峰表”而言，围绕“观测：谱图、图像、电流和峰表”，分子图以原子为节点、化学键为空间关系。消息传递网络在每一层聚合邻居信息并更新节点表示，多层传播扩大感受野。全局池化把节点表示汇总为分子级向量。</w:t>
      </w:r>
    </w:p>
    <w:p>
      <w:r>
        <w:t>把“观测：谱图、图像、电流和峰表”用于“样品状态、仪器状态、动作与观测”时，在“样品状态、仪器状态、动作与观测”的语境下，二维图不能完整表达构象和空间相互作用。使用距离、角度或等变网络可以处理三维几何；SE(3)等变性要求模型输出随旋转和平移按物理规律变化。构象生成、温度和质子化态仍是输入不确定性的来源。若该步骤改变了样品单位、统计独立性或物理峰形，必须在独立数据上重新证明其有效性。</w:t>
      </w:r>
    </w:p>
    <w:p>
      <w:pPr>
        <w:pStyle w:val="3"/>
      </w:pPr>
      <w:r>
        <w:t>18.2.5 代价和奖励</w:t>
      </w:r>
    </w:p>
    <w:p>
      <w:r>
        <w:t>就“代价和奖励”而言，围绕“代价和奖励”，马尔可夫决策过程由状态、动作、转移、奖励和折扣因子构成。策略选择动作，环境返回新状态和奖励。强化学习优化长期累计回报，因此奖励函数实际定义了系统追求的目标。</w:t>
      </w:r>
    </w:p>
    <w:p>
      <w:r>
        <w:t>把“代价和奖励”用于“样品状态、仪器状态、动作与观测”时，在“样品状态、仪器状态、动作与观测”的语境下，奖励设计不完整会产生奖励投机。例如只奖励预测产率可能诱导不可合成或不安全条件。化学任务应把硬安全约束放在动作空间和执行层，把成本、信息量和质量作为多目标评价，并保留人工审批。读图或读指标时应返回原始数据抽查，避免把表示空间中的几何关系直接当成化学机制。</w:t>
      </w:r>
    </w:p>
    <w:p>
      <w:pPr>
        <w:pStyle w:val="2"/>
      </w:pPr>
      <w:r>
        <w:t>18.3 状态空间模型、卡尔曼滤波与粒子滤波</w:t>
      </w:r>
    </w:p>
    <w:p>
      <w:r>
        <w:t>本节围绕“状态空间模型、卡尔曼滤波与粒子滤波”展开。分析对象是样品状态、仪器状态、动作与观测，核心不是罗列名词，而是说明隐藏状态和观测模型、状态转移模型、卡尔曼滤波、扩展/无迹卡尔曼滤波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状态空间模型、卡尔曼滤波与粒子滤波”中，技术路线遵循“以机理—数据混合模型预测操作后果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为连续流反应器建立状态估计和滚动规划”落实到粒子滤波和多峰状态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18.3.1 隐藏状态和观测模型</w:t>
      </w:r>
    </w:p>
    <w:p>
      <w:r>
        <w:t>就“隐藏状态和观测模型”而言，在“状态空间模型、卡尔曼滤波与粒子滤波”中，隐藏状态和观测模型具体限定了样品状态、仪器状态、动作与观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隐藏状态和观测模型”用于“状态空间模型、卡尔曼滤波与粒子滤波”时，本书用“为连续流反应器建立状态估计和滚动规划”检验隐藏状态和观测模型。实现时遵循“以机理—数据混合模型预测操作后果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3"/>
      </w:pPr>
      <w:r>
        <w:t>18.3.2 状态转移模型</w:t>
      </w:r>
    </w:p>
    <w:p>
      <w:r>
        <w:t>就“状态转移模型”而言，在“状态空间模型、卡尔曼滤波与粒子滤波”中，状态转移模型具体限定了样品状态、仪器状态、动作与观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状态转移模型”用于“状态空间模型、卡尔曼滤波与粒子滤波”时，本书用“为连续流反应器建立状态估计和滚动规划”检验状态转移模型。实现时遵循“以机理—数据混合模型预测操作后果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3"/>
      </w:pPr>
      <w:r>
        <w:t>18.3.3 卡尔曼滤波</w:t>
      </w:r>
    </w:p>
    <w:p>
      <w:r>
        <w:t>就“卡尔曼滤波”而言，围绕“卡尔曼滤波”，世界模型区分隐藏状态s、观测o、动作a和状态转移。观测只是状态经传感器投影后的结果，智能体需要根据历史观测估计当前状态，再预测候选动作的后果。卡尔曼滤波适合近似线性高斯系统，粒子滤波可表示非线性和多峰分布。</w:t>
      </w:r>
    </w:p>
    <w:p>
      <w:r>
        <w:t>把“卡尔曼滤波”用于“状态空间模型、卡尔曼滤波与粒子滤波”时，在“状态空间模型、卡尔曼滤波与粒子滤波”的语境下，MPC在模型中滚动多个动作序列，优化有限时域目标，只执行第一步后便用新观测重新规划。这样可限制长时预测误差。化学世界模型还应满足非负浓度、质量守恒、温压边界和设备约束，并在不确定性过高时请求真实测量。在真实项目中，还应保存参数、软件版本和输入校验结果，以便定位变化来自样品还是计算。</w:t>
      </w:r>
    </w:p>
    <w:p>
      <w:pPr>
        <w:pStyle w:val="3"/>
      </w:pPr>
      <w:r>
        <w:t>18.3.4 扩展/无迹卡尔曼滤波</w:t>
      </w:r>
    </w:p>
    <w:p>
      <w:r>
        <w:t>就“扩展/无迹卡尔曼滤波”而言，围绕“扩展/无迹卡尔曼滤波”，世界模型区分隐藏状态s、观测o、动作a和状态转移。观测只是状态经传感器投影后的结果，智能体需要根据历史观测估计当前状态，再预测候选动作的后果。卡尔曼滤波适合近似线性高斯系统，粒子滤波可表示非线性和多峰分布。</w:t>
      </w:r>
    </w:p>
    <w:p>
      <w:r>
        <w:t>把“扩展/无迹卡尔曼滤波”用于“状态空间模型、卡尔曼滤波与粒子滤波”时，在“状态空间模型、卡尔曼滤波与粒子滤波”的语境下，MPC在模型中滚动多个动作序列，优化有限时域目标，只执行第一步后便用新观测重新规划。这样可限制长时预测误差。化学世界模型还应满足非负浓度、质量守恒、温压边界和设备约束，并在不确定性过高时请求真实测量。若该步骤改变了样品单位、统计独立性或物理峰形，必须在独立数据上重新证明其有效性。</w:t>
      </w:r>
    </w:p>
    <w:p>
      <w:pPr>
        <w:pStyle w:val="3"/>
      </w:pPr>
      <w:r>
        <w:t>18.3.5 粒子滤波和多峰状态</w:t>
      </w:r>
    </w:p>
    <w:p>
      <w:r>
        <w:t>就“粒子滤波和多峰状态”而言，围绕“粒子滤波和多峰状态”，世界模型区分隐藏状态s、观测o、动作a和状态转移。观测只是状态经传感器投影后的结果，智能体需要根据历史观测估计当前状态，再预测候选动作的后果。卡尔曼滤波适合近似线性高斯系统，粒子滤波可表示非线性和多峰分布。</w:t>
      </w:r>
    </w:p>
    <w:p>
      <w:r>
        <w:t>把“粒子滤波和多峰状态”用于“状态空间模型、卡尔曼滤波与粒子滤波”时，在“状态空间模型、卡尔曼滤波与粒子滤波”的语境下，MPC在模型中滚动多个动作序列，优化有限时域目标，只执行第一步后便用新观测重新规划。这样可限制长时预测误差。化学世界模型还应满足非负浓度、质量守恒、温压边界和设备约束，并在不确定性过高时请求真实测量。读图或读指标时应返回原始数据抽查，避免把表示空间中的几何关系直接当成化学机制。</w:t>
      </w:r>
    </w:p>
    <w:p>
      <w:pPr>
        <w:pStyle w:val="2"/>
      </w:pPr>
      <w:r>
        <w:t>18.4 机理模型、数据模型和混合世界模型</w:t>
      </w:r>
    </w:p>
    <w:p>
      <w:r>
        <w:t>本节围绕“机理模型、数据模型和混合世界模型”展开。分析对象是样品状态、仪器状态、动作与观测，核心不是罗列名词，而是说明质量守恒和动力学模型、数据驱动残差模型、参数辨识和结构误差、机理—数据混合世界模型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机理模型、数据模型和混合世界模型”中，技术路线遵循“以机理—数据混合模型预测操作后果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为连续流反应器建立状态估计和滚动规划”落实到不确定度分解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18.4.1 质量守恒和动力学模型</w:t>
      </w:r>
    </w:p>
    <w:p>
      <w:r>
        <w:t>就“质量守恒和动力学模型”而言，在“机理模型、数据模型和混合世界模型”中，质量守恒和动力学模型具体限定了样品状态、仪器状态、动作与观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质量守恒和动力学模型”用于“机理模型、数据模型和混合世界模型”时，本书用“为连续流反应器建立状态估计和滚动规划”检验质量守恒和动力学模型。实现时遵循“以机理—数据混合模型预测操作后果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3"/>
      </w:pPr>
      <w:r>
        <w:t>18.4.2 数据驱动残差模型</w:t>
      </w:r>
    </w:p>
    <w:p>
      <w:r>
        <w:t>就“数据驱动残差模型”而言，数据驱动残差模型决定数字能否被重新解释。仅保存强度矩阵会丢失坐标轴、单位、采样间隔、样品身份、仪器参数和校准状态；这些信息一旦脱离原始信号，后续很难判断变化来自化学对象还是采集条件。</w:t>
      </w:r>
    </w:p>
    <w:p>
      <w:r>
        <w:t>把“数据驱动残差模型”用于“机理模型、数据模型和混合世界模型”时，推荐把原始文件设为只读，以持久样品标识连接实验表和信号文件，并为每次转换记录脚本版本、参数和校验码。单位转换、重采样与轴反向属于会改变数值含义的操作，必须在数据进入模型前自动检查。教学上应把该概念落实为可观察变量、可运行程序和可反驳检验三层。</w:t>
      </w:r>
    </w:p>
    <w:p>
      <w:pPr>
        <w:pStyle w:val="3"/>
      </w:pPr>
      <w:r>
        <w:t>18.4.3 参数辨识和结构误差</w:t>
      </w:r>
    </w:p>
    <w:p>
      <w:r>
        <w:t>就“参数辨识和结构误差”而言，围绕“参数辨识和结构误差”，随机误差反映重复测量的波动，系统偏差使结果稳定地偏离参照，不确定度则量化在现有知识下结果可能处于的范围。三者属于不同概念。高重复性不代表无偏，模型测试误差很低也不代表参照标签准确。</w:t>
      </w:r>
    </w:p>
    <w:p>
      <w:r>
        <w:t>把“参数辨识和结构误差”用于“机理模型、数据模型和混合世界模型”时，在“机理模型、数据模型和混合世界模型”的语境下，不确定度应沿采样、制样、校准、仪器、预处理和模型逐步传播。对于线性关系可使用一阶误差传播，对于明显非线性或参数相关的系统可使用蒙特卡洛抽样。报告时应给出覆盖概率、区间构造方法和适用条件，而不是只给一个小数位很多的点估计。在真实项目中，还应保存参数、软件版本和输入校验结果，以便定位变化来自样品还是计算。</w:t>
      </w:r>
    </w:p>
    <w:p>
      <w:pPr>
        <w:pStyle w:val="3"/>
      </w:pPr>
      <w:r>
        <w:t>18.4.4 机理—数据混合世界模型</w:t>
      </w:r>
    </w:p>
    <w:p>
      <w:r>
        <w:t>就“机理—数据混合世界模型”而言，机理—数据混合世界模型决定数字能否被重新解释。仅保存强度矩阵会丢失坐标轴、单位、采样间隔、样品身份、仪器参数和校准状态；这些信息一旦脱离原始信号，后续很难判断变化来自化学对象还是采集条件。</w:t>
      </w:r>
    </w:p>
    <w:p>
      <w:r>
        <w:t>把“机理—数据混合世界模型”用于“机理模型、数据模型和混合世界模型”时，推荐把原始文件设为只读，以持久样品标识连接实验表和信号文件，并为每次转换记录脚本版本、参数和校验码。单位转换、重采样与轴反向属于会改变数值含义的操作，必须在数据进入模型前自动检查。若该步骤改变了样品单位、统计独立性或物理峰形，必须在独立数据上重新证明其有效性。</w:t>
      </w:r>
    </w:p>
    <w:p>
      <w:pPr>
        <w:pStyle w:val="3"/>
      </w:pPr>
      <w:r>
        <w:t>18.4.5 不确定度分解</w:t>
      </w:r>
    </w:p>
    <w:p>
      <w:r>
        <w:t>就“不确定度分解”而言，围绕“不确定度分解”，随机误差反映重复测量的波动，系统偏差使结果稳定地偏离参照，不确定度则量化在现有知识下结果可能处于的范围。三者属于不同概念。高重复性不代表无偏，模型测试误差很低也不代表参照标签准确。</w:t>
      </w:r>
    </w:p>
    <w:p>
      <w:r>
        <w:t>把“不确定度分解”用于“机理模型、数据模型和混合世界模型”时，在“机理模型、数据模型和混合世界模型”的语境下，不确定度应沿采样、制样、校准、仪器、预处理和模型逐步传播。对于线性关系可使用一阶误差传播，对于明显非线性或参数相关的系统可使用蒙特卡洛抽样。报告时应给出覆盖概率、区间构造方法和适用条件，而不是只给一个小数位很多的点估计。读图或读指标时应返回原始数据抽查，避免把表示空间中的几何关系直接当成化学机制。</w:t>
      </w:r>
    </w:p>
    <w:p>
      <w:pPr>
        <w:pStyle w:val="2"/>
      </w:pPr>
      <w:r>
        <w:t>18.5 潜空间滚动、模型预测控制与信息增益</w:t>
      </w:r>
    </w:p>
    <w:p>
      <w:r>
        <w:t>本节围绕“潜空间滚动、模型预测控制与信息增益”展开。分析对象是样品状态、仪器状态、动作与观测，核心不是罗列名词，而是说明候选动作序列、有限时域目标和约束、模型预测控制MPC、潜空间滚动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潜空间滚动、模型预测控制与信息增益”中，技术路线遵循“以机理—数据混合模型预测操作后果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为连续流反应器建立状态估计和滚动规划”落实到信息增益型实验规划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18.5.1 候选动作序列</w:t>
      </w:r>
    </w:p>
    <w:p>
      <w:r>
        <w:t>就“候选动作序列”而言，在“潜空间滚动、模型预测控制与信息增益”中，候选动作序列具体限定了样品状态、仪器状态、动作与观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候选动作序列”用于“潜空间滚动、模型预测控制与信息增益”时，本书用“为连续流反应器建立状态估计和滚动规划”检验候选动作序列。实现时遵循“以机理—数据混合模型预测操作后果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3"/>
      </w:pPr>
      <w:r>
        <w:t>18.5.2 有限时域目标和约束</w:t>
      </w:r>
    </w:p>
    <w:p>
      <w:r>
        <w:t>就“有限时域目标和约束”而言，在“潜空间滚动、模型预测控制与信息增益”中，有限时域目标和约束具体限定了样品状态、仪器状态、动作与观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有限时域目标和约束”用于“潜空间滚动、模型预测控制与信息增益”时，本书用“为连续流反应器建立状态估计和滚动规划”检验有限时域目标和约束。实现时遵循“以机理—数据混合模型预测操作后果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3"/>
      </w:pPr>
      <w:r>
        <w:t>18.5.3 模型预测控制MPC</w:t>
      </w:r>
    </w:p>
    <w:p>
      <w:r>
        <w:t>就“模型预测控制MPC”而言，围绕“模型预测控制MPC”，世界模型区分隐藏状态s、观测o、动作a和状态转移。观测只是状态经传感器投影后的结果，智能体需要根据历史观测估计当前状态，再预测候选动作的后果。卡尔曼滤波适合近似线性高斯系统，粒子滤波可表示非线性和多峰分布。</w:t>
      </w:r>
    </w:p>
    <w:p>
      <w:r>
        <w:t>把“模型预测控制MPC”用于“潜空间滚动、模型预测控制与信息增益”时，在“潜空间滚动、模型预测控制与信息增益”的语境下，MPC在模型中滚动多个动作序列，优化有限时域目标，只执行第一步后便用新观测重新规划。这样可限制长时预测误差。化学世界模型还应满足非负浓度、质量守恒、温压边界和设备约束，并在不确定性过高时请求真实测量。在真实项目中，还应保存参数、软件版本和输入校验结果，以便定位变化来自样品还是计算。</w:t>
      </w:r>
    </w:p>
    <w:p>
      <w:pPr>
        <w:pStyle w:val="3"/>
      </w:pPr>
      <w:r>
        <w:t>18.5.4 潜空间滚动</w:t>
      </w:r>
    </w:p>
    <w:p>
      <w:r>
        <w:t>就“潜空间滚动”而言，围绕“潜空间滚动”，世界模型区分隐藏状态s、观测o、动作a和状态转移。观测只是状态经传感器投影后的结果，智能体需要根据历史观测估计当前状态，再预测候选动作的后果。卡尔曼滤波适合近似线性高斯系统，粒子滤波可表示非线性和多峰分布。</w:t>
      </w:r>
    </w:p>
    <w:p>
      <w:r>
        <w:t>把“潜空间滚动”用于“潜空间滚动、模型预测控制与信息增益”时，在“潜空间滚动、模型预测控制与信息增益”的语境下，MPC在模型中滚动多个动作序列，优化有限时域目标，只执行第一步后便用新观测重新规划。这样可限制长时预测误差。化学世界模型还应满足非负浓度、质量守恒、温压边界和设备约束，并在不确定性过高时请求真实测量。若该步骤改变了样品单位、统计独立性或物理峰形，必须在独立数据上重新证明其有效性。</w:t>
      </w:r>
    </w:p>
    <w:p>
      <w:pPr>
        <w:pStyle w:val="3"/>
      </w:pPr>
      <w:r>
        <w:t>18.5.5 只执行首步与重新规划</w:t>
      </w:r>
    </w:p>
    <w:p>
      <w:r>
        <w:t>就“只执行首步与重新规划”而言，在“潜空间滚动、模型预测控制与信息增益”中，只执行首步与重新规划具体限定了样品状态、仪器状态、动作与观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只执行首步与重新规划”用于“潜空间滚动、模型预测控制与信息增益”时，本书用“为连续流反应器建立状态估计和滚动规划”检验只执行首步与重新规划。实现时遵循“以机理—数据混合模型预测操作后果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3"/>
      </w:pPr>
      <w:r>
        <w:t>18.5.6 信息增益型实验规划</w:t>
      </w:r>
    </w:p>
    <w:p>
      <w:r>
        <w:t>就“信息增益型实验规划”而言，在“潜空间滚动、模型预测控制与信息增益”中，信息增益型实验规划具体限定了样品状态、仪器状态、动作与观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信息增益型实验规划”用于“潜空间滚动、模型预测控制与信息增益”时，本书用“为连续流反应器建立状态估计和滚动规划”检验信息增益型实验规划。实现时遵循“以机理—数据混合模型预测操作后果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2"/>
      </w:pPr>
      <w:r>
        <w:t>18.6 虚拟实验、sim-to-real与不确定性触发测量</w:t>
      </w:r>
    </w:p>
    <w:p>
      <w:r>
        <w:t>本节围绕“虚拟实验、sim-to-real与不确定性触发测量”展开。分析对象是样品状态、仪器状态、动作与观测，核心不是罗列名词，而是说明虚拟实验和大规模筛选、仿真器偏差、域随机化和系统辨识、sim-to-real迁移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虚拟实验、sim-to-real与不确定性触发测量”中，技术路线遵循“以机理—数据混合模型预测操作后果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为连续流反应器建立状态估计和滚动规划”落实到现实测量触发条件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18.6.1 虚拟实验和大规模筛选</w:t>
      </w:r>
    </w:p>
    <w:p>
      <w:r>
        <w:t>就“虚拟实验和大规模筛选”而言，在“虚拟实验、sim-to-real与不确定性触发测量”中，虚拟实验和大规模筛选具体限定了样品状态、仪器状态、动作与观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虚拟实验和大规模筛选”用于“虚拟实验、sim-to-real与不确定性触发测量”时，本书用“为连续流反应器建立状态估计和滚动规划”检验虚拟实验和大规模筛选。实现时遵循“以机理—数据混合模型预测操作后果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3"/>
      </w:pPr>
      <w:r>
        <w:t>18.6.2 仿真器偏差</w:t>
      </w:r>
    </w:p>
    <w:p>
      <w:r>
        <w:t>就“仿真器偏差”而言，围绕“仿真器偏差”，随机误差反映重复测量的波动，系统偏差使结果稳定地偏离参照，不确定度则量化在现有知识下结果可能处于的范围。三者属于不同概念。高重复性不代表无偏，模型测试误差很低也不代表参照标签准确。</w:t>
      </w:r>
    </w:p>
    <w:p>
      <w:r>
        <w:t>把“仿真器偏差”用于“虚拟实验、sim-to-real与不确定性触发测量”时，在“虚拟实验、sim-to-real与不确定性触发测量”的语境下，不确定度应沿采样、制样、校准、仪器、预处理和模型逐步传播。对于线性关系可使用一阶误差传播，对于明显非线性或参数相关的系统可使用蒙特卡洛抽样。报告时应给出覆盖概率、区间构造方法和适用条件，而不是只给一个小数位很多的点估计。教学上应把该概念落实为可观察变量、可运行程序和可反驳检验三层。</w:t>
      </w:r>
    </w:p>
    <w:p>
      <w:pPr>
        <w:pStyle w:val="3"/>
      </w:pPr>
      <w:r>
        <w:t>18.6.3 域随机化和系统辨识</w:t>
      </w:r>
    </w:p>
    <w:p>
      <w:r>
        <w:t>就“域随机化和系统辨识”而言，在“虚拟实验、sim-to-real与不确定性触发测量”中，域随机化和系统辨识具体限定了样品状态、仪器状态、动作与观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域随机化和系统辨识”用于“虚拟实验、sim-to-real与不确定性触发测量”时，本书用“为连续流反应器建立状态估计和滚动规划”检验域随机化和系统辨识。实现时遵循“以机理—数据混合模型预测操作后果”，先建立经典基线，再对参数敏感性、独立样品和失败对象进行检查。若结果只能在同批数据或单次划分中成立，应把它视为探索性现象而非稳定规律。在真实项目中，还应保存参数、软件版本和输入校验结果，以便定位变化来自样品还是计算。</w:t>
      </w:r>
    </w:p>
    <w:p>
      <w:pPr>
        <w:pStyle w:val="3"/>
      </w:pPr>
      <w:r>
        <w:t>18.6.4 sim-to-real迁移</w:t>
      </w:r>
    </w:p>
    <w:p>
      <w:r>
        <w:t>就“sim-to-real迁移”而言，在“虚拟实验、sim-to-real与不确定性触发测量”中，sim-to-real迁移具体限定了样品状态、仪器状态、动作与观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sim-to-real迁移”用于“虚拟实验、sim-to-real与不确定性触发测量”时，本书用“为连续流反应器建立状态估计和滚动规划”检验sim-to-real迁移。实现时遵循“以机理—数据混合模型预测操作后果”，先建立经典基线，再对参数敏感性、独立样品和失败对象进行检查。若结果只能在同批数据或单次划分中成立，应把它视为探索性现象而非稳定规律。若该步骤改变了样品单位、统计独立性或物理峰形，必须在独立数据上重新证明其有效性。</w:t>
      </w:r>
    </w:p>
    <w:p>
      <w:pPr>
        <w:pStyle w:val="3"/>
      </w:pPr>
      <w:r>
        <w:t>18.6.5 现实测量触发条件</w:t>
      </w:r>
    </w:p>
    <w:p>
      <w:r>
        <w:t>就“现实测量触发条件”而言，在“虚拟实验、sim-to-real与不确定性触发测量”中，现实测量触发条件具体限定了样品状态、仪器状态、动作与观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现实测量触发条件”用于“虚拟实验、sim-to-real与不确定性触发测量”时，本书用“为连续流反应器建立状态估计和滚动规划”检验现实测量触发条件。实现时遵循“以机理—数据混合模型预测操作后果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2"/>
      </w:pPr>
      <w:r>
        <w:t>18.7 守恒、设备边界和长期模型更新</w:t>
      </w:r>
    </w:p>
    <w:p>
      <w:r>
        <w:t>本节围绕“守恒、设备边界和长期模型更新”展开。分析对象是样品状态、仪器状态、动作与观测，核心不是罗列名词，而是说明非负、守恒和设备边界、长时滚动误差、漂移监测和在线更新、模型版本、回退和再校准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守恒、设备边界和长期模型更新”中，技术路线遵循“以机理—数据混合模型预测操作后果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为连续流反应器建立状态估计和滚动规划”落实到跨实验室数字孪生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18.7.1 非负、守恒和设备边界</w:t>
      </w:r>
    </w:p>
    <w:p>
      <w:r>
        <w:t>就“非负、守恒和设备边界”而言，在“守恒、设备边界和长期模型更新”中，非负、守恒和设备边界具体限定了样品状态、仪器状态、动作与观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非负、守恒和设备边界”用于“守恒、设备边界和长期模型更新”时，本书用“为连续流反应器建立状态估计和滚动规划”检验非负、守恒和设备边界。实现时遵循“以机理—数据混合模型预测操作后果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3"/>
      </w:pPr>
      <w:r>
        <w:t>18.7.2 长时滚动误差</w:t>
      </w:r>
    </w:p>
    <w:p>
      <w:r>
        <w:t>就“长时滚动误差”而言，围绕“长时滚动误差”，随机误差反映重复测量的波动，系统偏差使结果稳定地偏离参照，不确定度则量化在现有知识下结果可能处于的范围。三者属于不同概念。高重复性不代表无偏，模型测试误差很低也不代表参照标签准确。</w:t>
      </w:r>
    </w:p>
    <w:p>
      <w:r>
        <w:t>把“长时滚动误差”用于“守恒、设备边界和长期模型更新”时，在“守恒、设备边界和长期模型更新”的语境下，不确定度应沿采样、制样、校准、仪器、预处理和模型逐步传播。对于线性关系可使用一阶误差传播，对于明显非线性或参数相关的系统可使用蒙特卡洛抽样。报告时应给出覆盖概率、区间构造方法和适用条件，而不是只给一个小数位很多的点估计。教学上应把该概念落实为可观察变量、可运行程序和可反驳检验三层。</w:t>
      </w:r>
    </w:p>
    <w:p>
      <w:pPr>
        <w:pStyle w:val="3"/>
      </w:pPr>
      <w:r>
        <w:t>18.7.3 漂移监测和在线更新</w:t>
      </w:r>
    </w:p>
    <w:p>
      <w:r>
        <w:t>就“漂移监测和在线更新”而言，漂移监测和在线更新要求测量时间尺度快于被研究过程的关键变化。采样、传质、仪器响应和数据处理都可能造成时间延迟；若响应时间与反应时间相当，记录到的曲线是系统动力学与仪器核的卷积。</w:t>
      </w:r>
    </w:p>
    <w:p>
      <w:r>
        <w:t>把“漂移监测和在线更新”用于“守恒、设备边界和长期模型更新”时，建模时应保存真实时间戳、同步误差和操作事件，避免把等间隔文件序号当作真实时间。对于在线控制，还要区分毫秒级设备反馈与分钟级科学决策，并用状态估计处理不可直接观察的化学状态。在真实项目中，还应保存参数、软件版本和输入校验结果，以便定位变化来自样品还是计算。</w:t>
      </w:r>
    </w:p>
    <w:p>
      <w:pPr>
        <w:pStyle w:val="3"/>
      </w:pPr>
      <w:r>
        <w:t>18.7.4 模型版本、回退和再校准</w:t>
      </w:r>
    </w:p>
    <w:p>
      <w:r>
        <w:t>就“模型版本、回退和再校准”而言，围绕“模型版本、回退和再校准”，精确率关注预测为阳性的样品中有多少真正阳性，召回率关注真正阳性中有多少被检出，F1是二者的调和平均。类别极不平衡时，PR曲线比ROC曲线更能反映少数类识别的实际难度。</w:t>
      </w:r>
    </w:p>
    <w:p>
      <w:r>
        <w:t>把“模型版本、回退和再校准”用于“守恒、设备边界和长期模型更新”时，在“守恒、设备边界和长期模型更新”的语境下，概率校准回答预测概率是否与实际发生率一致。Brier分数同时受到判别和校准影响；可靠性图可显示模型过度自信或过度保守。阈值应根据漏检和误报代价确定，而不是固定在0.5。若该步骤改变了样品单位、统计独立性或物理峰形，必须在独立数据上重新证明其有效性。</w:t>
      </w:r>
    </w:p>
    <w:p>
      <w:pPr>
        <w:pStyle w:val="3"/>
      </w:pPr>
      <w:r>
        <w:t>18.7.5 跨实验室数字孪生</w:t>
      </w:r>
    </w:p>
    <w:p>
      <w:r>
        <w:t>就“跨实验室数字孪生”而言，在“守恒、设备边界和长期模型更新”中，跨实验室数字孪生具体限定了样品状态、仪器状态、动作与观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跨实验室数字孪生”用于“守恒、设备边界和长期模型更新”时，本书用“为连续流反应器建立状态估计和滚动规划”检验跨实验室数字孪生。实现时遵循“以机理—数据混合模型预测操作后果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2"/>
      </w:pPr>
      <w:r>
        <w:t>18.8 机器科学家：提出假设、规划、执行和修正</w:t>
      </w:r>
    </w:p>
    <w:p>
      <w:r>
        <w:t>本节围绕“机器科学家：提出假设、规划、执行和修正”展开。分析对象是样品状态、仪器状态、动作与观测，核心不是罗列名词，而是说明假设生成与候选机制、判别实验规划、自动执行和证据更新、否定结果和模型修正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机器科学家：提出假设、规划、执行和修正”中，技术路线遵循“以机理—数据混合模型预测操作后果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为连续流反应器建立状态估计和滚动规划”落实到人机共同定义科学问题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18.8.1 假设生成与候选机制</w:t>
      </w:r>
    </w:p>
    <w:p>
      <w:r>
        <w:t>就“假设生成与候选机制”而言，假设生成与候选机制属于从观测反推对象的逆问题，常存在多解性。同一峰可由多个结构片段贡献，同一空间热点也可能受厚度、照明或离子抑制影响；因此模型输出首先是候选解释，而不是自动成立的机制。</w:t>
      </w:r>
    </w:p>
    <w:p>
      <w:r>
        <w:t>把“假设生成与候选机制”用于“机器科学家：提出假设、规划、执行和修正”时，可信解释需要至少一条独立证据链：改变实验条件观察可预测响应、使用互补仪器验证候选，或以标准物质复现特征。显著性图、注意力和SHAP可定位模型依赖，却不能替代干预和机理实验。最终报告需要给出适用范围和拒绝条件，使方法在证据不足时能够停止输出。</w:t>
      </w:r>
    </w:p>
    <w:p>
      <w:pPr>
        <w:pStyle w:val="3"/>
      </w:pPr>
      <w:r>
        <w:t>18.8.2 判别实验规划</w:t>
      </w:r>
    </w:p>
    <w:p>
      <w:r>
        <w:t>就“判别实验规划”而言，在“机器科学家：提出假设、规划、执行和修正”中，判别实验规划具体限定了样品状态、仪器状态、动作与观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判别实验规划”用于“机器科学家：提出假设、规划、执行和修正”时，本书用“为连续流反应器建立状态估计和滚动规划”检验判别实验规划。实现时遵循“以机理—数据混合模型预测操作后果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3"/>
      </w:pPr>
      <w:r>
        <w:t>18.8.3 自动执行和证据更新</w:t>
      </w:r>
    </w:p>
    <w:p>
      <w:r>
        <w:t>就“自动执行和证据更新”而言，在“机器科学家：提出假设、规划、执行和修正”中，自动执行和证据更新具体限定了样品状态、仪器状态、动作与观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自动执行和证据更新”用于“机器科学家：提出假设、规划、执行和修正”时，本书用“为连续流反应器建立状态估计和滚动规划”检验自动执行和证据更新。实现时遵循“以机理—数据混合模型预测操作后果”，先建立经典基线，再对参数敏感性、独立样品和失败对象进行检查。若结果只能在同批数据或单次划分中成立，应把它视为探索性现象而非稳定规律。在真实项目中，还应保存参数、软件版本和输入校验结果，以便定位变化来自样品还是计算。</w:t>
      </w:r>
    </w:p>
    <w:p>
      <w:pPr>
        <w:pStyle w:val="3"/>
      </w:pPr>
      <w:r>
        <w:t>18.8.4 否定结果和模型修正</w:t>
      </w:r>
    </w:p>
    <w:p>
      <w:r>
        <w:t>就“否定结果和模型修正”而言，在“机器科学家：提出假设、规划、执行和修正”中，否定结果和模型修正具体限定了样品状态、仪器状态、动作与观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否定结果和模型修正”用于“机器科学家：提出假设、规划、执行和修正”时，本书用“为连续流反应器建立状态估计和滚动规划”检验否定结果和模型修正。实现时遵循“以机理—数据混合模型预测操作后果”，先建立经典基线，再对参数敏感性、独立样品和失败对象进行检查。若结果只能在同批数据或单次划分中成立，应把它视为探索性现象而非稳定规律。若该步骤改变了样品单位、统计独立性或物理峰形，必须在独立数据上重新证明其有效性。</w:t>
      </w:r>
    </w:p>
    <w:p>
      <w:pPr>
        <w:pStyle w:val="3"/>
      </w:pPr>
      <w:r>
        <w:t>18.8.5 人机共同定义科学问题</w:t>
      </w:r>
    </w:p>
    <w:p>
      <w:r>
        <w:t>就“人机共同定义科学问题”而言，在“机器科学家：提出假设、规划、执行和修正”中，人机共同定义科学问题具体限定了样品状态、仪器状态、动作与观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人机共同定义科学问题”用于“机器科学家：提出假设、规划、执行和修正”时，本书用“为连续流反应器建立状态估计和滚动规划”检验人机共同定义科学问题。实现时遵循“以机理—数据混合模型预测操作后果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2"/>
      </w:pPr>
      <w:r>
        <w:t>18.9 开放问题与未来分析化学家的能力结构</w:t>
      </w:r>
    </w:p>
    <w:p>
      <w:r>
        <w:t>本节围绕“开放问题与未来分析化学家的能力结构”展开。分析对象是样品状态、仪器状态、动作与观测，核心不是罗列名词，而是说明智能仪器与自适应测量、多实验室协同世界模型、因果世界模型和机制发现、分析化学家的未来能力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开放问题与未来分析化学家的能力结构”中，技术路线遵循“以机理—数据混合模型预测操作后果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为连续流反应器建立状态估计和滚动规划”落实到仍未解决的科学与工程问题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18.9.1 智能仪器与自适应测量</w:t>
      </w:r>
    </w:p>
    <w:p>
      <w:r>
        <w:t>就“智能仪器与自适应测量”而言，在“开放问题与未来分析化学家的能力结构”中，智能仪器与自适应测量具体限定了样品状态、仪器状态、动作与观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智能仪器与自适应测量”用于“开放问题与未来分析化学家的能力结构”时，本书用“为连续流反应器建立状态估计和滚动规划”检验智能仪器与自适应测量。实现时遵循“以机理—数据混合模型预测操作后果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3"/>
      </w:pPr>
      <w:r>
        <w:t>18.9.2 多实验室协同世界模型</w:t>
      </w:r>
    </w:p>
    <w:p>
      <w:r>
        <w:t>就“多实验室协同世界模型”而言，在“开放问题与未来分析化学家的能力结构”中，多实验室协同世界模型具体限定了样品状态、仪器状态、动作与观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多实验室协同世界模型”用于“开放问题与未来分析化学家的能力结构”时，本书用“为连续流反应器建立状态估计和滚动规划”检验多实验室协同世界模型。实现时遵循“以机理—数据混合模型预测操作后果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3"/>
      </w:pPr>
      <w:r>
        <w:t>18.9.3 因果世界模型和机制发现</w:t>
      </w:r>
    </w:p>
    <w:p>
      <w:r>
        <w:t>就“因果世界模型和机制发现”而言，因果世界模型和机制发现属于从观测反推对象的逆问题，常存在多解性。同一峰可由多个结构片段贡献，同一空间热点也可能受厚度、照明或离子抑制影响；因此模型输出首先是候选解释，而不是自动成立的机制。</w:t>
      </w:r>
    </w:p>
    <w:p>
      <w:r>
        <w:t>把“因果世界模型和机制发现”用于“开放问题与未来分析化学家的能力结构”时，可信解释需要至少一条独立证据链：改变实验条件观察可预测响应、使用互补仪器验证候选，或以标准物质复现特征。显著性图、注意力和SHAP可定位模型依赖，却不能替代干预和机理实验。在真实项目中，还应保存参数、软件版本和输入校验结果，以便定位变化来自样品还是计算。</w:t>
      </w:r>
    </w:p>
    <w:p>
      <w:pPr>
        <w:pStyle w:val="3"/>
      </w:pPr>
      <w:r>
        <w:t>18.9.4 分析化学家的未来能力</w:t>
      </w:r>
    </w:p>
    <w:p>
      <w:r>
        <w:t>就“分析化学家的未来能力”而言，在“开放问题与未来分析化学家的能力结构”中，分析化学家的未来能力具体限定了样品状态、仪器状态、动作与观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分析化学家的未来能力”用于“开放问题与未来分析化学家的能力结构”时，本书用“为连续流反应器建立状态估计和滚动规划”检验分析化学家的未来能力。实现时遵循“以机理—数据混合模型预测操作后果”，先建立经典基线，再对参数敏感性、独立样品和失败对象进行检查。若结果只能在同批数据或单次划分中成立，应把它视为探索性现象而非稳定规律。若该步骤改变了样品单位、统计独立性或物理峰形，必须在独立数据上重新证明其有效性。</w:t>
      </w:r>
    </w:p>
    <w:p>
      <w:pPr>
        <w:pStyle w:val="3"/>
      </w:pPr>
      <w:r>
        <w:t>18.9.5 仍未解决的科学与工程问题</w:t>
      </w:r>
    </w:p>
    <w:p>
      <w:r>
        <w:t>就“仍未解决的科学与工程问题”而言，在“开放问题与未来分析化学家的能力结构”中，仍未解决的科学与工程问题具体限定了样品状态、仪器状态、动作与观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仍未解决的科学与工程问题”用于“开放问题与未来分析化学家的能力结构”时，本书用“为连续流反应器建立状态估计和滚动规划”检验仍未解决的科学与工程问题。实现时遵循“以机理—数据混合模型预测操作后果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2"/>
      </w:pPr>
      <w:r>
        <w:t>关键关系与计算抓手</w:t>
      </w:r>
    </w:p>
    <w:p>
      <w:pPr>
        <w:ind w:firstLine="0"/>
      </w:pPr>
      <w:r>
        <w:rPr>
          <w:b/>
          <w:color w:val="345A8A"/>
        </w:rPr>
        <w:t>（1）p(s_{t+1}|s_t,a_t)</w:t>
      </w:r>
    </w:p>
    <w:p>
      <w:pPr>
        <w:ind w:firstLine="0"/>
      </w:pPr>
      <w:r>
        <w:rPr>
          <w:b/>
          <w:color w:val="345A8A"/>
        </w:rPr>
        <w:t>（2）a*_{t:t+H}=argmin ΣJ(s,a)</w:t>
      </w:r>
    </w:p>
    <w:p>
      <w:pPr>
        <w:pStyle w:val="2"/>
      </w:pPr>
      <w:r>
        <w:t>本章综合案例</w:t>
      </w:r>
    </w:p>
    <w:p>
      <w:r>
        <w:t>本章案例为“为连续流反应器建立状态估计和滚动规划”。先冻结问题、样品单位、测量协议和独立测试边界，再建立可诊断的经典基线。新增模型组件必须解决已识别的误差来源，并通过相同测试集、消融和失败样本分析证明价值。</w:t>
      </w:r>
    </w:p>
    <w:p>
      <w:r>
        <w:t>案例交付物包括问题卡、数据字典、运行日志、关键图表、错误对象和可执行代码。模型给出的结构、机制或实验建议属于待验证假设，需由互补测量或后续干预确认。</w:t>
      </w:r>
    </w:p>
    <w:p>
      <w:pPr>
        <w:pStyle w:val="2"/>
      </w:pPr>
      <w:r>
        <w:t>代码实践</w:t>
      </w:r>
    </w:p>
    <w:p>
      <w:r>
        <w:t>建立连续流反应器简化世界模型，完成状态估计和滚动时域规划。</w:t>
      </w:r>
    </w:p>
    <w:p>
      <w:pPr>
        <w:pStyle w:val="CodeBlock"/>
        <w:spacing w:after="0"/>
        <w:ind w:firstLine="0"/>
      </w:pPr>
      <w:r>
        <w:t>"""第18章代码练习：世界模型、化学数字孪生与机器科学家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任务：建立连续流反应器简化世界模型，完成状态估计和滚动时域规划。</w:t>
      </w:r>
    </w:p>
    <w:p>
      <w:pPr>
        <w:pStyle w:val="CodeBlock"/>
        <w:spacing w:after="0"/>
        <w:ind w:firstLine="0"/>
      </w:pPr>
      <w:r>
        <w:t>运行方式：python chapter_exercise.py</w:t>
      </w:r>
    </w:p>
    <w:p>
      <w:pPr>
        <w:pStyle w:val="CodeBlock"/>
        <w:spacing w:after="0"/>
        <w:ind w:firstLine="0"/>
      </w:pPr>
      <w:r>
        <w:t>所有合成数据仅用于验证接口；换用真实数据时必须保留样品/批次分组。</w:t>
      </w:r>
    </w:p>
    <w:p>
      <w:pPr>
        <w:pStyle w:val="CodeBlock"/>
        <w:spacing w:after="0"/>
        <w:ind w:firstLine="0"/>
      </w:pPr>
      <w:r>
        <w:t>"""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import numpy as np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rng = np.random.default_rng(42)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def dynamics(state,action):</w:t>
      </w:r>
    </w:p>
    <w:p>
      <w:pPr>
        <w:pStyle w:val="CodeBlock"/>
        <w:spacing w:after="0"/>
        <w:ind w:firstLine="0"/>
      </w:pPr>
      <w:r>
        <w:t xml:space="preserve">    concentration,temp=state</w:t>
      </w:r>
    </w:p>
    <w:p>
      <w:pPr>
        <w:pStyle w:val="CodeBlock"/>
        <w:spacing w:after="0"/>
        <w:ind w:firstLine="0"/>
      </w:pPr>
      <w:r>
        <w:t xml:space="preserve">    return np.array([max(0,concentration-0.05*action), temp+0.2*action-0.1*(temp-25)])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# TODO 1: 用课程或开放数据替换合成输入，明确对象为温控连续流反应器的隐藏状态、传感观测和控制动作。</w:t>
      </w:r>
    </w:p>
    <w:p>
      <w:pPr>
        <w:pStyle w:val="CodeBlock"/>
        <w:spacing w:after="0"/>
        <w:ind w:firstLine="0"/>
      </w:pPr>
      <w:r>
        <w:t># TODO 2: 实现用未参与辨识的扰动轨迹检验多步预测，并与随机划分或默认流程对照。</w:t>
      </w:r>
    </w:p>
    <w:p>
      <w:pPr>
        <w:pStyle w:val="CodeBlock"/>
        <w:spacing w:after="0"/>
        <w:ind w:firstLine="0"/>
      </w:pPr>
      <w:r>
        <w:t># TODO 3: 输出分解状态估计误差、动力学失配和长时滚动漂移，据此判断能否在守恒和设备边界内执行滚动时域控制。</w:t>
      </w:r>
    </w:p>
    <w:p>
      <w:pPr>
        <w:pStyle w:val="2"/>
      </w:pPr>
      <w:r>
        <w:t>【本章小结】</w:t>
      </w:r>
    </w:p>
    <w:p>
      <w:r>
        <w:t>本章以样品状态、仪器状态、动作与观测为对象，把测量原理、数据表示、模型计算和分析决策连成完整链条。掌握本章的标准，不是记住模型名称，而是能够说明数据如何生成、结论怎样验证、方法在哪些条件下失效。</w:t>
      </w:r>
    </w:p>
    <w:p>
      <w:pPr>
        <w:pStyle w:val="2"/>
      </w:pPr>
      <w:r>
        <w:t>【思考题与计算题】</w:t>
      </w:r>
    </w:p>
    <w:p>
      <w:pPr>
        <w:ind w:firstLine="0"/>
      </w:pPr>
      <w:r>
        <w:t>1. 为“为连续流反应器建立状态估计和滚动规划”画出测量链并标出三处可能失真位置。</w:t>
      </w:r>
    </w:p>
    <w:p>
      <w:pPr>
        <w:ind w:firstLine="0"/>
      </w:pPr>
      <w:r>
        <w:t>2. 选择一个核心方法，写出输入、输出、参数、假设和两个失效条件。</w:t>
      </w:r>
    </w:p>
    <w:p>
      <w:pPr>
        <w:ind w:firstLine="0"/>
      </w:pPr>
      <w:r>
        <w:t>3. 建立经典基线，给出复杂模型必须超过的独立评价门槛。</w:t>
      </w:r>
    </w:p>
    <w:p>
      <w:pPr>
        <w:ind w:firstLine="0"/>
      </w:pPr>
      <w:r>
        <w:t>4. 设计符合未来使用条件的分组或外推划分，并与随机划分比较。</w:t>
      </w:r>
    </w:p>
    <w:p>
      <w:pPr>
        <w:ind w:firstLine="0"/>
      </w:pPr>
      <w:r>
        <w:t>5. 完成配套代码，增加一个单元测试和一个失败样本可视化。</w:t>
      </w:r>
    </w:p>
    <w:p>
      <w:pPr>
        <w:ind w:firstLine="0"/>
      </w:pPr>
      <w:r>
        <w:t>6. 设计能区分化学信息与批次捷径的对照实验。</w:t>
      </w:r>
    </w:p>
    <w:sectPr w:rsidR="00DF2813">
      <w:headerReference w:type="default" r:id="rId9"/>
      <w:footerReference w:type="default" r:id="rId10"/>
      <w:pgSz w:w="10488" w:h="14740"/>
      <w:pgMar w:top="1417" w:right="1247" w:bottom="1417" w:left="124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541C9A" w14:textId="77777777" w:rsidR="000B6296" w:rsidRDefault="000B6296">
      <w:pPr>
        <w:spacing w:after="0"/>
      </w:pPr>
      <w:r>
        <w:separator/>
      </w:r>
    </w:p>
  </w:endnote>
  <w:endnote w:type="continuationSeparator" w:id="0">
    <w:p w14:paraId="02E66D36" w14:textId="77777777" w:rsidR="000B6296" w:rsidRDefault="000B62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E3B54" w14:textId="77777777" w:rsidR="00DF2813" w:rsidRDefault="00DF281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AC7C5" w14:textId="486F403A" w:rsidR="00DF2813" w:rsidRDefault="000B6296">
    <w:pPr>
      <w:jc w:val="center"/>
    </w:pPr>
    <w:r/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71DDB" w14:textId="77777777" w:rsidR="000B6296" w:rsidRDefault="000B6296">
      <w:pPr>
        <w:spacing w:after="0"/>
      </w:pPr>
      <w:r>
        <w:separator/>
      </w:r>
    </w:p>
  </w:footnote>
  <w:footnote w:type="continuationSeparator" w:id="0">
    <w:p w14:paraId="10E87919" w14:textId="77777777" w:rsidR="000B6296" w:rsidRDefault="000B629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A9FA5" w14:textId="77777777" w:rsidR="00DF2813" w:rsidRDefault="00DF281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B503F" w14:textId="77777777" w:rsidR="00DF2813" w:rsidRDefault="000B6296">
    <w:pPr>
      <w:jc w:val="center"/>
    </w:pPr>
    <w:r>
      <w:t>智能分析化学 · 第18章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0000A991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2"/>
    <w:multiLevelType w:val="multilevel"/>
    <w:tmpl w:val="00A99412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3"/>
    <w:multiLevelType w:val="multilevel"/>
    <w:tmpl w:val="00A99413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6"/>
    <w:multiLevelType w:val="multilevel"/>
    <w:tmpl w:val="00A99416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7"/>
    <w:multiLevelType w:val="multilevel"/>
    <w:tmpl w:val="00A99417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9"/>
    <w:multiLevelType w:val="multilevel"/>
    <w:tmpl w:val="00A99419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A994110"/>
    <w:multiLevelType w:val="multilevel"/>
    <w:tmpl w:val="0A994110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8" w15:restartNumberingAfterBreak="0">
    <w:nsid w:val="0A994111"/>
    <w:multiLevelType w:val="multilevel"/>
    <w:tmpl w:val="0A994111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" w15:restartNumberingAfterBreak="0">
    <w:nsid w:val="0A994113"/>
    <w:multiLevelType w:val="multilevel"/>
    <w:tmpl w:val="0A994113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4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5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2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6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0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4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8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5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6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64">
    <w:abstractNumId w:val="9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70">
    <w:abstractNumId w:val="8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75">
    <w:abstractNumId w:val="8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79">
    <w:abstractNumId w:val="8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2813"/>
    <w:rsid w:val="000B6296"/>
    <w:rsid w:val="003208BF"/>
    <w:rsid w:val="00DF2813"/>
    <w:rsid w:val="06A724A7"/>
    <w:rsid w:val="192E7DCB"/>
    <w:rsid w:val="3C4076A1"/>
    <w:rsid w:val="60143417"/>
    <w:rsid w:val="629F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B6579"/>
  <w15:docId w15:val="{205839D2-68C0-46F1-AD46-0C8BD5521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footnote reference" w:qFormat="1"/>
    <w:lsdException w:name="Title" w:qFormat="1"/>
    <w:lsdException w:name="Default Paragraph Font" w:semiHidden="1" w:unhideWhenUsed="1"/>
    <w:lsdException w:name="Body Text" w:qFormat="1"/>
    <w:lsdException w:name="Subtitle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20" w:line="324" w:lineRule="auto"/>
      <w:ind w:firstLine="460"/>
    </w:pPr>
    <w:rPr>
      <w:rFonts w:eastAsiaTheme="minorHAnsi" w:ascii="Arial Unicode MS" w:hAnsi="Arial Unicode MS" w:eastAsia="Arial Unicode MS" w:cs="Arial Unicode MS"/>
      <w:sz w:val="23"/>
      <w:szCs w:val="24"/>
      <w:lang w:eastAsia="en-US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/>
      <w:sz w:val="24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 Unicode MS" w:hAnsi="Arial Unicode MS" w:eastAsia="Arial Unicode MS" w:cs="Arial Unicode MS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 Unicode MS" w:hAnsi="Arial Unicode MS" w:eastAsia="Arial Unicode MS" w:cs="Arial Unicode MS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character" w:default="1" w:styleId="a1">
    <w:name w:val="Default Paragraph Font"/>
    <w:uiPriority w:val="1"/>
    <w:semiHidden/>
    <w:unhideWhenUsed/>
    <w:rPr>
      <w:rFonts w:ascii="Arial Unicode MS" w:hAnsi="Arial Unicode MS" w:eastAsia="Arial Unicode MS" w:cs="Arial Unicode MS"/>
    </w:rPr>
  </w:style>
  <w:style w:type="table" w:default="1" w:styleId="a2">
    <w:name w:val="Normal Table"/>
    <w:uiPriority w:val="99"/>
    <w:semiHidden/>
    <w:unhideWhenUsed/>
    <w:rPr>
      <w:rFonts w:ascii="Arial Unicode MS" w:hAnsi="Arial Unicode MS" w:eastAsia="Arial Unicode MS" w:cs="Arial Unicode M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  <w:rPr>
      <w:rFonts w:ascii="Arial Unicode MS" w:hAnsi="Arial Unicode MS" w:eastAsia="Arial Unicode MS" w:cs="Arial Unicode MS"/>
    </w:rPr>
  </w:style>
  <w:style w:type="paragraph" w:styleId="a5">
    <w:name w:val="caption"/>
    <w:basedOn w:val="a"/>
    <w:pPr>
      <w:spacing w:after="120"/>
    </w:pPr>
    <w:rPr>
      <w:rFonts w:ascii="Arial Unicode MS" w:hAnsi="Arial Unicode MS" w:eastAsia="Arial Unicode MS" w:cs="Arial Unicode MS"/>
      <w:i/>
    </w:r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  <w:ind w:left="480" w:right="480"/>
    </w:pPr>
    <w:rPr>
      <w:rFonts w:ascii="Arial Unicode MS" w:hAnsi="Arial Unicode MS" w:eastAsia="Arial Unicode MS" w:cs="Arial Unicode MS"/>
    </w:rPr>
  </w:style>
  <w:style w:type="paragraph" w:styleId="a7">
    <w:name w:val="Date"/>
    <w:next w:val="a0"/>
    <w:qFormat/>
    <w:pPr>
      <w:keepNext/>
      <w:keepLines/>
      <w:spacing w:after="200"/>
      <w:jc w:val="center"/>
    </w:pPr>
    <w:rPr>
      <w:rFonts w:eastAsiaTheme="minorHAnsi" w:ascii="Arial Unicode MS" w:hAnsi="Arial Unicode MS" w:eastAsia="Arial Unicode MS" w:cs="Arial Unicode MS"/>
      <w:sz w:val="24"/>
      <w:szCs w:val="24"/>
      <w:lang w:eastAsia="en-US"/>
    </w:rPr>
  </w:style>
  <w:style w:type="paragraph" w:styleId="a8">
    <w:name w:val="Subtitle"/>
    <w:basedOn w:val="a9"/>
    <w:next w:val="a0"/>
    <w:qFormat/>
    <w:pPr>
      <w:spacing w:before="240"/>
    </w:pPr>
    <w:rPr>
      <w:rFonts w:ascii="Arial Unicode MS" w:hAnsi="Arial Unicode MS" w:eastAsia="Arial Unicode MS" w:cs="Arial Unicode MS"/>
      <w:sz w:val="30"/>
      <w:szCs w:val="30"/>
    </w:rPr>
  </w:style>
  <w:style w:type="paragraph" w:styleId="a9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345A8A"/>
      <w:sz w:val="36"/>
      <w:szCs w:val="36"/>
    </w:rPr>
  </w:style>
  <w:style w:type="paragraph" w:styleId="aa">
    <w:name w:val="footnote text"/>
    <w:basedOn w:val="a"/>
    <w:uiPriority w:val="9"/>
    <w:unhideWhenUsed/>
    <w:qFormat/>
    <w:rPr>
      <w:rFonts w:ascii="Arial Unicode MS" w:hAnsi="Arial Unicode MS" w:eastAsia="Arial Unicode MS" w:cs="Arial Unicode MS"/>
    </w:rPr>
  </w:style>
  <w:style w:type="character" w:styleId="ab">
    <w:name w:val="Hyperlink"/>
    <w:basedOn w:val="a4"/>
    <w:qFormat/>
    <w:rPr>
      <w:rFonts w:ascii="Arial Unicode MS" w:hAnsi="Arial Unicode MS" w:eastAsia="Arial Unicode MS" w:cs="Arial Unicode MS"/>
      <w:color w:val="4F81BD" w:themeColor="accent1"/>
    </w:rPr>
  </w:style>
  <w:style w:type="character" w:customStyle="1" w:styleId="a4">
    <w:name w:val="正文文本 字符"/>
    <w:basedOn w:val="a1"/>
    <w:link w:val="a0"/>
    <w:qFormat/>
    <w:rPr>
      <w:rFonts w:ascii="Arial Unicode MS" w:hAnsi="Arial Unicode MS" w:eastAsia="Arial Unicode MS" w:cs="Arial Unicode MS"/>
    </w:rPr>
  </w:style>
  <w:style w:type="character" w:styleId="ac">
    <w:name w:val="footnote reference"/>
    <w:basedOn w:val="a4"/>
    <w:qFormat/>
    <w:rPr>
      <w:rFonts w:ascii="Arial Unicode MS" w:hAnsi="Arial Unicode MS" w:eastAsia="Arial Unicode MS" w:cs="Arial Unicode MS"/>
      <w:vertAlign w:val="superscript"/>
    </w:rPr>
  </w:style>
  <w:style w:type="paragraph" w:customStyle="1" w:styleId="FirstParagraph">
    <w:name w:val="First Paragraph"/>
    <w:basedOn w:val="a0"/>
    <w:next w:val="a0"/>
    <w:qFormat/>
    <w:rPr>
      <w:rFonts w:ascii="Arial Unicode MS" w:hAnsi="Arial Unicode MS" w:eastAsia="Arial Unicode MS" w:cs="Arial Unicode MS"/>
    </w:rPr>
  </w:style>
  <w:style w:type="paragraph" w:customStyle="1" w:styleId="Compact">
    <w:name w:val="Compact"/>
    <w:basedOn w:val="a0"/>
    <w:qFormat/>
    <w:pPr>
      <w:spacing w:before="36" w:after="36"/>
    </w:pPr>
    <w:rPr>
      <w:rFonts w:ascii="Arial Unicode MS" w:hAnsi="Arial Unicode MS" w:eastAsia="Arial Unicode MS" w:cs="Arial Unicode MS"/>
    </w:r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rFonts w:eastAsiaTheme="minorHAnsi" w:ascii="Arial Unicode MS" w:hAnsi="Arial Unicode MS" w:eastAsia="Arial Unicode MS" w:cs="Arial Unicode MS"/>
      <w:sz w:val="24"/>
      <w:szCs w:val="24"/>
      <w:lang w:eastAsia="en-US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rFonts w:ascii="Arial Unicode MS" w:hAnsi="Arial Unicode MS" w:eastAsia="Arial Unicode MS" w:cs="Arial Unicode MS"/>
      <w:sz w:val="20"/>
      <w:szCs w:val="20"/>
    </w:rPr>
  </w:style>
  <w:style w:type="paragraph" w:customStyle="1" w:styleId="10">
    <w:name w:val="书目1"/>
    <w:basedOn w:val="a"/>
    <w:qFormat/>
    <w:rPr>
      <w:rFonts w:ascii="Arial Unicode MS" w:hAnsi="Arial Unicode MS" w:eastAsia="Arial Unicode MS" w:cs="Arial Unicode MS"/>
    </w:rPr>
  </w:style>
  <w:style w:type="table" w:customStyle="1" w:styleId="Table">
    <w:name w:val="Table"/>
    <w:semiHidden/>
    <w:unhideWhenUsed/>
    <w:qFormat/>
    <w:rPr>
      <w:rFonts w:ascii="Arial Unicode MS" w:hAnsi="Arial Unicode MS" w:eastAsia="Arial Unicode MS" w:cs="Arial Unicode MS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rFonts w:ascii="Arial Unicode MS" w:hAnsi="Arial Unicode MS" w:eastAsia="Arial Unicode MS" w:cs="Arial Unicode MS"/>
      <w:b/>
    </w:rPr>
  </w:style>
  <w:style w:type="paragraph" w:customStyle="1" w:styleId="Definition">
    <w:name w:val="Definition"/>
    <w:basedOn w:val="a"/>
    <w:rPr>
      <w:rFonts w:ascii="Arial Unicode MS" w:hAnsi="Arial Unicode MS" w:eastAsia="Arial Unicode MS" w:cs="Arial Unicode MS"/>
    </w:rPr>
  </w:style>
  <w:style w:type="paragraph" w:customStyle="1" w:styleId="TableCaption">
    <w:name w:val="Table Caption"/>
    <w:basedOn w:val="a5"/>
    <w:qFormat/>
    <w:pPr>
      <w:keepNext/>
    </w:pPr>
    <w:rPr>
      <w:rFonts w:ascii="Arial Unicode MS" w:hAnsi="Arial Unicode MS" w:eastAsia="Arial Unicode MS" w:cs="Arial Unicode MS"/>
    </w:rPr>
  </w:style>
  <w:style w:type="paragraph" w:customStyle="1" w:styleId="ImageCaption">
    <w:name w:val="Image Caption"/>
    <w:basedOn w:val="a5"/>
    <w:qFormat/>
    <w:rPr>
      <w:rFonts w:ascii="Arial Unicode MS" w:hAnsi="Arial Unicode MS" w:eastAsia="Arial Unicode MS" w:cs="Arial Unicode MS"/>
    </w:rPr>
  </w:style>
  <w:style w:type="paragraph" w:customStyle="1" w:styleId="Figure">
    <w:name w:val="Figure"/>
    <w:basedOn w:val="a"/>
    <w:qFormat/>
    <w:rPr>
      <w:rFonts w:ascii="Arial Unicode MS" w:hAnsi="Arial Unicode MS" w:eastAsia="Arial Unicode MS" w:cs="Arial Unicode MS"/>
    </w:rPr>
  </w:style>
  <w:style w:type="paragraph" w:customStyle="1" w:styleId="CaptionedFigure">
    <w:name w:val="Captioned Figure"/>
    <w:basedOn w:val="Figure"/>
    <w:qFormat/>
    <w:pPr>
      <w:keepNext/>
    </w:pPr>
    <w:rPr>
      <w:rFonts w:ascii="Arial Unicode MS" w:hAnsi="Arial Unicode MS" w:eastAsia="Arial Unicode MS" w:cs="Arial Unicode MS"/>
    </w:rPr>
  </w:style>
  <w:style w:type="character" w:customStyle="1" w:styleId="VerbatimChar">
    <w:name w:val="Verbatim Char"/>
    <w:basedOn w:val="a4"/>
    <w:link w:val="SourceCode"/>
    <w:qFormat/>
    <w:rPr>
      <w:rFonts w:ascii="Arial Unicode MS" w:hAnsi="Arial Unicode MS" w:eastAsia="Arial Unicode MS" w:cs="Arial Unicode MS"/>
      <w:sz w:val="22"/>
    </w:rPr>
  </w:style>
  <w:style w:type="paragraph" w:customStyle="1" w:styleId="SourceCode">
    <w:name w:val="Source Code"/>
    <w:basedOn w:val="a"/>
    <w:link w:val="VerbatimChar"/>
    <w:qFormat/>
    <w:pPr>
      <w:shd w:val="clear" w:color="auto" w:fill="F8F8F8"/>
      <w:wordWrap w:val="0"/>
    </w:pPr>
    <w:rPr>
      <w:rFonts w:ascii="Arial Unicode MS" w:hAnsi="Arial Unicode MS" w:eastAsia="Arial Unicode MS" w:cs="Arial Unicode MS"/>
    </w:rPr>
  </w:style>
  <w:style w:type="character" w:customStyle="1" w:styleId="SectionNumber">
    <w:name w:val="Section Number"/>
    <w:basedOn w:val="a4"/>
    <w:qFormat/>
    <w:rPr>
      <w:rFonts w:ascii="Arial Unicode MS" w:hAnsi="Arial Unicode MS" w:eastAsia="Arial Unicode MS" w:cs="Arial Unicode MS"/>
    </w:rPr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="Arial Unicode MS" w:hAnsi="Arial Unicode MS" w:eastAsia="Arial Unicode MS" w:cs="Arial Unicode MS"/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qFormat/>
    <w:rPr>
      <w:rFonts w:ascii="Arial Unicode MS" w:hAnsi="Arial Unicode MS" w:eastAsia="Arial Unicode MS" w:cs="Arial Unicode M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qFormat/>
    <w:rPr>
      <w:rFonts w:ascii="Arial Unicode MS" w:hAnsi="Arial Unicode MS" w:eastAsia="Arial Unicode MS" w:cs="Arial Unicode M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qFormat/>
    <w:rPr>
      <w:rFonts w:ascii="Arial Unicode MS" w:hAnsi="Arial Unicode MS" w:eastAsia="Arial Unicode MS" w:cs="Arial Unicode M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qFormat/>
    <w:rPr>
      <w:rFonts w:ascii="Arial Unicode MS" w:hAnsi="Arial Unicode MS" w:eastAsia="Arial Unicode MS" w:cs="Arial Unicode M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qFormat/>
    <w:rPr>
      <w:rFonts w:ascii="Arial Unicode MS" w:hAnsi="Arial Unicode MS" w:eastAsia="Arial Unicode MS" w:cs="Arial Unicode M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qFormat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qFormat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qFormat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CommentTok">
    <w:name w:val="CommentTok"/>
    <w:basedOn w:val="VerbatimChar"/>
    <w:qFormat/>
    <w:rPr>
      <w:rFonts w:ascii="Arial Unicode MS" w:hAnsi="Arial Unicode MS" w:eastAsia="Arial Unicode MS" w:cs="Arial Unicode M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qFormat/>
    <w:rPr>
      <w:rFonts w:ascii="Arial Unicode MS" w:hAnsi="Arial Unicode MS" w:eastAsia="Arial Unicode MS" w:cs="Arial Unicode M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qFormat/>
    <w:rPr>
      <w:rFonts w:ascii="Arial Unicode MS" w:hAnsi="Arial Unicode MS" w:eastAsia="Arial Unicode MS" w:cs="Arial Unicode M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qFormat/>
    <w:rPr>
      <w:rFonts w:ascii="Arial Unicode MS" w:hAnsi="Arial Unicode MS" w:eastAsia="Arial Unicode MS" w:cs="Arial Unicode M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ExtensionTok">
    <w:name w:val="Extension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PreprocessorTok">
    <w:name w:val="PreprocessorTok"/>
    <w:basedOn w:val="VerbatimChar"/>
    <w:qFormat/>
    <w:rPr>
      <w:rFonts w:ascii="Arial Unicode MS" w:hAnsi="Arial Unicode MS" w:eastAsia="Arial Unicode MS" w:cs="Arial Unicode M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qFormat/>
    <w:rPr>
      <w:rFonts w:ascii="Arial Unicode MS" w:hAnsi="Arial Unicode MS" w:eastAsia="Arial Unicode MS" w:cs="Arial Unicode M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InformationTok">
    <w:name w:val="Information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qFormat/>
    <w:rPr>
      <w:rFonts w:ascii="Arial Unicode MS" w:hAnsi="Arial Unicode MS" w:eastAsia="Arial Unicode MS" w:cs="Arial Unicode M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qFormat/>
    <w:rPr>
      <w:rFonts w:ascii="Arial Unicode MS" w:hAnsi="Arial Unicode MS" w:eastAsia="Arial Unicode MS" w:cs="Arial Unicode M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paragraph" w:customStyle="1" w:styleId="CodeBlock">
    <w:name w:val="Code Block"/>
    <w:pPr>
      <w:spacing w:line="240" w:lineRule="auto"/>
      <w:ind w:firstLine="0" w:left="283"/>
      <w:shd w:fill="F2F2F2"/>
    </w:pPr>
    <w:rPr>
      <w:rFonts w:ascii="Menlo" w:hAnsi="Menlo" w:eastAsia="Menlo" w:cs="Menl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497</Pages>
  <Words>78486</Words>
  <Characters>447373</Characters>
  <Application>Microsoft Office Word</Application>
  <DocSecurity>0</DocSecurity>
  <Lines>3728</Lines>
  <Paragraphs>1049</Paragraphs>
  <ScaleCrop>false</ScaleCrop>
  <Company/>
  <LinksUpToDate>false</LinksUpToDate>
  <CharactersWithSpaces>524810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2026-05-06T14:15:00Z</dcterms:created>
  <dcterms:modified xsi:type="dcterms:W3CDTF">2026-05-07T01:22:00Z</dcterms:modified>
  <dc:title>第18章 世界模型、化学数字孪生与机器科学家</dc:title>
  <dc:subject>《智能分析化学》出版内容初稿v2.2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eyJoZGlkIjoiMDljYzUzMWQ4OWI0YzBkYjYzMDRhZTY5ZjZkYmFmYTgiLCJ1c2VySWQiOiIzNDY3ODI5MDMifQ==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74DB65D882BD4BF7A9A58B5557D771E8_12</vt:lpwstr>
  </property>
</Properties>
</file>