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200000"/>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200000"/>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r>
        <w:t>Experiment Spec: Cross-Runtime Turn Efficiency (Codex vs. Claude Code)</w:t>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Claude and Codex telemetry on context caching, instruction overhead, and multi-agent fan-out</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 xml:space="preserve">Prepared from Claude Code investigation</w:t>
            </w:r>
          </w:p>
          <w:p w14:paraId="00000007">
            <w:pPr>
              <w:spacing w:after="0" w:line="240" w:lineRule="auto"/>
              <w:rPr>
                <w:color w:val="666666"/>
              </w:rPr>
            </w:pPr>
            <w:r>
              <w:rPr>
                <w:color w:val="666666"/>
                <w:rtl w:val="0"/>
              </w:rPr>
              <w:t xml:space="preserve">August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1200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2</w:t>
            </w:r>
          </w:hyperlink>
          <w:r>
            <w:rPr>
              <w:rtl w:val="0"/>
            </w:rPr>
          </w:r>
        </w:p>
        <w:p w14:paraId="0000000C">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2</w:t>
            </w:r>
          </w:hyperlink>
          <w:r>
            <w:rPr>
              <w:rtl w:val="0"/>
            </w:rPr>
          </w:r>
        </w:p>
        <w:p w14:paraId="0000000D">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Introduction</w:t>
              <w:tab/>
              <w:t xml:space="preserve">2</w:t>
            </w:r>
          </w:hyperlink>
          <w:r>
            <w:rPr>
              <w:rtl w:val="0"/>
            </w:rPr>
          </w:r>
        </w:p>
        <w:p w14:paraId="0000000E">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3</w:t>
            </w:r>
          </w:hyperlink>
          <w:r>
            <w:rPr>
              <w:rtl w:val="0"/>
            </w:rPr>
          </w:r>
        </w:p>
        <w:p w14:paraId="0000000F">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Context and conditions</w:t>
              <w:tab/>
              <w:t xml:space="preserve">3</w:t>
            </w:r>
          </w:hyperlink>
          <w:r>
            <w:rPr>
              <w:rtl w:val="0"/>
            </w:rPr>
          </w:r>
        </w:p>
        <w:p w14:paraId="00000010">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Patterns in the evidence</w:t>
              <w:tab/>
              <w:t xml:space="preserve">3</w:t>
            </w:r>
          </w:hyperlink>
          <w:r>
            <w:rPr>
              <w:rtl w:val="0"/>
            </w:rPr>
          </w:r>
        </w:p>
        <w:p w14:paraId="00000011">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Implications</w:t>
              <w:tab/>
              <w:t xml:space="preserve">4</w:t>
            </w:r>
          </w:hyperlink>
          <w:r>
            <w:rPr>
              <w:rtl w:val="0"/>
            </w:rPr>
          </w:r>
        </w:p>
        <w:p w14:paraId="00000012">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5</w:t>
            </w:r>
          </w:hyperlink>
          <w:r>
            <w:rPr>
              <w:rtl w:val="0"/>
            </w:rPr>
          </w:r>
        </w:p>
        <w:p w14:paraId="00000013">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Conclusion</w:t>
              <w:tab/>
              <w:t xml:space="preserve">5</w:t>
            </w:r>
          </w:hyperlink>
          <w:r>
            <w:rPr>
              <w:rtl w:val="0"/>
            </w:rPr>
          </w:r>
        </w:p>
        <w:p w14:paraId="00000014">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6</w:t>
            </w:r>
          </w:hyperlink>
          <w:r>
            <w:rPr>
              <w:rtl w:val="0"/>
            </w:rPr>
          </w:r>
        </w:p>
        <w:p w14:paraId="00000015">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Notes</w:t>
              <w:tab/>
              <w:t xml:space="preserve">6</w:t>
            </w:r>
          </w:hyperlink>
          <w:r>
            <w:rPr>
              <w:rtl w:val="0"/>
            </w:rPr>
          </w:r>
        </w:p>
        <w:p w14:paraId="00000016">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My Interpretation</w:t>
              <w:tab/>
              <w:t xml:space="preserve">7</w:t>
            </w:r>
          </w:hyperlink>
          <w:r>
            <w:rPr>
              <w:rtl w:val="0"/>
            </w:rPr>
          </w:r>
          <w:r>
            <w:fldChar w:fldCharType="end"/>
          </w:r>
        </w:p>
      </w:sdtContent>
    </w:sdt>
    <w:bookmarkStart w:colFirst="0" w:colLast="0" w:name="bookmark=id.i23wo83gyh7m" w:id="1"/>
    <w:bookmarkEnd w:id="1"/>
    <w:p w14:paraId="00000017">
      <w:pPr>
        <w:pStyle w:val="Heading1"/>
        <w:pageBreakBefore w:val="1"/>
        <w:rPr/>
      </w:pPr>
      <w:r>
        <w:rPr>
          <w:rtl w:val="0"/>
        </w:rPr>
        <w:t xml:space="preserve">Executive summary</w:t>
      </w:r>
    </w:p>
    <w:p w14:paraId="00000018">
      <w:pPr>
        <w:rPr/>
      </w:pPr>
      <w:r>
        <w:t>This draft packages the experiment into a reviewable design report. The core question is whether Codex or Claude Code becomes slow because of prompt size, context growth, cache behavior, request count, or multi-agent fan-out. The spec should make those measurements comparable before we run the main experiment.</w:t>
      </w:r>
    </w:p>
    <w:p w14:paraId="00000019">
      <w:pPr>
        <w:rPr/>
      </w:pPr>
      <w:r>
        <w:t>The intended control points are simple: use transcript-level sources of truth, a fixed prompt set, fresh sessions per trial, and a small metric set that captures turn latency, context growth, cache mix, round-trip count, and child-branch fan-out without widening scope midstream.</w:t>
      </w:r>
    </w:p>
    <w:bookmarkStart w:colFirst="0" w:colLast="0" w:name="bookmark=id.1sqjewf8afxt" w:id="2"/>
    <w:bookmarkEnd w:id="2"/>
    <w:p w14:paraId="0000001A">
      <w:pPr>
        <w:pStyle w:val="Heading2"/>
        <w:rPr/>
      </w:pPr>
      <w:r>
        <w:rPr>
          <w:rtl w:val="0"/>
        </w:rPr>
        <w:t xml:space="preserve">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Primary metrics: turn wall-clock latency, context growth, cache composition, requests per turn, tool/subagent calls, and fan-out.</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Primary sources: Claude session `.jsonl` transcripts and Codex `rollout-*.jsonl` transcripts; `~/.codex/logs_2.sqlite` stays supporting-only.</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Primary design choice: resolve the turn boundary, then decide whether cold-cache or warm-cache trials are the headline condition.</w:t>
      </w:r>
    </w:p>
    <w:bookmarkStart w:colFirst="0" w:colLast="0" w:name="bookmark=id.4t4jj91ycfx" w:id="3"/>
    <w:bookmarkEnd w:id="3"/>
    <w:p w14:paraId="0000001E">
      <w:pPr>
        <w:pStyle w:val="Heading2"/>
        <w:rPr/>
      </w:pPr>
      <w:r>
        <w:rPr>
          <w:rtl w:val="0"/>
        </w:rPr>
        <w:t xml:space="preserve">Introduction</w:t>
      </w:r>
    </w:p>
    <w:p w14:paraId="0000001F">
      <w:pPr>
        <w:rPr/>
      </w:pPr>
      <w:r>
        <w:t>This experiment is meant to compare turn efficiency across Claude Code and Codex with the same repo, the same prompts, and the same completion criteria. The goal is not to optimize one isolated metric, but to understand which runtime behaviors actually drive wall-clock delay as the task gets harder.</w:t>
      </w:r>
    </w:p>
    <w:p w14:paraId="00000020">
      <w:pPr>
        <w:rPr/>
      </w:pPr>
      <w:r>
        <w:t>The current measurement confusion came from mixing transcript sources and from relying on a rotating log sink as if it were the transcript itself. The rerun needs a stable experiment definition first so the results can answer the same question each time.</w:t>
      </w:r>
    </w:p>
    <w:bookmarkStart w:colFirst="0" w:colLast="0" w:name="bookmark=id.xx7bxdemqiq" w:id="4"/>
    <w:bookmarkEnd w:id="4"/>
    <w:p w14:paraId="00000021">
      <w:pPr>
        <w:pStyle w:val="Heading1"/>
        <w:pageBreakBefore w:val="1"/>
        <w:rPr/>
      </w:pPr>
      <w:r>
        <w:rPr>
          <w:rtl w:val="0"/>
        </w:rPr>
        <w:t xml:space="preserve">Key findings</w:t>
      </w:r>
    </w:p>
    <w:p w14:paraId="00000022">
      <w:pPr>
        <w:rPr/>
      </w:pPr>
      <w:r>
        <w:t>Claude Code: use `~/.claude/projects/&lt;repo-slug&gt;/*.jsonl` as the transcript source. Measure per-request token usage, turn boundaries, and wall-clock timing from submit to final visible output.</w:t>
      </w:r>
    </w:p>
    <w:p w14:paraId="00000023">
      <w:pPr>
        <w:pStyle w:val="Heading2"/>
        <w:rPr/>
      </w:pPr>
      <w:r>
        <w:rPr>
          <w:rtl w:val="0"/>
        </w:rPr>
        <w:t xml:space="preserve">Context and conditions</w:t>
      </w:r>
    </w:p>
    <w:p w14:paraId="00000024">
      <w:pPr>
        <w:rPr/>
      </w:pPr>
      <w:r>
        <w:t>Codex: use `~/.codex/sessions/**/rollout-*.jsonl` filtered to the repo cwd as the transcript source. Treat `~/.codex/logs_2.sqlite` as supporting telemetry only because it rotates and can drop records.</w:t>
      </w:r>
    </w:p>
    <w:p w14:paraId="00000025">
      <w:pPr>
        <w:pStyle w:val="Heading2"/>
        <w:rPr/>
      </w:pPr>
      <w:r>
        <w:rPr>
          <w:rtl w:val="0"/>
        </w:rPr>
        <w:t xml:space="preserve">Patterns in the evidence</w:t>
      </w:r>
    </w:p>
    <w:p w14:paraId="00000026">
      <w:pPr>
        <w:rPr/>
      </w:pPr>
      <w:r>
        <w:t>The trial set should stay small enough to rerun often: a read-only Q&amp;A, a bounded edit, a multi-file or skill-invoking task, and a fan-out task. Each task should run in fresh sessions, with the model and effort pinned for the entire batch.</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t>Key takeaway. The experiment should isolate turn cost as a combination of round-trips, context size, and fan-out. That means we need a stable prompt set, a stable source of truth, and a consistent turn boundary before comparing runtimes.</w:t>
      </w:r>
    </w:p>
    <w:p w14:paraId="00000029">
      <w:pPr>
        <w:pStyle w:val="Heading2"/>
        <w:rPr/>
      </w:pPr>
      <w:r>
        <w:rPr>
          <w:rtl w:val="0"/>
        </w:rPr>
      </w:r>
    </w:p>
    <w:bookmarkStart w:colFirst="0" w:colLast="0" w:name="bookmark=id.suv0vlq0gz4r" w:id="5"/>
    <w:bookmarkEnd w:id="5"/>
    <w:p w14:paraId="0000002A">
      <w:pPr>
        <w:pStyle w:val="Heading2"/>
        <w:rPr/>
        <w:pageBreakBefore w:val="1"/>
      </w:pPr>
      <w:r>
        <w:rPr>
          <w:rtl w:val="0"/>
        </w:rPr>
        <w:t xml:space="preserve">Implications</w:t>
      </w:r>
    </w:p>
    <w:p w14:paraId="0000002B">
      <w:pPr>
        <w:rPr/>
      </w:pPr>
      <w:r>
        <w:t>The spec should preserve the distinction between a small canonical instruction layer and the much larger execution amplification that comes from repeated requests, delegated branches, and long contexts. That distinction is exactly why the primary metric must be wall-clock turn latency rather than cache percentage alone.</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Theme</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Observation</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Implication</w:t>
            </w:r>
            <w:r>
              <w:rPr>
                <w:rtl w:val="0"/>
              </w:rPr>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Instruction chain</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~2,142 tokens on disk</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Fixed overhead is small relative to outlier turns</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Caching</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90.6% Claude read; 97.9% Codex cached</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Track absolute work, not cache ratio alone</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Multi-agent fan-out</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3 turns = 97.8% of Codex input</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Govern orchestration before shrinking references</w:t>
            </w:r>
          </w:p>
        </w:tc>
      </w:tr>
    </w:tbl>
    <w:bookmarkStart w:colFirst="0" w:colLast="0" w:name="bookmark=id.vvr4bduzzdc0" w:id="6"/>
    <w:bookmarkEnd w:id="6"/>
    <w:p w14:paraId="00000038">
      <w:pPr>
        <w:pStyle w:val="Heading1"/>
        <w:pageBreakBefore w:val="1"/>
        <w:rPr/>
      </w:pPr>
      <w:r>
        <w:rPr>
          <w:rtl w:val="0"/>
        </w:rPr>
        <w:t xml:space="preserve">Recommendations</w:t>
      </w:r>
    </w:p>
    <w:p w14:paraId="00000039">
      <w:pPr>
        <w:rPr/>
      </w:pPr>
      <w:r>
        <w:t>Review the open measurement choices before running the batch: turn boundary, cold versus warm cache, fan-out accounting, and whether the comparison should normalize by absolute tokens or by percent of each runtime’s window.</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t>Decide the primary latency definition. Full completion latency and time-to-first-token answer different questions, so the spec should name one as primary and the other as secondary.</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t>Decide the cache condition. Cold-cache runs are cleaner to compare, but warm-cache runs are closer to ordinary usage. If both matter, label them separately.</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t>Decide the fan-out rule. If a turn delegates to child threads, the spec should say whether wall-clock is measured as the max across concurrent branches, the parent thread only, or something else.</w:t>
      </w:r>
    </w:p>
    <w:bookmarkStart w:colFirst="0" w:colLast="0" w:name="bookmark=id.rl3o3rp5qmnq" w:id="7"/>
    <w:bookmarkEnd w:id="7"/>
    <w:p w14:paraId="0000003D">
      <w:pPr>
        <w:pStyle w:val="Heading2"/>
        <w:rPr/>
      </w:pPr>
      <w:r>
        <w:rPr>
          <w:rtl w:val="0"/>
        </w:rPr>
        <w:t xml:space="preserve">Conclusion</w:t>
      </w:r>
    </w:p>
    <w:p w14:paraId="0000003E">
      <w:pPr>
        <w:rPr/>
      </w:pPr>
      <w:r>
        <w:t>The likely outcome is that instruction scaffolding is not the bottleneck. The stronger candidate is governed orchestration: too many requests, too much parallelism, and too much reasoning effort for the task size.</w:t>
      </w:r>
    </w:p>
    <w:p w14:paraId="0000003F">
      <w:pPr>
        <w:rPr/>
      </w:pPr>
      <w:r>
        <w:t>The repo should keep the canonical instruction chain intact and instead tighten the experiment harness so the eventual results are actually attributable.</w:t>
      </w:r>
    </w:p>
    <w:bookmarkStart w:colFirst="0" w:colLast="0" w:name="bookmark=id.cf45595vup8a" w:id="8"/>
    <w:bookmarkEnd w:id="8"/>
    <w:p w14:paraId="00000040">
      <w:pPr>
        <w:pStyle w:val="Heading1"/>
        <w:pageBreakBefore w:val="1"/>
        <w:rPr/>
      </w:pPr>
      <w:r>
        <w:rPr>
          <w:rtl w:val="0"/>
        </w:rPr>
        <w:t xml:space="preserve">Appendix</w:t>
      </w:r>
    </w:p>
    <w:bookmarkStart w:colFirst="0" w:colLast="0" w:name="bookmark=id.ptrg31dozyqs" w:id="9"/>
    <w:bookmarkEnd w:id="9"/>
    <w:p w14:paraId="00000041">
      <w:pPr>
        <w:pStyle w:val="Heading2"/>
        <w:rPr/>
      </w:pPr>
      <w:r>
        <w:rPr>
          <w:rtl w:val="0"/>
        </w:rPr>
        <w:t xml:space="preserve">Notes</w:t>
      </w:r>
    </w:p>
    <w:p w14:paraId="00000042">
      <w:pPr>
        <w:rPr/>
      </w:pPr>
      <w:r>
        <w:t>Measurement provenance for the rerun should include the raw extraction script, the trial manifest, the per-request records, and an explicit exclusion list for any dropped turns.</w:t>
      </w:r>
    </w:p>
    <w:p w14:paraId="00000043">
      <w:pPr>
        <w:rPr/>
      </w:pPr>
      <w:r>
        <w:t>Interpretive caveats: cache percentages are not efficiency scores by themselves; stream-event count is not model-call count; and the transcript source must be the primary record, not a rotating telemetry sink.</w:t>
      </w:r>
    </w:p>
    <w:bookmarkStart w:colFirst="0" w:colLast="0" w:name="bookmark=id.nnk1eebni0ji" w:id="10"/>
    <w:bookmarkEnd w:id="10"/>
    <w:p w14:paraId="00000044">
      <w:pPr>
        <w:pStyle w:val="Heading2"/>
        <w:rPr/>
      </w:pPr>
      <w:r>
        <w:rPr>
          <w:rtl w:val="0"/>
        </w:rPr>
        <w:t xml:space="preserve">Sources and provenance</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Claude transcript source: `~/.claude/projects/&lt;repo-slug&gt;/*.jsonl`.</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Codex transcript source: `~/.codex/sessions/**/rollout-*.jsonl`.</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Supporting telemetry: `~/.codex/logs_2.sqlite` only.</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Shared design inputs: the fixed prompt set, the same repo state, and the same trial manifest across both runtimes.</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0">
      <w:pPr>
        <w:pStyle w:val="Heading1"/>
        <w:pageBreakBefore w:val="1"/>
        <w:rPr/>
      </w:pPr>
      <w:r>
        <w:rPr>
          <w:rtl w:val="0"/>
        </w:rPr>
        <w:t xml:space="preserve">My Interpretation</w:t>
      </w:r>
    </w:p>
    <w:p w14:paraId="00000018">
      <w:pPr>
        <w:rPr/>
      </w:pPr>
      <w:r>
        <w:t>The main risk in the experiment is that an unbounded fan-out path will dominate the result and make the latency numbers hard to interpret. The design should therefore make the turn boundary, branching rule, and exclusion list explicit before any rerun.</w:t>
      </w:r>
    </w:p>
    <w:p w14:paraId="00000041">
      <w:pPr>
        <w:pStyle w:val="Heading2"/>
        <w:rPr/>
      </w:pPr>
      <w:r>
        <w:rPr>
          <w:rtl w:val="0"/>
        </w:rPr>
        <w:t xml:space="preserve">Why the outliers matter</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Use the transcript record to identify each spawned child thread and count it as part of the turn’s orchestration footprint.</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Treat reasoning effort as a controlled variable rather than an incidental implementation detail.</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If two branches are nearly identical, record that as possible duplicate work rather than assuming it is useful parallelism.</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Use stream events only as supporting detail; they are too granular to stand in for user-visible latency.</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Treat the 17K–62K spread as evidence that most turns are ordinary and a few turns dominate the tail.</w:t>
      </w:r>
    </w:p>
    <w:p w14:paraId="00000041">
      <w:pPr>
        <w:pStyle w:val="Heading2"/>
        <w:rPr/>
      </w:pPr>
      <w:r>
        <w:rPr>
          <w:rtl w:val="0"/>
        </w:rPr>
        <w:t xml:space="preserve">Optimization priority</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The optimization priority is not “remove all references.” It is “make the comparison defensible, then measure the real tail.”</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Give the experiment a fixed agent budget, a fixed branch budget, and a fixed round-trip budget.</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Do not inherit the most expensive reasoning setting by default unless the task truly needs it.</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Require a stopping rule for delegated work so branches do not continue past the point of convergence.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Flag repeated investigations so the report can distinguish genuine parallelism from duplicated effort.</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Attribute usage to the root turn and each child branch so the final analysis can show where the work went.</w:t>
      </w:r>
    </w:p>
    <w:p w14:paraId="00000041">
      <w:pPr>
        <w:pStyle w:val="Heading2"/>
        <w:rPr/>
      </w:pPr>
      <w:r>
        <w:rPr>
          <w:rtl w:val="0"/>
        </w:rPr>
        <w:t xml:space="preserve">Proposed metric</w:t>
      </w:r>
    </w:p>
    <w:p w14:paraId="00000018">
      <w:pPr>
        <w:rPr/>
      </w:pPr>
      <w:r>
        <w:t>Fan-out amplification should be calculated as total input across the root turn and descendants divided by the root turn’s direct input. That gives a clear signal for whether delegation multiplied the work by 2×, 10×, or more.</w:t>
      </w:r>
    </w:p>
    <w:p w14:paraId="00000041">
      <w:pPr>
        <w:pStyle w:val="Heading2"/>
        <w:rPr/>
      </w:pPr>
      <w:r>
        <w:rPr>
          <w:rtl w:val="0"/>
        </w:rPr>
        <w:t xml:space="preserve">Assessment</w:t>
      </w:r>
    </w:p>
    <w:p w14:paraId="00000018">
      <w:pPr>
        <w:rPr/>
      </w:pPr>
      <w:r>
        <w:t>The earlier headline numbers should be treated cautiously until they are re-run against the stabilized transcript sources. The point of this design report is to make that rerun straightforward and comparable.</w:t>
      </w:r>
    </w:p>
    <w:p w14:paraId="00000018">
      <w:pPr>
        <w:rPr/>
      </w:pPr>
      <w:r>
        <w:t>The next step is a governed orchestration budget plus a fixed transcript parser, not another round of ad hoc measurement.</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w="http://schemas.openxmlformats.org/wordprocessingml/2006/main" xmlns:w14="http://schemas.microsoft.com/office/word/2010/wordml">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Runtime Efficiency Assessment</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August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