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975EA3" w14:textId="77777777" w:rsidR="00BB10C3" w:rsidRDefault="00000000">
      <w:pPr>
        <w:pBdr>
          <w:top w:val="nil"/>
          <w:left w:val="nil"/>
          <w:bottom w:val="nil"/>
          <w:right w:val="nil"/>
          <w:between w:val="nil"/>
        </w:pBdr>
        <w:spacing w:after="160" w:line="278" w:lineRule="auto"/>
        <w:jc w:val="center"/>
        <w:rPr>
          <w:rFonts w:ascii="Aptos" w:eastAsia="Aptos" w:hAnsi="Aptos" w:cs="Aptos"/>
          <w:color w:val="000000"/>
          <w:sz w:val="24"/>
          <w:szCs w:val="24"/>
        </w:rPr>
      </w:pPr>
      <w:r>
        <w:rPr>
          <w:rFonts w:ascii="Aptos" w:eastAsia="Aptos" w:hAnsi="Aptos" w:cs="Aptos"/>
          <w:noProof/>
          <w:color w:val="000000"/>
          <w:sz w:val="24"/>
          <w:szCs w:val="24"/>
        </w:rPr>
        <w:drawing>
          <wp:inline distT="0" distB="0" distL="0" distR="0" wp14:anchorId="24FD13AF" wp14:editId="1BE8E9EE">
            <wp:extent cx="6038850" cy="5200000"/>
            <wp:effectExtent l="0" t="0" r="0" b="0"/>
            <wp:docPr id="1" name="image1.png" descr="OpenAI_Photography_2026_04"/>
            <wp:cNvGraphicFramePr/>
            <a:graphic xmlns:a="http://schemas.openxmlformats.org/drawingml/2006/main">
              <a:graphicData uri="http://schemas.openxmlformats.org/drawingml/2006/picture">
                <pic:pic xmlns:pic="http://schemas.openxmlformats.org/drawingml/2006/picture">
                  <pic:nvPicPr>
                    <pic:cNvPr id="0" name="image1.png" descr="OpenAI_Photography_2026_04"/>
                    <pic:cNvPicPr preferRelativeResize="0"/>
                  </pic:nvPicPr>
                  <pic:blipFill>
                    <a:blip r:embed="rId7"/>
                    <a:srcRect t="1779" b="1779"/>
                    <a:stretch>
                      <a:fillRect/>
                    </a:stretch>
                  </pic:blipFill>
                  <pic:spPr>
                    <a:xfrm>
                      <a:off x="0" y="0"/>
                      <a:ext cx="6038850" cy="5200000"/>
                    </a:xfrm>
                    <a:prstGeom prst="rect">
                      <a:avLst/>
                    </a:prstGeom>
                    <a:ln/>
                  </pic:spPr>
                </pic:pic>
              </a:graphicData>
            </a:graphic>
          </wp:inline>
        </w:drawing>
      </w:r>
    </w:p>
    <w:p w14:paraId="751658BF" w14:textId="77777777" w:rsidR="00BB10C3" w:rsidRDefault="00BB10C3">
      <w:pPr>
        <w:pBdr>
          <w:top w:val="nil"/>
          <w:left w:val="nil"/>
          <w:bottom w:val="nil"/>
          <w:right w:val="nil"/>
          <w:between w:val="nil"/>
        </w:pBdr>
        <w:spacing w:after="160" w:line="278" w:lineRule="auto"/>
        <w:jc w:val="center"/>
        <w:rPr>
          <w:rFonts w:ascii="Aptos" w:eastAsia="Aptos" w:hAnsi="Aptos" w:cs="Aptos"/>
          <w:color w:val="000000"/>
          <w:sz w:val="24"/>
          <w:szCs w:val="24"/>
        </w:rPr>
      </w:pPr>
    </w:p>
    <w:p w14:paraId="755786CD" w14:textId="77777777" w:rsidR="00BB10C3" w:rsidRDefault="00000000">
      <w:pPr>
        <w:pStyle w:val="Title"/>
        <w:keepNext/>
      </w:pPr>
      <w:bookmarkStart w:id="0" w:name="_heading=h.t76axsj6ui55" w:colFirst="0" w:colLast="0"/>
      <w:bookmarkEnd w:id="0"/>
      <w:r>
        <w:t>Runtime Efficiency Assessment</w:t>
      </w:r>
    </w:p>
    <w:tbl>
      <w:tblPr>
        <w:tblStyle w:val="a"/>
        <w:tblW w:w="9360" w:type="dxa"/>
        <w:tblInd w:w="0" w:type="dxa"/>
        <w:tblLayout w:type="fixed"/>
        <w:tblLook w:val="0600" w:firstRow="0" w:lastRow="0" w:firstColumn="0" w:lastColumn="0" w:noHBand="1" w:noVBand="1"/>
      </w:tblPr>
      <w:tblGrid>
        <w:gridCol w:w="4306"/>
        <w:gridCol w:w="901"/>
        <w:gridCol w:w="4153"/>
      </w:tblGrid>
      <w:tr w:rsidR="00BB10C3" w14:paraId="62DACC53" w14:textId="77777777">
        <w:trPr>
          <w:cantSplit/>
        </w:trPr>
        <w:tc>
          <w:tcPr>
            <w:tcW w:w="4305" w:type="dxa"/>
            <w:tcMar>
              <w:top w:w="0" w:type="dxa"/>
              <w:left w:w="0" w:type="dxa"/>
              <w:bottom w:w="0" w:type="dxa"/>
              <w:right w:w="0" w:type="dxa"/>
            </w:tcMar>
          </w:tcPr>
          <w:p w14:paraId="39DB6A92" w14:textId="77777777" w:rsidR="00BB10C3" w:rsidRDefault="00000000">
            <w:pPr>
              <w:spacing w:after="0" w:line="240" w:lineRule="auto"/>
              <w:rPr>
                <w:color w:val="666666"/>
              </w:rPr>
            </w:pPr>
            <w:r>
              <w:rPr>
                <w:color w:val="666666"/>
              </w:rPr>
              <w:t>Claude and Codex telemetry on context caching, instruction overhead, and multi-agent fan-out</w:t>
            </w:r>
          </w:p>
        </w:tc>
        <w:tc>
          <w:tcPr>
            <w:tcW w:w="901" w:type="dxa"/>
            <w:tcMar>
              <w:top w:w="0" w:type="dxa"/>
              <w:left w:w="0" w:type="dxa"/>
              <w:bottom w:w="0" w:type="dxa"/>
              <w:right w:w="0" w:type="dxa"/>
            </w:tcMar>
          </w:tcPr>
          <w:p w14:paraId="319445DF" w14:textId="77777777" w:rsidR="00BB10C3" w:rsidRDefault="00BB10C3">
            <w:pPr>
              <w:spacing w:after="0" w:line="240" w:lineRule="auto"/>
              <w:rPr>
                <w:color w:val="666666"/>
              </w:rPr>
            </w:pPr>
          </w:p>
        </w:tc>
        <w:tc>
          <w:tcPr>
            <w:tcW w:w="4153" w:type="dxa"/>
            <w:tcMar>
              <w:top w:w="0" w:type="dxa"/>
              <w:left w:w="0" w:type="dxa"/>
              <w:bottom w:w="0" w:type="dxa"/>
              <w:right w:w="0" w:type="dxa"/>
            </w:tcMar>
          </w:tcPr>
          <w:p w14:paraId="204945E5" w14:textId="77777777" w:rsidR="00BB10C3" w:rsidRDefault="00000000">
            <w:pPr>
              <w:spacing w:after="0" w:line="240" w:lineRule="auto"/>
              <w:rPr>
                <w:color w:val="666666"/>
              </w:rPr>
            </w:pPr>
            <w:r>
              <w:rPr>
                <w:color w:val="666666"/>
              </w:rPr>
              <w:t>Prepared from Claude Code investigation</w:t>
            </w:r>
          </w:p>
          <w:p w14:paraId="360B196A" w14:textId="77777777" w:rsidR="00BB10C3" w:rsidRDefault="00000000">
            <w:pPr>
              <w:spacing w:after="0" w:line="240" w:lineRule="auto"/>
              <w:rPr>
                <w:color w:val="666666"/>
              </w:rPr>
            </w:pPr>
            <w:r>
              <w:rPr>
                <w:color w:val="666666"/>
              </w:rPr>
              <w:t>August 2026</w:t>
            </w:r>
          </w:p>
        </w:tc>
      </w:tr>
    </w:tbl>
    <w:p w14:paraId="7EDD7DAA" w14:textId="77777777" w:rsidR="00BB10C3" w:rsidRDefault="00BB10C3">
      <w:pPr>
        <w:pBdr>
          <w:top w:val="nil"/>
          <w:left w:val="nil"/>
          <w:bottom w:val="nil"/>
          <w:right w:val="nil"/>
          <w:between w:val="nil"/>
        </w:pBdr>
        <w:spacing w:before="60" w:after="0" w:line="278" w:lineRule="auto"/>
        <w:rPr>
          <w:color w:val="7A7A7A"/>
          <w:sz w:val="18"/>
          <w:szCs w:val="18"/>
        </w:rPr>
        <w:sectPr w:rsidR="00BB10C3">
          <w:footerReference w:type="default" r:id="rId8"/>
          <w:pgSz w:w="12240" w:h="15840"/>
          <w:pgMar w:top="1440" w:right="1440" w:bottom="1440" w:left="1440" w:header="720" w:footer="720" w:gutter="0"/>
          <w:pgNumType w:start="1"/>
          <w:cols w:space="720"/>
        </w:sectPr>
      </w:pPr>
    </w:p>
    <w:p w14:paraId="122AEA15" w14:textId="77777777" w:rsidR="00BB10C3" w:rsidRDefault="00000000">
      <w:pPr>
        <w:keepNext/>
        <w:pBdr>
          <w:top w:val="nil"/>
          <w:left w:val="nil"/>
          <w:bottom w:val="nil"/>
          <w:right w:val="nil"/>
          <w:between w:val="nil"/>
        </w:pBdr>
        <w:spacing w:before="360" w:after="360" w:line="278" w:lineRule="auto"/>
        <w:rPr>
          <w:color w:val="000000"/>
          <w:sz w:val="48"/>
          <w:szCs w:val="48"/>
        </w:rPr>
      </w:pPr>
      <w:r>
        <w:rPr>
          <w:color w:val="000000"/>
          <w:sz w:val="48"/>
          <w:szCs w:val="48"/>
        </w:rPr>
        <w:lastRenderedPageBreak/>
        <w:t>Contents</w:t>
      </w:r>
    </w:p>
    <w:p w14:paraId="1362DCC2" w14:textId="77777777" w:rsidR="00BB10C3" w:rsidRDefault="00BB10C3">
      <w:pPr>
        <w:keepNext/>
        <w:pBdr>
          <w:top w:val="nil"/>
          <w:left w:val="nil"/>
          <w:bottom w:val="nil"/>
          <w:right w:val="nil"/>
          <w:between w:val="nil"/>
        </w:pBdr>
        <w:spacing w:before="360" w:after="360" w:line="278" w:lineRule="auto"/>
        <w:rPr>
          <w:sz w:val="48"/>
          <w:szCs w:val="48"/>
        </w:rPr>
      </w:pPr>
    </w:p>
    <w:sdt>
      <w:sdtPr>
        <w:id w:val="-2107746825"/>
        <w:docPartObj>
          <w:docPartGallery w:val="Table of Contents"/>
          <w:docPartUnique/>
        </w:docPartObj>
      </w:sdtPr>
      <w:sdtContent>
        <w:p w14:paraId="52BBA9A2" w14:textId="77777777" w:rsidR="00BB10C3" w:rsidRDefault="00000000">
          <w:pPr>
            <w:widowControl w:val="0"/>
            <w:tabs>
              <w:tab w:val="right" w:leader="do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heading=">
            <w:r>
              <w:rPr>
                <w:color w:val="000000"/>
              </w:rPr>
              <w:t>Executive summary</w:t>
            </w:r>
            <w:r>
              <w:rPr>
                <w:color w:val="000000"/>
              </w:rPr>
              <w:tab/>
              <w:t>2</w:t>
            </w:r>
          </w:hyperlink>
        </w:p>
        <w:p w14:paraId="04679DAC"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At a glance</w:t>
            </w:r>
            <w:r>
              <w:rPr>
                <w:color w:val="000000"/>
              </w:rPr>
              <w:tab/>
              <w:t>2</w:t>
            </w:r>
          </w:hyperlink>
        </w:p>
        <w:p w14:paraId="16187F97"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Introduction</w:t>
            </w:r>
            <w:r>
              <w:rPr>
                <w:color w:val="000000"/>
              </w:rPr>
              <w:tab/>
              <w:t>2</w:t>
            </w:r>
          </w:hyperlink>
        </w:p>
        <w:p w14:paraId="44E38EDC" w14:textId="77777777" w:rsidR="00BB10C3" w:rsidRDefault="00000000">
          <w:pPr>
            <w:widowControl w:val="0"/>
            <w:tabs>
              <w:tab w:val="right" w:leader="dot" w:pos="12000"/>
            </w:tabs>
            <w:spacing w:before="60" w:after="0" w:line="240" w:lineRule="auto"/>
            <w:rPr>
              <w:b/>
              <w:bCs/>
              <w:color w:val="000000"/>
            </w:rPr>
          </w:pPr>
          <w:hyperlink w:anchor="_heading=">
            <w:r>
              <w:rPr>
                <w:color w:val="000000"/>
              </w:rPr>
              <w:t>Key findings</w:t>
            </w:r>
            <w:r>
              <w:rPr>
                <w:color w:val="000000"/>
              </w:rPr>
              <w:tab/>
              <w:t>3</w:t>
            </w:r>
          </w:hyperlink>
        </w:p>
        <w:p w14:paraId="68EC60F1"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Context and conditions</w:t>
            </w:r>
            <w:r>
              <w:rPr>
                <w:color w:val="000000"/>
              </w:rPr>
              <w:tab/>
              <w:t>3</w:t>
            </w:r>
          </w:hyperlink>
        </w:p>
        <w:p w14:paraId="4F4FE148"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Patterns in the evidence</w:t>
            </w:r>
            <w:r>
              <w:rPr>
                <w:color w:val="000000"/>
              </w:rPr>
              <w:tab/>
              <w:t>3</w:t>
            </w:r>
          </w:hyperlink>
        </w:p>
        <w:p w14:paraId="468257EE"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Implications</w:t>
            </w:r>
            <w:r>
              <w:rPr>
                <w:color w:val="000000"/>
              </w:rPr>
              <w:tab/>
              <w:t>4</w:t>
            </w:r>
          </w:hyperlink>
        </w:p>
        <w:p w14:paraId="117417F6" w14:textId="77777777" w:rsidR="00BB10C3" w:rsidRDefault="00000000">
          <w:pPr>
            <w:widowControl w:val="0"/>
            <w:tabs>
              <w:tab w:val="right" w:leader="dot" w:pos="12000"/>
            </w:tabs>
            <w:spacing w:before="60" w:after="0" w:line="240" w:lineRule="auto"/>
            <w:rPr>
              <w:b/>
              <w:bCs/>
              <w:color w:val="000000"/>
            </w:rPr>
          </w:pPr>
          <w:hyperlink w:anchor="_heading=">
            <w:r>
              <w:rPr>
                <w:color w:val="000000"/>
              </w:rPr>
              <w:t>Recommendations</w:t>
            </w:r>
            <w:r>
              <w:rPr>
                <w:color w:val="000000"/>
              </w:rPr>
              <w:tab/>
              <w:t>5</w:t>
            </w:r>
          </w:hyperlink>
        </w:p>
        <w:p w14:paraId="2DC7EB52"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Conclusion</w:t>
            </w:r>
            <w:r>
              <w:rPr>
                <w:color w:val="000000"/>
              </w:rPr>
              <w:tab/>
              <w:t>5</w:t>
            </w:r>
          </w:hyperlink>
        </w:p>
        <w:p w14:paraId="699B700B" w14:textId="77777777" w:rsidR="00BB10C3" w:rsidRDefault="00000000">
          <w:pPr>
            <w:widowControl w:val="0"/>
            <w:tabs>
              <w:tab w:val="right" w:leader="dot" w:pos="12000"/>
            </w:tabs>
            <w:spacing w:before="60" w:after="0" w:line="240" w:lineRule="auto"/>
            <w:rPr>
              <w:b/>
              <w:bCs/>
              <w:color w:val="000000"/>
            </w:rPr>
          </w:pPr>
          <w:hyperlink w:anchor="_heading=">
            <w:r>
              <w:rPr>
                <w:color w:val="000000"/>
              </w:rPr>
              <w:t>Appendix</w:t>
            </w:r>
            <w:r>
              <w:rPr>
                <w:color w:val="000000"/>
              </w:rPr>
              <w:tab/>
              <w:t>6</w:t>
            </w:r>
          </w:hyperlink>
        </w:p>
        <w:p w14:paraId="0B264C3D"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Notes</w:t>
            </w:r>
            <w:r>
              <w:rPr>
                <w:color w:val="000000"/>
              </w:rPr>
              <w:tab/>
              <w:t>6</w:t>
            </w:r>
          </w:hyperlink>
        </w:p>
        <w:p w14:paraId="57476566" w14:textId="77777777" w:rsidR="00BB10C3" w:rsidRDefault="00000000">
          <w:pPr>
            <w:widowControl w:val="0"/>
            <w:tabs>
              <w:tab w:val="right" w:leader="dot" w:pos="12000"/>
            </w:tabs>
            <w:spacing w:before="60" w:after="0" w:line="240" w:lineRule="auto"/>
            <w:ind w:left="360"/>
            <w:rPr>
              <w:color w:val="000000"/>
            </w:rPr>
          </w:pPr>
          <w:hyperlink w:anchor="_heading=">
            <w:r>
              <w:rPr>
                <w:color w:val="000000"/>
              </w:rPr>
              <w:t>My Interpretation</w:t>
            </w:r>
            <w:r>
              <w:rPr>
                <w:color w:val="000000"/>
              </w:rPr>
              <w:tab/>
              <w:t>7</w:t>
            </w:r>
          </w:hyperlink>
          <w:r>
            <w:fldChar w:fldCharType="end"/>
          </w:r>
        </w:p>
      </w:sdtContent>
    </w:sdt>
    <w:p w14:paraId="6909DE75" w14:textId="77777777" w:rsidR="00BB10C3" w:rsidRDefault="00000000">
      <w:pPr>
        <w:pStyle w:val="Heading1"/>
        <w:pageBreakBefore/>
      </w:pPr>
      <w:bookmarkStart w:id="1" w:name="bookmark=id.i23wo83gyh7m" w:colFirst="0" w:colLast="0"/>
      <w:bookmarkEnd w:id="1"/>
      <w:r>
        <w:lastRenderedPageBreak/>
        <w:t>Executive summary</w:t>
      </w:r>
    </w:p>
    <w:p w14:paraId="3AA817A1" w14:textId="77777777" w:rsidR="00BB10C3" w:rsidRDefault="00000000">
      <w:r>
        <w:t>Direct telemetry from Claude Code and Codex indicates that the repository's layered instruction architecture is not the primary source of high token consumption or long-running turns. The measured instruction chain is approximately 2,142 tokens, while three Codex turns involving multi-agent communication account for 97.8% of the sampled Codex input tokens.</w:t>
      </w:r>
    </w:p>
    <w:p w14:paraId="5D9F4F42" w14:textId="77777777" w:rsidR="00BB10C3" w:rsidRDefault="00000000">
      <w:r>
        <w:t>The dominant cost pattern is orchestration amplification: repeated model requests, large contexts, parallel agents, and ultra reasoning effort. Prompt caching is extensive in both runtimes, but cache percentage alone is not an efficiency metric. Absolute round-trips, non-cached input, context size, fan-out, and generation work remain decisive.</w:t>
      </w:r>
    </w:p>
    <w:p w14:paraId="43B073AA" w14:textId="77777777" w:rsidR="00BB10C3" w:rsidRDefault="00000000">
      <w:pPr>
        <w:pStyle w:val="Heading2"/>
      </w:pPr>
      <w:bookmarkStart w:id="2" w:name="bookmark=id.1sqjewf8afxt" w:colFirst="0" w:colLast="0"/>
      <w:bookmarkEnd w:id="2"/>
      <w:r>
        <w:t>At a glance</w:t>
      </w:r>
    </w:p>
    <w:p w14:paraId="63520EAE" w14:textId="77777777" w:rsidR="00BB10C3" w:rsidRDefault="00000000">
      <w:pPr>
        <w:keepLines/>
        <w:numPr>
          <w:ilvl w:val="0"/>
          <w:numId w:val="1"/>
        </w:numPr>
        <w:pBdr>
          <w:top w:val="nil"/>
          <w:left w:val="nil"/>
          <w:bottom w:val="nil"/>
          <w:right w:val="nil"/>
          <w:between w:val="nil"/>
        </w:pBdr>
        <w:spacing w:after="100"/>
      </w:pPr>
      <w:r>
        <w:rPr>
          <w:color w:val="000000"/>
        </w:rPr>
        <w:t>The fixed instruction chain is small: 8,569 bytes, or approximately 2,142 tokens.</w:t>
      </w:r>
    </w:p>
    <w:p w14:paraId="5E0A25D1" w14:textId="77777777" w:rsidR="00BB10C3" w:rsidRDefault="00000000">
      <w:pPr>
        <w:keepLines/>
        <w:numPr>
          <w:ilvl w:val="0"/>
          <w:numId w:val="1"/>
        </w:numPr>
        <w:pBdr>
          <w:top w:val="nil"/>
          <w:left w:val="nil"/>
          <w:bottom w:val="nil"/>
          <w:right w:val="nil"/>
          <w:between w:val="nil"/>
        </w:pBdr>
        <w:spacing w:after="100"/>
      </w:pPr>
      <w:r>
        <w:rPr>
          <w:color w:val="000000"/>
        </w:rPr>
        <w:t>Three multi-agent Codex turns account for 97.8% of sampled Codex input tokens.</w:t>
      </w:r>
    </w:p>
    <w:p w14:paraId="46599F63" w14:textId="77777777" w:rsidR="00BB10C3" w:rsidRDefault="00000000">
      <w:pPr>
        <w:keepLines/>
        <w:numPr>
          <w:ilvl w:val="0"/>
          <w:numId w:val="1"/>
        </w:numPr>
        <w:pBdr>
          <w:top w:val="nil"/>
          <w:left w:val="nil"/>
          <w:bottom w:val="nil"/>
          <w:right w:val="nil"/>
          <w:between w:val="nil"/>
        </w:pBdr>
        <w:spacing w:after="100"/>
      </w:pPr>
      <w:r>
        <w:rPr>
          <w:color w:val="000000"/>
        </w:rPr>
        <w:t>The per-turn instruction manifest is the only measured control-plane cost that compounds with conversation length.</w:t>
      </w:r>
    </w:p>
    <w:p w14:paraId="77447858" w14:textId="77777777" w:rsidR="00BB10C3" w:rsidRDefault="00000000">
      <w:pPr>
        <w:pStyle w:val="Heading2"/>
      </w:pPr>
      <w:bookmarkStart w:id="3" w:name="bookmark=id.4t4jj91ycfx" w:colFirst="0" w:colLast="0"/>
      <w:bookmarkEnd w:id="3"/>
      <w:r>
        <w:t>Introduction</w:t>
      </w:r>
    </w:p>
    <w:p w14:paraId="18C9D0F1" w14:textId="77777777" w:rsidR="00BB10C3" w:rsidRDefault="00000000">
      <w:r>
        <w:t>This assessment was initiated to test whether repository growth, layered instruction routing, and runtime adapters were causing increasingly slow agent turns. Claude directly measured local Claude Code transcripts and Codex token telemetry, then compared those measurements with the instruction chain stored on disk.</w:t>
      </w:r>
    </w:p>
    <w:p w14:paraId="11616287" w14:textId="77777777" w:rsidR="00BB10C3" w:rsidRDefault="00000000">
      <w:r>
        <w:t>The investigation completed the direct measurement phase. A planned ten-agent workflow—</w:t>
      </w:r>
      <w:proofErr w:type="gramStart"/>
      <w:r>
        <w:t>five dimensional</w:t>
      </w:r>
      <w:proofErr w:type="gramEnd"/>
      <w:r>
        <w:t xml:space="preserve"> analyses plus adversarial verification—ran for roughly four minutes but was stopped before synthesis and returned no results. Its incomplete output is not used as evidence in this report.</w:t>
      </w:r>
    </w:p>
    <w:p w14:paraId="600D98A0" w14:textId="59CD5B9C" w:rsidR="00BB10C3" w:rsidRDefault="00000000">
      <w:pPr>
        <w:pStyle w:val="Heading1"/>
        <w:pageBreakBefore/>
      </w:pPr>
      <w:bookmarkStart w:id="4" w:name="bookmark=id.xx7bxdemqiq" w:colFirst="0" w:colLast="0"/>
      <w:bookmarkEnd w:id="4"/>
      <w:r>
        <w:lastRenderedPageBreak/>
        <w:t>Key findings</w:t>
      </w:r>
      <w:r w:rsidR="003B2425">
        <w:t xml:space="preserve"> </w:t>
      </w:r>
    </w:p>
    <w:p w14:paraId="04A52C30" w14:textId="77777777" w:rsidR="00BB10C3" w:rsidRDefault="00000000">
      <w:r>
        <w:t xml:space="preserve">Claude Code: 521 requests across 13 session transcripts produced 47,284,889 input tokens. Cache reads were 42,825,664 (90.6%) and cache writes were 4,458,010 (9.4%). Context per request was 75,264 at the median, 176,091 at p90, and 201,293 </w:t>
      </w:r>
      <w:proofErr w:type="gramStart"/>
      <w:r>
        <w:t>maximum</w:t>
      </w:r>
      <w:proofErr w:type="gramEnd"/>
      <w:r>
        <w:t>. Model calls per turn were 2 at the median and 3 at p90; median turn wall-clock time was 11 seconds.</w:t>
      </w:r>
    </w:p>
    <w:p w14:paraId="4F9CDCCB" w14:textId="77777777" w:rsidR="00BB10C3" w:rsidRDefault="00000000">
      <w:pPr>
        <w:pStyle w:val="Heading2"/>
      </w:pPr>
      <w:r>
        <w:t>Context and conditions</w:t>
      </w:r>
    </w:p>
    <w:p w14:paraId="4FCF29CB" w14:textId="77777777" w:rsidR="00BB10C3" w:rsidRDefault="00000000">
      <w:r>
        <w:t>Codex: 12 turns with token telemetry produced 11,109,921 input tokens, of which 10,881,792 were cached (97.9%) and 228,129 were non-cached (2.1%). Output totaled 41,574 tokens, with reasoning tokens representing 48% of output.</w:t>
      </w:r>
    </w:p>
    <w:p w14:paraId="5983269D" w14:textId="77777777" w:rsidR="00BB10C3" w:rsidRDefault="00000000">
      <w:pPr>
        <w:pStyle w:val="Heading2"/>
      </w:pPr>
      <w:r>
        <w:t>Patterns in the evidence</w:t>
      </w:r>
    </w:p>
    <w:p w14:paraId="176D3505" w14:textId="77777777" w:rsidR="00BB10C3" w:rsidRDefault="00000000">
      <w:r>
        <w:t>The Codex distribution was sharply bimodal. Three turns generated 97.8% of all sampled input. The largest turn accumulated 4,412,575 input tokens—4,325,376 cached and 87,199 non-cached—plus 15,151 output tokens across 1,732 stream events. All three outliers carried inter-agent communication spans at ultra reasoning effort; two thread IDs had near-identical counts, consistent with parallel fan-out. The remaining nine turns used 17K–62K input tokens each.</w:t>
      </w:r>
    </w:p>
    <w:p w14:paraId="5397CE71" w14:textId="77777777" w:rsidR="00BB10C3" w:rsidRDefault="00BB10C3"/>
    <w:p w14:paraId="01D7A5CA" w14:textId="77777777" w:rsidR="00BB10C3" w:rsidRDefault="00000000">
      <w:pPr>
        <w:keepLines/>
        <w:pBdr>
          <w:top w:val="nil"/>
          <w:left w:val="single" w:sz="16" w:space="8" w:color="595959"/>
          <w:bottom w:val="nil"/>
          <w:right w:val="nil"/>
          <w:between w:val="nil"/>
        </w:pBdr>
        <w:shd w:val="clear" w:color="auto" w:fill="F2F2F2"/>
        <w:spacing w:before="160" w:after="200" w:line="269" w:lineRule="auto"/>
        <w:ind w:left="259" w:right="259"/>
      </w:pPr>
      <w:r>
        <w:rPr>
          <w:b/>
          <w:bCs/>
          <w:color w:val="000000"/>
        </w:rPr>
        <w:t xml:space="preserve">Key takeaway. </w:t>
      </w:r>
      <w:r>
        <w:rPr>
          <w:color w:val="000000"/>
        </w:rPr>
        <w:t>Turn cost is approximately round-trips multiplied by context per request, then amplified by parallel fan-out. A high cache ratio does not neutralize that amplification.</w:t>
      </w:r>
    </w:p>
    <w:p w14:paraId="48FFD69A" w14:textId="77777777" w:rsidR="00BB10C3" w:rsidRDefault="00BB10C3">
      <w:pPr>
        <w:pStyle w:val="Heading2"/>
      </w:pPr>
    </w:p>
    <w:p w14:paraId="19D8AFD6" w14:textId="77777777" w:rsidR="00BB10C3" w:rsidRDefault="00000000">
      <w:pPr>
        <w:pStyle w:val="Heading2"/>
        <w:pageBreakBefore/>
      </w:pPr>
      <w:bookmarkStart w:id="5" w:name="bookmark=id.suv0vlq0gz4r" w:colFirst="0" w:colLast="0"/>
      <w:bookmarkEnd w:id="5"/>
      <w:r>
        <w:lastRenderedPageBreak/>
        <w:t>Implications</w:t>
      </w:r>
    </w:p>
    <w:p w14:paraId="28DE5FB6" w14:textId="77777777" w:rsidR="00BB10C3" w:rsidRDefault="00000000">
      <w:r>
        <w:t>The evidence separates fixed repository context from execution amplification. The control plane is a small, stable prefix; the expensive turns arise when that prefix and a much larger working context are repeatedly presented across root-agent and child-agent requests.</w:t>
      </w:r>
    </w:p>
    <w:tbl>
      <w:tblPr>
        <w:tblStyle w:val="a0"/>
        <w:tblW w:w="912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800"/>
        <w:gridCol w:w="3300"/>
        <w:gridCol w:w="4020"/>
      </w:tblGrid>
      <w:tr w:rsidR="00BB10C3" w14:paraId="6D2FDD2F" w14:textId="77777777">
        <w:trPr>
          <w:tblHeader/>
        </w:trPr>
        <w:tc>
          <w:tcPr>
            <w:tcW w:w="1800" w:type="dxa"/>
            <w:shd w:val="clear" w:color="auto" w:fill="F2F2F2"/>
            <w:tcMar>
              <w:top w:w="110" w:type="dxa"/>
              <w:bottom w:w="110" w:type="dxa"/>
            </w:tcMar>
            <w:vAlign w:val="center"/>
          </w:tcPr>
          <w:p w14:paraId="760AA114" w14:textId="77777777" w:rsidR="00BB10C3" w:rsidRDefault="00000000">
            <w:pPr>
              <w:pBdr>
                <w:top w:val="nil"/>
                <w:left w:val="nil"/>
                <w:bottom w:val="nil"/>
                <w:right w:val="nil"/>
                <w:between w:val="nil"/>
              </w:pBdr>
              <w:spacing w:after="0" w:line="259" w:lineRule="auto"/>
              <w:rPr>
                <w:color w:val="000000"/>
                <w:sz w:val="18"/>
                <w:szCs w:val="18"/>
              </w:rPr>
            </w:pPr>
            <w:r>
              <w:rPr>
                <w:b/>
                <w:bCs/>
                <w:color w:val="000000"/>
                <w:sz w:val="18"/>
                <w:szCs w:val="18"/>
              </w:rPr>
              <w:t>Theme</w:t>
            </w:r>
          </w:p>
        </w:tc>
        <w:tc>
          <w:tcPr>
            <w:tcW w:w="3300" w:type="dxa"/>
            <w:shd w:val="clear" w:color="auto" w:fill="F2F2F2"/>
            <w:tcMar>
              <w:top w:w="110" w:type="dxa"/>
              <w:bottom w:w="110" w:type="dxa"/>
            </w:tcMar>
            <w:vAlign w:val="center"/>
          </w:tcPr>
          <w:p w14:paraId="10D285E9" w14:textId="77777777" w:rsidR="00BB10C3" w:rsidRDefault="00000000">
            <w:pPr>
              <w:pBdr>
                <w:top w:val="nil"/>
                <w:left w:val="nil"/>
                <w:bottom w:val="nil"/>
                <w:right w:val="nil"/>
                <w:between w:val="nil"/>
              </w:pBdr>
              <w:spacing w:after="0" w:line="259" w:lineRule="auto"/>
              <w:rPr>
                <w:color w:val="000000"/>
                <w:sz w:val="18"/>
                <w:szCs w:val="18"/>
              </w:rPr>
            </w:pPr>
            <w:r>
              <w:rPr>
                <w:b/>
                <w:bCs/>
                <w:color w:val="000000"/>
                <w:sz w:val="18"/>
                <w:szCs w:val="18"/>
              </w:rPr>
              <w:t>Observation</w:t>
            </w:r>
          </w:p>
        </w:tc>
        <w:tc>
          <w:tcPr>
            <w:tcW w:w="4020" w:type="dxa"/>
            <w:shd w:val="clear" w:color="auto" w:fill="F2F2F2"/>
            <w:tcMar>
              <w:top w:w="110" w:type="dxa"/>
              <w:bottom w:w="110" w:type="dxa"/>
            </w:tcMar>
            <w:vAlign w:val="center"/>
          </w:tcPr>
          <w:p w14:paraId="7768090B" w14:textId="77777777" w:rsidR="00BB10C3" w:rsidRDefault="00000000">
            <w:pPr>
              <w:pBdr>
                <w:top w:val="nil"/>
                <w:left w:val="nil"/>
                <w:bottom w:val="nil"/>
                <w:right w:val="nil"/>
                <w:between w:val="nil"/>
              </w:pBdr>
              <w:spacing w:after="0" w:line="259" w:lineRule="auto"/>
              <w:rPr>
                <w:color w:val="000000"/>
                <w:sz w:val="18"/>
                <w:szCs w:val="18"/>
              </w:rPr>
            </w:pPr>
            <w:r>
              <w:rPr>
                <w:b/>
                <w:bCs/>
                <w:color w:val="000000"/>
                <w:sz w:val="18"/>
                <w:szCs w:val="18"/>
              </w:rPr>
              <w:t>Implication</w:t>
            </w:r>
          </w:p>
        </w:tc>
      </w:tr>
      <w:tr w:rsidR="00BB10C3" w14:paraId="6ABDF039" w14:textId="77777777">
        <w:tc>
          <w:tcPr>
            <w:tcW w:w="1800" w:type="dxa"/>
            <w:shd w:val="clear" w:color="auto" w:fill="FFFFFF"/>
            <w:tcMar>
              <w:top w:w="110" w:type="dxa"/>
              <w:bottom w:w="110" w:type="dxa"/>
            </w:tcMar>
            <w:vAlign w:val="center"/>
          </w:tcPr>
          <w:p w14:paraId="60454D62"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Instruction chain</w:t>
            </w:r>
          </w:p>
        </w:tc>
        <w:tc>
          <w:tcPr>
            <w:tcW w:w="3300" w:type="dxa"/>
            <w:shd w:val="clear" w:color="auto" w:fill="FFFFFF"/>
            <w:tcMar>
              <w:top w:w="110" w:type="dxa"/>
              <w:bottom w:w="110" w:type="dxa"/>
            </w:tcMar>
            <w:vAlign w:val="center"/>
          </w:tcPr>
          <w:p w14:paraId="5DB68570"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~2,142 tokens on disk</w:t>
            </w:r>
          </w:p>
        </w:tc>
        <w:tc>
          <w:tcPr>
            <w:tcW w:w="4020" w:type="dxa"/>
            <w:shd w:val="clear" w:color="auto" w:fill="FFFFFF"/>
            <w:tcMar>
              <w:top w:w="110" w:type="dxa"/>
              <w:bottom w:w="110" w:type="dxa"/>
            </w:tcMar>
            <w:vAlign w:val="center"/>
          </w:tcPr>
          <w:p w14:paraId="3E29F58D"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Fixed overhead is small relative to outlier turns</w:t>
            </w:r>
          </w:p>
        </w:tc>
      </w:tr>
      <w:tr w:rsidR="00BB10C3" w14:paraId="28949B76" w14:textId="77777777">
        <w:tc>
          <w:tcPr>
            <w:tcW w:w="1800" w:type="dxa"/>
            <w:shd w:val="clear" w:color="auto" w:fill="FFFFFF"/>
            <w:tcMar>
              <w:top w:w="110" w:type="dxa"/>
              <w:bottom w:w="110" w:type="dxa"/>
            </w:tcMar>
            <w:vAlign w:val="center"/>
          </w:tcPr>
          <w:p w14:paraId="13B597EC"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Caching</w:t>
            </w:r>
          </w:p>
        </w:tc>
        <w:tc>
          <w:tcPr>
            <w:tcW w:w="3300" w:type="dxa"/>
            <w:shd w:val="clear" w:color="auto" w:fill="FFFFFF"/>
            <w:tcMar>
              <w:top w:w="110" w:type="dxa"/>
              <w:bottom w:w="110" w:type="dxa"/>
            </w:tcMar>
            <w:vAlign w:val="center"/>
          </w:tcPr>
          <w:p w14:paraId="3891EAB6"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90.6% Claude read; 97.9% Codex cached</w:t>
            </w:r>
          </w:p>
        </w:tc>
        <w:tc>
          <w:tcPr>
            <w:tcW w:w="4020" w:type="dxa"/>
            <w:shd w:val="clear" w:color="auto" w:fill="FFFFFF"/>
            <w:tcMar>
              <w:top w:w="110" w:type="dxa"/>
              <w:bottom w:w="110" w:type="dxa"/>
            </w:tcMar>
            <w:vAlign w:val="center"/>
          </w:tcPr>
          <w:p w14:paraId="50E627E0"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Track absolute work, not cache ratio alone</w:t>
            </w:r>
          </w:p>
        </w:tc>
      </w:tr>
      <w:tr w:rsidR="00BB10C3" w14:paraId="646DF66E" w14:textId="77777777">
        <w:tc>
          <w:tcPr>
            <w:tcW w:w="1800" w:type="dxa"/>
            <w:shd w:val="clear" w:color="auto" w:fill="FFFFFF"/>
            <w:tcMar>
              <w:top w:w="110" w:type="dxa"/>
              <w:bottom w:w="110" w:type="dxa"/>
            </w:tcMar>
            <w:vAlign w:val="center"/>
          </w:tcPr>
          <w:p w14:paraId="681CC499"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Multi-agent fan-out</w:t>
            </w:r>
          </w:p>
        </w:tc>
        <w:tc>
          <w:tcPr>
            <w:tcW w:w="3300" w:type="dxa"/>
            <w:shd w:val="clear" w:color="auto" w:fill="FFFFFF"/>
            <w:tcMar>
              <w:top w:w="110" w:type="dxa"/>
              <w:bottom w:w="110" w:type="dxa"/>
            </w:tcMar>
            <w:vAlign w:val="center"/>
          </w:tcPr>
          <w:p w14:paraId="32AF0D68"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3 turns = 97.8% of Codex input</w:t>
            </w:r>
          </w:p>
        </w:tc>
        <w:tc>
          <w:tcPr>
            <w:tcW w:w="4020" w:type="dxa"/>
            <w:shd w:val="clear" w:color="auto" w:fill="FFFFFF"/>
            <w:tcMar>
              <w:top w:w="110" w:type="dxa"/>
              <w:bottom w:w="110" w:type="dxa"/>
            </w:tcMar>
            <w:vAlign w:val="center"/>
          </w:tcPr>
          <w:p w14:paraId="00A210DF" w14:textId="77777777" w:rsidR="00BB10C3" w:rsidRDefault="00000000">
            <w:pPr>
              <w:pBdr>
                <w:top w:val="nil"/>
                <w:left w:val="nil"/>
                <w:bottom w:val="nil"/>
                <w:right w:val="nil"/>
                <w:between w:val="nil"/>
              </w:pBdr>
              <w:spacing w:after="0" w:line="259" w:lineRule="auto"/>
              <w:rPr>
                <w:color w:val="000000"/>
                <w:sz w:val="18"/>
                <w:szCs w:val="18"/>
              </w:rPr>
            </w:pPr>
            <w:r>
              <w:rPr>
                <w:color w:val="000000"/>
                <w:sz w:val="18"/>
                <w:szCs w:val="18"/>
              </w:rPr>
              <w:t>Govern orchestration before shrinking references</w:t>
            </w:r>
          </w:p>
        </w:tc>
      </w:tr>
    </w:tbl>
    <w:p w14:paraId="6993B55F" w14:textId="77777777" w:rsidR="00BB10C3" w:rsidRDefault="00000000">
      <w:pPr>
        <w:pStyle w:val="Heading1"/>
        <w:pageBreakBefore/>
      </w:pPr>
      <w:bookmarkStart w:id="6" w:name="bookmark=id.vvr4bduzzdc0" w:colFirst="0" w:colLast="0"/>
      <w:bookmarkEnd w:id="6"/>
      <w:r>
        <w:lastRenderedPageBreak/>
        <w:t>Recommendations</w:t>
      </w:r>
    </w:p>
    <w:p w14:paraId="62A1F9E4" w14:textId="77777777" w:rsidR="00BB10C3" w:rsidRDefault="00000000">
      <w:r>
        <w:t>Prioritize controls that bound orchestration amplification while preserving the canonical instruction architecture.</w:t>
      </w:r>
    </w:p>
    <w:p w14:paraId="7AFC8DBF" w14:textId="77777777" w:rsidR="00BB10C3" w:rsidRDefault="00000000">
      <w:pPr>
        <w:keepLines/>
        <w:numPr>
          <w:ilvl w:val="0"/>
          <w:numId w:val="2"/>
        </w:numPr>
        <w:pBdr>
          <w:top w:val="nil"/>
          <w:left w:val="nil"/>
          <w:bottom w:val="nil"/>
          <w:right w:val="nil"/>
          <w:between w:val="nil"/>
        </w:pBdr>
        <w:spacing w:after="180"/>
      </w:pPr>
      <w:r>
        <w:rPr>
          <w:b/>
          <w:bCs/>
          <w:color w:val="000000"/>
        </w:rPr>
        <w:t xml:space="preserve">Bound fan-out. </w:t>
      </w:r>
      <w:r>
        <w:rPr>
          <w:color w:val="000000"/>
        </w:rPr>
        <w:t>Require an explicit agent count, parallel-branch limit, round-trip budget, and stopping rule for delegated work.</w:t>
      </w:r>
    </w:p>
    <w:p w14:paraId="45D6C422" w14:textId="77777777" w:rsidR="00BB10C3" w:rsidRDefault="00000000">
      <w:pPr>
        <w:keepLines/>
        <w:numPr>
          <w:ilvl w:val="0"/>
          <w:numId w:val="2"/>
        </w:numPr>
        <w:pBdr>
          <w:top w:val="nil"/>
          <w:left w:val="nil"/>
          <w:bottom w:val="nil"/>
          <w:right w:val="nil"/>
          <w:between w:val="nil"/>
        </w:pBdr>
        <w:spacing w:after="180"/>
      </w:pPr>
      <w:r>
        <w:rPr>
          <w:b/>
          <w:bCs/>
          <w:color w:val="000000"/>
        </w:rPr>
        <w:t xml:space="preserve">Calibrate reasoning effort. </w:t>
      </w:r>
      <w:r>
        <w:rPr>
          <w:color w:val="000000"/>
        </w:rPr>
        <w:t>Do not automatically inherit ultra reasoning across every subagent; select effort according to bounded subtask complexity.</w:t>
      </w:r>
    </w:p>
    <w:p w14:paraId="5B2F2DD5" w14:textId="77777777" w:rsidR="00BB10C3" w:rsidRDefault="00000000">
      <w:pPr>
        <w:keepLines/>
        <w:numPr>
          <w:ilvl w:val="0"/>
          <w:numId w:val="2"/>
        </w:numPr>
        <w:pBdr>
          <w:top w:val="nil"/>
          <w:left w:val="nil"/>
          <w:bottom w:val="nil"/>
          <w:right w:val="nil"/>
          <w:between w:val="nil"/>
        </w:pBdr>
        <w:spacing w:after="180"/>
      </w:pPr>
      <w:r>
        <w:rPr>
          <w:b/>
          <w:bCs/>
          <w:color w:val="000000"/>
        </w:rPr>
        <w:t xml:space="preserve">Attribute amplification. </w:t>
      </w:r>
      <w:r>
        <w:rPr>
          <w:color w:val="000000"/>
        </w:rPr>
        <w:t>Report root-turn and child-branch tokens, requests, context size, latency, and duplicate-work indicators as one execution tree.</w:t>
      </w:r>
    </w:p>
    <w:p w14:paraId="3BFE2A48" w14:textId="77777777" w:rsidR="00BB10C3" w:rsidRDefault="00000000">
      <w:pPr>
        <w:pStyle w:val="Heading2"/>
      </w:pPr>
      <w:bookmarkStart w:id="7" w:name="bookmark=id.rl3o3rp5qmnq" w:colFirst="0" w:colLast="0"/>
      <w:bookmarkEnd w:id="7"/>
      <w:r>
        <w:t>Conclusion</w:t>
      </w:r>
    </w:p>
    <w:p w14:paraId="20A8E732" w14:textId="77777777" w:rsidR="00BB10C3" w:rsidRDefault="00000000">
      <w:r>
        <w:t>The measured repository instruction system is structurally lean. Removing it would not materially change a 4.4M-token multi-agent turn. The first-order opportunity is governed orchestration: explicit fan-out limits, agent and round-trip budgets, reasoning-effort controls, and attribution from each child branch to its root turn.</w:t>
      </w:r>
    </w:p>
    <w:p w14:paraId="0ABA373E" w14:textId="77777777" w:rsidR="00BB10C3" w:rsidRDefault="00000000">
      <w:r>
        <w:t>A second-order opportunity remains in the response-level instruction manifest. Its estimated 425-token seed plus 315-token output table adds approximately 740 tokens per turn and can leave roughly 44K tokens resident by turn 60 before compaction. This should be evaluated without weakening instruction provenance.</w:t>
      </w:r>
    </w:p>
    <w:p w14:paraId="24E60357" w14:textId="77777777" w:rsidR="00BB10C3" w:rsidRDefault="00000000">
      <w:pPr>
        <w:pStyle w:val="Heading1"/>
        <w:pageBreakBefore/>
      </w:pPr>
      <w:bookmarkStart w:id="8" w:name="bookmark=id.cf45595vup8a" w:colFirst="0" w:colLast="0"/>
      <w:bookmarkEnd w:id="8"/>
      <w:r>
        <w:lastRenderedPageBreak/>
        <w:t>Appendix</w:t>
      </w:r>
    </w:p>
    <w:p w14:paraId="271AF4D4" w14:textId="77777777" w:rsidR="00BB10C3" w:rsidRDefault="00000000">
      <w:pPr>
        <w:pStyle w:val="Heading2"/>
      </w:pPr>
      <w:bookmarkStart w:id="9" w:name="bookmark=id.ptrg31dozyqs" w:colFirst="0" w:colLast="0"/>
      <w:bookmarkEnd w:id="9"/>
      <w:r>
        <w:t>Notes</w:t>
      </w:r>
    </w:p>
    <w:p w14:paraId="502F22C9" w14:textId="77777777" w:rsidR="00BB10C3" w:rsidRDefault="00000000">
      <w:r>
        <w:t>Measurement provenance. Claude Code metrics were derived from 521 requests across 13 local session transcripts. Codex metrics were derived from 12 turns containing token telemetry in the local Codex SQLite log. The datasets cover different units and are not directly comparable as runtime benchmarks.</w:t>
      </w:r>
    </w:p>
    <w:p w14:paraId="3B565495" w14:textId="77777777" w:rsidR="00BB10C3" w:rsidRDefault="00000000">
      <w:r>
        <w:t>Interpretive caveats. Cache percentages are denominators, not standalone efficiency scores. Stream-event count is not model-call count. Near-identical thread totals support, but do not independently prove, duplicate work. Codex wall-clock distribution was not included in the supplied measurement summary.</w:t>
      </w:r>
    </w:p>
    <w:p w14:paraId="79F7B09E" w14:textId="77777777" w:rsidR="00BB10C3" w:rsidRDefault="00000000">
      <w:pPr>
        <w:pStyle w:val="Heading2"/>
      </w:pPr>
      <w:bookmarkStart w:id="10" w:name="bookmark=id.nnk1eebni0ji" w:colFirst="0" w:colLast="0"/>
      <w:bookmarkEnd w:id="10"/>
      <w:r>
        <w:t>Sources and provenance</w:t>
      </w:r>
    </w:p>
    <w:p w14:paraId="2E3F8B18" w14:textId="77777777" w:rsidR="00BB10C3" w:rsidRDefault="00000000">
      <w:pPr>
        <w:keepLines/>
        <w:numPr>
          <w:ilvl w:val="0"/>
          <w:numId w:val="1"/>
        </w:numPr>
        <w:pBdr>
          <w:top w:val="nil"/>
          <w:left w:val="nil"/>
          <w:bottom w:val="nil"/>
          <w:right w:val="nil"/>
          <w:between w:val="nil"/>
        </w:pBdr>
        <w:spacing w:after="100"/>
      </w:pPr>
      <w:r>
        <w:rPr>
          <w:color w:val="000000"/>
        </w:rPr>
        <w:t>Claude Code investigation summary supplied by the repository owner, August 2026.</w:t>
      </w:r>
    </w:p>
    <w:p w14:paraId="56C7EE8F" w14:textId="77777777" w:rsidR="00BB10C3" w:rsidRDefault="00000000">
      <w:pPr>
        <w:keepLines/>
        <w:numPr>
          <w:ilvl w:val="0"/>
          <w:numId w:val="1"/>
        </w:numPr>
        <w:pBdr>
          <w:top w:val="nil"/>
          <w:left w:val="nil"/>
          <w:bottom w:val="nil"/>
          <w:right w:val="nil"/>
          <w:between w:val="nil"/>
        </w:pBdr>
        <w:spacing w:after="100"/>
      </w:pPr>
      <w:r>
        <w:rPr>
          <w:color w:val="000000"/>
        </w:rPr>
        <w:t>Claude Code local session transcripts: 521 requests across 13 sessions.</w:t>
      </w:r>
    </w:p>
    <w:p w14:paraId="4F17D1CB" w14:textId="77777777" w:rsidR="00BB10C3" w:rsidRDefault="00000000">
      <w:pPr>
        <w:keepLines/>
        <w:numPr>
          <w:ilvl w:val="0"/>
          <w:numId w:val="1"/>
        </w:numPr>
        <w:pBdr>
          <w:top w:val="nil"/>
          <w:left w:val="nil"/>
          <w:bottom w:val="nil"/>
          <w:right w:val="nil"/>
          <w:between w:val="nil"/>
        </w:pBdr>
        <w:spacing w:after="100"/>
      </w:pPr>
      <w:r>
        <w:rPr>
          <w:color w:val="000000"/>
        </w:rPr>
        <w:t>Codex local telemetry: 12 sampled turns from ~/.codex/logs_2.sqlite.</w:t>
      </w:r>
    </w:p>
    <w:p w14:paraId="5FD83D86" w14:textId="77777777" w:rsidR="00BB10C3" w:rsidRDefault="00000000">
      <w:pPr>
        <w:keepLines/>
        <w:numPr>
          <w:ilvl w:val="0"/>
          <w:numId w:val="1"/>
        </w:numPr>
        <w:pBdr>
          <w:top w:val="nil"/>
          <w:left w:val="nil"/>
          <w:bottom w:val="nil"/>
          <w:right w:val="nil"/>
          <w:between w:val="nil"/>
        </w:pBdr>
        <w:spacing w:after="100"/>
      </w:pPr>
      <w:r>
        <w:rPr>
          <w:color w:val="000000"/>
        </w:rPr>
        <w:t>Repository instruction-chain measurement: AGENTS.md, CLAUDE.md, runtime pointers, and six canonical instruction bodies.</w:t>
      </w:r>
    </w:p>
    <w:p w14:paraId="05BD2349" w14:textId="77777777" w:rsidR="00BB10C3" w:rsidRDefault="00BB10C3">
      <w:pPr>
        <w:keepLines/>
        <w:pBdr>
          <w:top w:val="nil"/>
          <w:left w:val="nil"/>
          <w:bottom w:val="nil"/>
          <w:right w:val="nil"/>
          <w:between w:val="nil"/>
        </w:pBdr>
        <w:spacing w:after="100"/>
      </w:pPr>
    </w:p>
    <w:p w14:paraId="43FF66AF" w14:textId="77777777" w:rsidR="00BB10C3" w:rsidRDefault="00000000">
      <w:pPr>
        <w:pStyle w:val="Heading1"/>
        <w:pageBreakBefore/>
      </w:pPr>
      <w:r>
        <w:lastRenderedPageBreak/>
        <w:t>My Interpretation</w:t>
      </w:r>
    </w:p>
    <w:p w14:paraId="38132622" w14:textId="77777777" w:rsidR="00BB10C3" w:rsidRDefault="00000000">
      <w:r>
        <w:t>This is the smoking gun. The 4.4M-token number does not represent one 4.4M-token context window. It represents a single user-visible turn that triggered many model requests whose input tokens were aggregated across root-agent requests, parallel subagents, repeated tool and reasoning cycles, inter-agent messages, and final synthesis.</w:t>
      </w:r>
    </w:p>
    <w:p w14:paraId="51AAC908" w14:textId="77777777" w:rsidR="00BB10C3" w:rsidRDefault="00000000">
      <w:pPr>
        <w:pStyle w:val="Heading2"/>
      </w:pPr>
      <w:r>
        <w:t xml:space="preserve">Why the </w:t>
      </w:r>
      <w:proofErr w:type="gramStart"/>
      <w:r>
        <w:t>outliers</w:t>
      </w:r>
      <w:proofErr w:type="gramEnd"/>
      <w:r>
        <w:t xml:space="preserve"> matter</w:t>
      </w:r>
    </w:p>
    <w:p w14:paraId="1FEF1A37" w14:textId="77777777" w:rsidR="00BB10C3" w:rsidRDefault="00000000">
      <w:pPr>
        <w:keepLines/>
        <w:numPr>
          <w:ilvl w:val="0"/>
          <w:numId w:val="1"/>
        </w:numPr>
        <w:pBdr>
          <w:top w:val="nil"/>
          <w:left w:val="nil"/>
          <w:bottom w:val="nil"/>
          <w:right w:val="nil"/>
          <w:between w:val="nil"/>
        </w:pBdr>
        <w:spacing w:after="100"/>
      </w:pPr>
      <w:r>
        <w:rPr>
          <w:color w:val="000000"/>
        </w:rPr>
        <w:t>Inter-agent communication spans identify these as multi-agent turns.</w:t>
      </w:r>
    </w:p>
    <w:p w14:paraId="32CD6F72" w14:textId="77777777" w:rsidR="00BB10C3" w:rsidRDefault="00000000">
      <w:pPr>
        <w:keepLines/>
        <w:numPr>
          <w:ilvl w:val="0"/>
          <w:numId w:val="1"/>
        </w:numPr>
        <w:pBdr>
          <w:top w:val="nil"/>
          <w:left w:val="nil"/>
          <w:bottom w:val="nil"/>
          <w:right w:val="nil"/>
          <w:between w:val="nil"/>
        </w:pBdr>
        <w:spacing w:after="100"/>
      </w:pPr>
      <w:r>
        <w:rPr>
          <w:color w:val="000000"/>
        </w:rPr>
        <w:t>Ultra reasoning effort made every participating agent operate at the most expensive configured reasoning setting.</w:t>
      </w:r>
    </w:p>
    <w:p w14:paraId="0E393C7D" w14:textId="77777777" w:rsidR="00BB10C3" w:rsidRDefault="00000000">
      <w:pPr>
        <w:keepLines/>
        <w:numPr>
          <w:ilvl w:val="0"/>
          <w:numId w:val="1"/>
        </w:numPr>
        <w:pBdr>
          <w:top w:val="nil"/>
          <w:left w:val="nil"/>
          <w:bottom w:val="nil"/>
          <w:right w:val="nil"/>
          <w:between w:val="nil"/>
        </w:pBdr>
        <w:spacing w:after="100"/>
      </w:pPr>
      <w:r>
        <w:rPr>
          <w:color w:val="000000"/>
        </w:rPr>
        <w:t>Two thread IDs with near-identical counts suggest duplicated parallel branches or highly symmetric fan-out.</w:t>
      </w:r>
    </w:p>
    <w:p w14:paraId="44D2333E" w14:textId="77777777" w:rsidR="00BB10C3" w:rsidRDefault="00000000">
      <w:pPr>
        <w:keepLines/>
        <w:numPr>
          <w:ilvl w:val="0"/>
          <w:numId w:val="1"/>
        </w:numPr>
        <w:pBdr>
          <w:top w:val="nil"/>
          <w:left w:val="nil"/>
          <w:bottom w:val="nil"/>
          <w:right w:val="nil"/>
          <w:between w:val="nil"/>
        </w:pBdr>
        <w:spacing w:after="100"/>
      </w:pPr>
      <w:r>
        <w:rPr>
          <w:color w:val="000000"/>
        </w:rPr>
        <w:t>The 1,732 stream events show a highly active execution, although stream events are not equivalent to model calls.</w:t>
      </w:r>
    </w:p>
    <w:p w14:paraId="4F04B554" w14:textId="77777777" w:rsidR="00BB10C3" w:rsidRDefault="00000000">
      <w:pPr>
        <w:keepLines/>
        <w:numPr>
          <w:ilvl w:val="0"/>
          <w:numId w:val="1"/>
        </w:numPr>
        <w:pBdr>
          <w:top w:val="nil"/>
          <w:left w:val="nil"/>
          <w:bottom w:val="nil"/>
          <w:right w:val="nil"/>
          <w:between w:val="nil"/>
        </w:pBdr>
        <w:spacing w:after="100"/>
      </w:pPr>
      <w:r>
        <w:rPr>
          <w:color w:val="000000"/>
        </w:rPr>
        <w:t>The other nine turns used only 17K–62K input tokens—a roughly 70–260× difference from the 4.4M outlier.</w:t>
      </w:r>
    </w:p>
    <w:p w14:paraId="02AD2F43" w14:textId="77777777" w:rsidR="00BB10C3" w:rsidRDefault="00000000">
      <w:pPr>
        <w:pStyle w:val="Heading2"/>
      </w:pPr>
      <w:r>
        <w:t>Optimization priority</w:t>
      </w:r>
    </w:p>
    <w:p w14:paraId="48FAC55A" w14:textId="77777777" w:rsidR="00BB10C3" w:rsidRDefault="00000000">
      <w:pPr>
        <w:keepLines/>
        <w:numPr>
          <w:ilvl w:val="0"/>
          <w:numId w:val="1"/>
        </w:numPr>
        <w:pBdr>
          <w:top w:val="nil"/>
          <w:left w:val="nil"/>
          <w:bottom w:val="nil"/>
          <w:right w:val="nil"/>
          <w:between w:val="nil"/>
        </w:pBdr>
        <w:spacing w:after="100"/>
      </w:pPr>
      <w:r>
        <w:rPr>
          <w:color w:val="000000"/>
        </w:rPr>
        <w:t>Control fan-out before reducing repository context.</w:t>
      </w:r>
    </w:p>
    <w:p w14:paraId="5771E763" w14:textId="77777777" w:rsidR="00BB10C3" w:rsidRDefault="00000000">
      <w:pPr>
        <w:keepLines/>
        <w:numPr>
          <w:ilvl w:val="0"/>
          <w:numId w:val="1"/>
        </w:numPr>
        <w:pBdr>
          <w:top w:val="nil"/>
          <w:left w:val="nil"/>
          <w:bottom w:val="nil"/>
          <w:right w:val="nil"/>
          <w:between w:val="nil"/>
        </w:pBdr>
        <w:spacing w:after="100"/>
      </w:pPr>
      <w:r>
        <w:rPr>
          <w:color w:val="000000"/>
        </w:rPr>
        <w:t>Give delegation an explicit agent, round-trip, and token budget.</w:t>
      </w:r>
    </w:p>
    <w:p w14:paraId="47C69BB4" w14:textId="77777777" w:rsidR="00BB10C3" w:rsidRDefault="00000000">
      <w:pPr>
        <w:keepLines/>
        <w:numPr>
          <w:ilvl w:val="0"/>
          <w:numId w:val="1"/>
        </w:numPr>
        <w:pBdr>
          <w:top w:val="nil"/>
          <w:left w:val="nil"/>
          <w:bottom w:val="nil"/>
          <w:right w:val="nil"/>
          <w:between w:val="nil"/>
        </w:pBdr>
        <w:spacing w:after="100"/>
      </w:pPr>
      <w:r>
        <w:rPr>
          <w:color w:val="000000"/>
        </w:rPr>
        <w:t>Avoid inheriting ultra reasoning across every subagent by default.</w:t>
      </w:r>
    </w:p>
    <w:p w14:paraId="295020F5" w14:textId="77777777" w:rsidR="00BB10C3" w:rsidRDefault="00000000">
      <w:pPr>
        <w:keepLines/>
        <w:numPr>
          <w:ilvl w:val="0"/>
          <w:numId w:val="1"/>
        </w:numPr>
        <w:pBdr>
          <w:top w:val="nil"/>
          <w:left w:val="nil"/>
          <w:bottom w:val="nil"/>
          <w:right w:val="nil"/>
          <w:between w:val="nil"/>
        </w:pBdr>
        <w:spacing w:after="100"/>
      </w:pPr>
      <w:r>
        <w:rPr>
          <w:color w:val="000000"/>
        </w:rPr>
        <w:t>Require bounded subtasks and early termination when branches converge.</w:t>
      </w:r>
    </w:p>
    <w:p w14:paraId="020D254F" w14:textId="77777777" w:rsidR="00BB10C3" w:rsidRDefault="00000000">
      <w:pPr>
        <w:keepLines/>
        <w:numPr>
          <w:ilvl w:val="0"/>
          <w:numId w:val="1"/>
        </w:numPr>
        <w:pBdr>
          <w:top w:val="nil"/>
          <w:left w:val="nil"/>
          <w:bottom w:val="nil"/>
          <w:right w:val="nil"/>
          <w:between w:val="nil"/>
        </w:pBdr>
        <w:spacing w:after="100"/>
      </w:pPr>
      <w:r>
        <w:rPr>
          <w:color w:val="000000"/>
        </w:rPr>
        <w:t>Detect duplicate or nearly identical parallel investigations.</w:t>
      </w:r>
    </w:p>
    <w:p w14:paraId="4D5CF40E" w14:textId="77777777" w:rsidR="00BB10C3" w:rsidRDefault="00000000">
      <w:pPr>
        <w:keepLines/>
        <w:numPr>
          <w:ilvl w:val="0"/>
          <w:numId w:val="1"/>
        </w:numPr>
        <w:pBdr>
          <w:top w:val="nil"/>
          <w:left w:val="nil"/>
          <w:bottom w:val="nil"/>
          <w:right w:val="nil"/>
          <w:between w:val="nil"/>
        </w:pBdr>
        <w:spacing w:after="100"/>
      </w:pPr>
      <w:r>
        <w:rPr>
          <w:color w:val="000000"/>
        </w:rPr>
        <w:t>Attribute usage to the root turn and each child branch so amplification is visible.</w:t>
      </w:r>
    </w:p>
    <w:p w14:paraId="020BAB50" w14:textId="77777777" w:rsidR="00BB10C3" w:rsidRDefault="00000000">
      <w:pPr>
        <w:pStyle w:val="Heading2"/>
      </w:pPr>
      <w:r>
        <w:t>Proposed metric</w:t>
      </w:r>
    </w:p>
    <w:p w14:paraId="14B7C799" w14:textId="77777777" w:rsidR="00BB10C3" w:rsidRDefault="00000000">
      <w:r>
        <w:t>Fan-out amplification = total input across the root agent and all descendants ÷ the root agent’s direct input. This exposes whether an ordinary 50K root turn became 500K, 2M, or 4.4M through delegation.</w:t>
      </w:r>
    </w:p>
    <w:p w14:paraId="69710083" w14:textId="77777777" w:rsidR="00BB10C3" w:rsidRDefault="00000000">
      <w:pPr>
        <w:pStyle w:val="Heading2"/>
      </w:pPr>
      <w:r>
        <w:t>Assessment</w:t>
      </w:r>
    </w:p>
    <w:p w14:paraId="2F2DA0D2" w14:textId="77777777" w:rsidR="00BB10C3" w:rsidRDefault="00000000">
      <w:r>
        <w:t xml:space="preserve">The earlier 333M/349M headline should be treated cautiously because it likely covered a broader or repeatedly counted scope. This narrower turn-level measurement is more </w:t>
      </w:r>
      <w:r>
        <w:lastRenderedPageBreak/>
        <w:t>diagnostic: the repository’s fixed instruction layer is small, while a handful of multi-agent executions dominate consumption.</w:t>
      </w:r>
    </w:p>
    <w:p w14:paraId="047F5C1A" w14:textId="77777777" w:rsidR="00BB10C3" w:rsidRDefault="00000000">
      <w:r>
        <w:t>The immediate architectural candidate is a governed orchestration budget—not a context-reference cleanup.</w:t>
      </w:r>
    </w:p>
    <w:sectPr w:rsidR="00BB10C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F48362" w14:textId="77777777" w:rsidR="000F241C" w:rsidRDefault="000F241C">
      <w:pPr>
        <w:spacing w:after="0" w:line="240" w:lineRule="auto"/>
      </w:pPr>
      <w:r>
        <w:separator/>
      </w:r>
    </w:p>
  </w:endnote>
  <w:endnote w:type="continuationSeparator" w:id="0">
    <w:p w14:paraId="7269AE51" w14:textId="77777777" w:rsidR="000F241C" w:rsidRDefault="000F2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54A9C67E-69A0-0D47-A550-EBA3F356920B}"/>
  </w:font>
  <w:font w:name="Aptos">
    <w:panose1 w:val="020B0004020202020204"/>
    <w:charset w:val="00"/>
    <w:family w:val="swiss"/>
    <w:pitch w:val="variable"/>
    <w:sig w:usb0="20000287" w:usb1="00000003" w:usb2="00000000" w:usb3="00000000" w:csb0="0000019F" w:csb1="00000000"/>
    <w:embedRegular r:id="rId5" w:fontKey="{4DD6B2E7-BE6B-6948-B8CC-3C489A3A0156}"/>
  </w:font>
  <w:font w:name="Calibri">
    <w:panose1 w:val="020F0502020204030204"/>
    <w:charset w:val="00"/>
    <w:family w:val="swiss"/>
    <w:pitch w:val="variable"/>
    <w:sig w:usb0="E4002EFF" w:usb1="C200247B" w:usb2="00000009" w:usb3="00000000" w:csb0="000001FF" w:csb1="00000000"/>
    <w:embedRegular r:id="rId6" w:fontKey="{3D49245F-BF44-824E-ACE7-82717790BAF7}"/>
  </w:font>
  <w:font w:name="Cambria">
    <w:panose1 w:val="02040503050406030204"/>
    <w:charset w:val="00"/>
    <w:family w:val="roman"/>
    <w:pitch w:val="variable"/>
    <w:sig w:usb0="E00006FF" w:usb1="420024FF" w:usb2="02000000" w:usb3="00000000" w:csb0="0000019F" w:csb1="00000000"/>
    <w:embedRegular r:id="rId7" w:fontKey="{622D28B6-569D-2144-9A83-0F200748D3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60CDC2" w14:textId="77777777" w:rsidR="00BB10C3" w:rsidRDefault="00BB10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48E38" w14:textId="77777777" w:rsidR="00BB10C3" w:rsidRDefault="00000000">
    <w:pPr>
      <w:pBdr>
        <w:top w:val="nil"/>
        <w:left w:val="nil"/>
        <w:bottom w:val="nil"/>
        <w:right w:val="nil"/>
        <w:between w:val="nil"/>
      </w:pBdr>
      <w:spacing w:after="0" w:line="278" w:lineRule="auto"/>
      <w:jc w:val="right"/>
      <w:rPr>
        <w:color w:val="7A7A7A"/>
        <w:sz w:val="18"/>
        <w:szCs w:val="18"/>
      </w:rPr>
    </w:pPr>
    <w:r>
      <w:rPr>
        <w:color w:val="7A7A7A"/>
        <w:sz w:val="18"/>
        <w:szCs w:val="18"/>
      </w:rPr>
      <w:fldChar w:fldCharType="begin"/>
    </w:r>
    <w:r>
      <w:rPr>
        <w:color w:val="7A7A7A"/>
        <w:sz w:val="18"/>
        <w:szCs w:val="18"/>
      </w:rPr>
      <w:instrText>PAGE</w:instrText>
    </w:r>
    <w:r>
      <w:rPr>
        <w:color w:val="7A7A7A"/>
        <w:sz w:val="18"/>
        <w:szCs w:val="18"/>
      </w:rPr>
      <w:fldChar w:fldCharType="separate"/>
    </w:r>
    <w:r w:rsidR="003B2425">
      <w:rPr>
        <w:noProof/>
        <w:color w:val="7A7A7A"/>
        <w:sz w:val="18"/>
        <w:szCs w:val="18"/>
      </w:rPr>
      <w:t>1</w:t>
    </w:r>
    <w:r>
      <w:rPr>
        <w:color w:val="7A7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04430" w14:textId="77777777" w:rsidR="000F241C" w:rsidRDefault="000F241C">
      <w:pPr>
        <w:spacing w:after="0" w:line="240" w:lineRule="auto"/>
      </w:pPr>
      <w:r>
        <w:separator/>
      </w:r>
    </w:p>
  </w:footnote>
  <w:footnote w:type="continuationSeparator" w:id="0">
    <w:p w14:paraId="688274EA" w14:textId="77777777" w:rsidR="000F241C" w:rsidRDefault="000F2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7EB189" w14:textId="77777777" w:rsidR="00BB10C3" w:rsidRDefault="00BB10C3">
    <w:pPr>
      <w:pBdr>
        <w:top w:val="nil"/>
        <w:left w:val="nil"/>
        <w:bottom w:val="single" w:sz="4" w:space="5" w:color="D9D9D9"/>
        <w:right w:val="nil"/>
        <w:between w:val="nil"/>
      </w:pBdr>
      <w:spacing w:after="80" w:line="278" w:lineRule="auto"/>
      <w:rPr>
        <w:color w:val="7A7A7A"/>
        <w:sz w:val="17"/>
        <w:szCs w:val="17"/>
      </w:rPr>
    </w:pPr>
  </w:p>
  <w:sdt>
    <w:sdtPr>
      <w:tag w:val="goog_rdk_0"/>
      <w:id w:val="2109222018"/>
      <w:lock w:val="contentLocked"/>
    </w:sdtPr>
    <w:sdtContent>
      <w:tbl>
        <w:tblPr>
          <w:tblStyle w:val="a1"/>
          <w:tblW w:w="9360" w:type="dxa"/>
          <w:tblInd w:w="0" w:type="dxa"/>
          <w:tblLayout w:type="fixed"/>
          <w:tblLook w:val="0600" w:firstRow="0" w:lastRow="0" w:firstColumn="0" w:lastColumn="0" w:noHBand="1" w:noVBand="1"/>
        </w:tblPr>
        <w:tblGrid>
          <w:gridCol w:w="4680"/>
          <w:gridCol w:w="4680"/>
        </w:tblGrid>
        <w:tr w:rsidR="00BB10C3" w14:paraId="154CCB1F" w14:textId="77777777">
          <w:trPr>
            <w:cantSplit/>
            <w:trHeight w:val="325"/>
          </w:trPr>
          <w:tc>
            <w:tcPr>
              <w:tcW w:w="4680" w:type="dxa"/>
              <w:tcMar>
                <w:top w:w="0" w:type="dxa"/>
                <w:left w:w="0" w:type="dxa"/>
                <w:bottom w:w="0" w:type="dxa"/>
                <w:right w:w="0" w:type="dxa"/>
              </w:tcMar>
            </w:tcPr>
            <w:p w14:paraId="496DAB16" w14:textId="77777777" w:rsidR="00BB10C3" w:rsidRDefault="00000000">
              <w:pPr>
                <w:pBdr>
                  <w:top w:val="nil"/>
                  <w:left w:val="nil"/>
                  <w:bottom w:val="nil"/>
                  <w:right w:val="nil"/>
                  <w:between w:val="nil"/>
                </w:pBdr>
                <w:spacing w:after="80" w:line="278" w:lineRule="auto"/>
                <w:rPr>
                  <w:color w:val="7A7A7A"/>
                  <w:sz w:val="17"/>
                  <w:szCs w:val="17"/>
                </w:rPr>
              </w:pPr>
              <w:r>
                <w:rPr>
                  <w:color w:val="7A7A7A"/>
                  <w:sz w:val="17"/>
                  <w:szCs w:val="17"/>
                </w:rPr>
                <w:t>Runtime Efficiency Assessment</w:t>
              </w:r>
            </w:p>
            <w:p w14:paraId="0F494E6D" w14:textId="77777777" w:rsidR="00BB10C3" w:rsidRDefault="00BB10C3">
              <w:pPr>
                <w:widowControl w:val="0"/>
                <w:pBdr>
                  <w:top w:val="nil"/>
                  <w:left w:val="nil"/>
                  <w:bottom w:val="nil"/>
                  <w:right w:val="nil"/>
                  <w:between w:val="nil"/>
                </w:pBdr>
                <w:spacing w:after="0" w:line="240" w:lineRule="auto"/>
                <w:rPr>
                  <w:color w:val="7A7A7A"/>
                  <w:sz w:val="17"/>
                  <w:szCs w:val="17"/>
                </w:rPr>
              </w:pPr>
            </w:p>
          </w:tc>
          <w:tc>
            <w:tcPr>
              <w:tcW w:w="4680" w:type="dxa"/>
              <w:tcMar>
                <w:top w:w="0" w:type="dxa"/>
                <w:left w:w="0" w:type="dxa"/>
                <w:bottom w:w="0" w:type="dxa"/>
                <w:right w:w="0" w:type="dxa"/>
              </w:tcMar>
            </w:tcPr>
            <w:p w14:paraId="0A526080" w14:textId="77777777" w:rsidR="00BB10C3" w:rsidRDefault="00000000">
              <w:pPr>
                <w:widowControl w:val="0"/>
                <w:pBdr>
                  <w:top w:val="nil"/>
                  <w:left w:val="nil"/>
                  <w:bottom w:val="nil"/>
                  <w:right w:val="nil"/>
                  <w:between w:val="nil"/>
                </w:pBdr>
                <w:spacing w:after="0" w:line="240" w:lineRule="auto"/>
                <w:jc w:val="right"/>
                <w:rPr>
                  <w:color w:val="7A7A7A"/>
                  <w:sz w:val="17"/>
                  <w:szCs w:val="17"/>
                </w:rPr>
              </w:pPr>
              <w:r>
                <w:rPr>
                  <w:color w:val="7A7A7A"/>
                  <w:sz w:val="17"/>
                  <w:szCs w:val="17"/>
                </w:rPr>
                <w:t>August 2026</w:t>
              </w:r>
            </w:p>
          </w:tc>
        </w:tr>
      </w:tbl>
    </w:sdtContent>
  </w:sdt>
  <w:p w14:paraId="3E1915B7" w14:textId="77777777" w:rsidR="00BB10C3" w:rsidRDefault="00BB10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76724B"/>
    <w:multiLevelType w:val="multilevel"/>
    <w:tmpl w:val="E6B8DDAE"/>
    <w:lvl w:ilvl="0">
      <w:start w:val="1"/>
      <w:numFmt w:val="decimal"/>
      <w:lvlText w:val="%1."/>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6377C78"/>
    <w:multiLevelType w:val="multilevel"/>
    <w:tmpl w:val="A5705226"/>
    <w:lvl w:ilvl="0">
      <w:start w:val="1"/>
      <w:numFmt w:val="bullet"/>
      <w:lvlText w:val="•"/>
      <w:lvlJc w:val="left"/>
      <w:pPr>
        <w:ind w:left="540" w:hanging="270"/>
      </w:pPr>
      <w:rPr>
        <w:rFonts w:ascii="Helvetica Neue" w:eastAsia="Helvetica Neue" w:hAnsi="Helvetica Neue" w:cs="Helvetica Neu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6298479">
    <w:abstractNumId w:val="1"/>
  </w:num>
  <w:num w:numId="2" w16cid:durableId="3449376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0C3"/>
    <w:rsid w:val="000F241C"/>
    <w:rsid w:val="003B2425"/>
    <w:rsid w:val="004B0F96"/>
    <w:rsid w:val="009E385C"/>
    <w:rsid w:val="00BB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0A589"/>
  <w15:docId w15:val="{913F40F7-60F0-E347-A087-AFA21D47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color w:val="000000"/>
      <w:sz w:val="48"/>
      <w:szCs w:val="48"/>
    </w:rPr>
  </w:style>
  <w:style w:type="paragraph" w:styleId="Heading2">
    <w:name w:val="heading 2"/>
    <w:basedOn w:val="Normal"/>
    <w:next w:val="Normal"/>
    <w:uiPriority w:val="9"/>
    <w:unhideWhenUsed/>
    <w:qFormat/>
    <w:pPr>
      <w:keepNext/>
      <w:keepLines/>
      <w:spacing w:before="280"/>
      <w:outlineLvl w:val="1"/>
    </w:pPr>
    <w:rPr>
      <w:color w:val="000000"/>
      <w:sz w:val="30"/>
      <w:szCs w:val="30"/>
    </w:rPr>
  </w:style>
  <w:style w:type="paragraph" w:styleId="Heading3">
    <w:name w:val="heading 3"/>
    <w:basedOn w:val="Normal"/>
    <w:next w:val="Normal"/>
    <w:uiPriority w:val="9"/>
    <w:semiHidden/>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00" w:line="278" w:lineRule="auto"/>
    </w:pPr>
    <w:rPr>
      <w:b/>
      <w:bCs/>
      <w:sz w:val="80"/>
      <w:szCs w:val="8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Buccat</cp:lastModifiedBy>
  <cp:revision>2</cp:revision>
  <dcterms:created xsi:type="dcterms:W3CDTF">2026-08-06T16:47:00Z</dcterms:created>
  <dcterms:modified xsi:type="dcterms:W3CDTF">2026-08-06T16:47:00Z</dcterms:modified>
</cp:coreProperties>
</file>