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200000"/>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200000"/>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Runtime Efficiency Assessment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Claude and Codex telemetry on context caching, instruction overhead, and multi-agent fan-out</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from Claude Code investigation</w:t>
            </w:r>
          </w:p>
          <w:p w14:paraId="00000007">
            <w:pPr>
              <w:spacing w:after="0" w:line="240" w:lineRule="auto"/>
              <w:rPr>
                <w:color w:val="666666"/>
              </w:rPr>
            </w:pPr>
            <w:r>
              <w:rPr>
                <w:color w:val="666666"/>
                <w:rtl w:val="0"/>
              </w:rPr>
              <w:t xml:space="preserve">August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4</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5</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5</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6</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6</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My Interpretation</w:t>
              <w:tab/>
              <w:t xml:space="preserve">7</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Direct telemetry from Claude Code and Codex indicates that the repository's layered instruction architecture is not the primary source of high token consumption or long-running turns. The measured instruction chain is approximately 2,142 tokens, while three Codex turns involving multi-agent communication account for 97.8% of the sampled Codex input tokens.</w:t>
      </w:r>
    </w:p>
    <w:p w14:paraId="00000019">
      <w:pPr>
        <w:rPr/>
      </w:pPr>
      <w:r>
        <w:rPr>
          <w:rtl w:val="0"/>
        </w:rPr>
        <w:t xml:space="preserve">The dominant cost pattern is orchestration amplification: repeated model requests, large contexts, parallel agents, and ultra reasoning effort. Prompt caching is extensive in both runtimes, but cache percentage alone is not an efficiency metric. Absolute round-trips, non-cached input, context size, fan-out, and generation work remain decisive.</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fixed instruction chain is small: 8,569 bytes, or approximately 2,142 tokens.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Three multi-agent Codex turns account for 97.8% of sampled Codex input tokens.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per-turn instruction manifest is the only measured control-plane cost that compounds with conversation length.</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This assessment was initiated to test whether repository growth, layered instruction routing, and runtime adapters were causing increasingly slow agent turns. Claude directly measured local Claude Code transcripts and Codex token telemetry, then compared those measurements with the instruction chain stored on disk.</w:t>
      </w:r>
    </w:p>
    <w:p w14:paraId="00000020">
      <w:pPr>
        <w:rPr/>
      </w:pPr>
      <w:r>
        <w:rPr>
          <w:rtl w:val="0"/>
        </w:rPr>
        <w:t xml:space="preserve">The investigation completed the direct measurement phase. A planned ten-agent workflow—five dimensional analyses plus adversarial verification—ran for roughly four minutes but was stopped before synthesis and returned no results. Its incomplete output is not used as evidence in this report.</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Claude Code: 521 requests across 13 session transcripts produced 47,284,889 input tokens. Cache reads were 42,825,664 (90.6%) and cache writes were 4,458,010 (9.4%). Context per request was 75,264 at the median, 176,091 at p90, and 201,293 maximum. Model calls per turn were 2 at the median and 3 at p90; median turn wall-clock time was 11 seconds.</w:t>
      </w:r>
    </w:p>
    <w:p w14:paraId="00000023">
      <w:pPr>
        <w:pStyle w:val="Heading2"/>
        <w:rPr/>
      </w:pPr>
      <w:r>
        <w:rPr>
          <w:rtl w:val="0"/>
        </w:rPr>
        <w:t xml:space="preserve">Context and conditions</w:t>
      </w:r>
    </w:p>
    <w:p w14:paraId="00000024">
      <w:pPr>
        <w:rPr/>
      </w:pPr>
      <w:r>
        <w:rPr>
          <w:rtl w:val="0"/>
        </w:rPr>
        <w:t xml:space="preserve">Codex: 12 turns with token telemetry produced 11,109,921 input tokens, of which 10,881,792 were cached (97.9%) and 228,129 were non-cached (2.1%). Output totaled 41,574 tokens, with reasoning tokens representing 48% of output.</w:t>
      </w:r>
    </w:p>
    <w:p w14:paraId="00000025">
      <w:pPr>
        <w:pStyle w:val="Heading2"/>
        <w:rPr/>
      </w:pPr>
      <w:r>
        <w:rPr>
          <w:rtl w:val="0"/>
        </w:rPr>
        <w:t xml:space="preserve">Patterns in the evidence</w:t>
      </w:r>
    </w:p>
    <w:p w14:paraId="00000026">
      <w:pPr>
        <w:rPr/>
      </w:pPr>
      <w:r>
        <w:rPr>
          <w:rtl w:val="0"/>
        </w:rPr>
        <w:t xml:space="preserve">The Codex distribution was sharply bimodal. Three turns generated 97.8% of all sampled input. The largest turn accumulated 4,412,575 input tokens—4,325,376 cached and 87,199 non-cached—plus 15,151 output tokens across 1,732 stream events. All three outliers carried inter-agent communication spans at ultra reasoning effort; two thread IDs had near-identical counts, consistent with parallel fan-out. The remaining nine turns used 17K–62K input tokens each.</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Turn cost is approximately round-trips multiplied by context per request, then amplified by parallel fan-out. A high cache ratio does not neutralize that amplification.</w:t>
      </w:r>
      <w:r>
        <w:rPr>
          <w:rtl w:val="0"/>
        </w:rPr>
      </w:r>
    </w:p>
    <w:p w14:paraId="00000029">
      <w:pPr>
        <w:pStyle w:val="Heading2"/>
        <w:rPr/>
      </w:pPr>
      <w:r>
        <w:rPr>
          <w:rtl w:val="0"/>
        </w:rPr>
      </w:r>
    </w:p>
    <w:bookmarkStart w:colFirst="0" w:colLast="0" w:name="bookmark=id.suv0vlq0gz4r" w:id="5"/>
    <w:bookmarkEnd w:id="5"/>
    <w:p w14:paraId="0000002A">
      <w:pPr>
        <w:pStyle w:val="Heading2"/>
        <w:rPr/>
        <w:pageBreakBefore w:val="1"/>
      </w:pPr>
      <w:r>
        <w:rPr>
          <w:rtl w:val="0"/>
        </w:rPr>
        <w:t xml:space="preserve">Implications</w:t>
      </w:r>
    </w:p>
    <w:p w14:paraId="0000002B">
      <w:pPr>
        <w:rPr/>
      </w:pPr>
      <w:r>
        <w:rPr>
          <w:rtl w:val="0"/>
        </w:rPr>
        <w:t xml:space="preserve">The evidence separates fixed repository context from execution amplification. The control plane is a small, stable prefix; the expensive turns arise when that prefix and a much larger working context are repeatedly presented across root-agent and child-agent requests.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Instruction chain</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~2,142 tokens on disk</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Fixed overhead is small relative to outlier turns</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Caching</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90.6% Claude read; 97.9% Codex cached</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Track absolute work, not cache ratio alone</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Multi-agent fan-out</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 turns = 97.8% of Codex input</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Govern orchestration before shrinking references</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Prioritize controls that bound orchestration amplification while preserving the canonical instruction architecture.</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Bound fan-out.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Require an explicit agent count, parallel-branch limit, round-trip budget, and stopping rule for delegated work.</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Calibrate reasoning effort.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automatically inherit ultra reasoning across every subagent; select effort according to bounded subtask complexity.</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Attribute amplification.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Report root-turn and child-branch tokens, requests, context size, latency, and duplicate-work indicators as one execution tree.</w:t>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The measured repository instruction system is structurally lean. Removing it would not materially change a 4.4M-token multi-agent turn. The first-order opportunity is governed orchestration: explicit fan-out limits, agent and round-trip budgets, reasoning-effort controls, and attribution from each child branch to its root turn.</w:t>
      </w:r>
    </w:p>
    <w:p w14:paraId="0000003F">
      <w:pPr>
        <w:rPr/>
      </w:pPr>
      <w:r>
        <w:rPr>
          <w:rtl w:val="0"/>
        </w:rPr>
        <w:t xml:space="preserve">A second-order opportunity remains in the response-level instruction manifest. Its estimated 425-token seed plus 315-token output table adds approximately 740 tokens per turn and can leave roughly 44K tokens resident by turn 60 before compaction. This should be evaluated without weakening instruction provenance.</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 xml:space="preserve">Measurement provenance. Claude Code metrics were derived from 521 requests across 13 local session transcripts. Codex metrics were derived from 12 turns containing token telemetry in the local Codex SQLite log. The datasets cover different units and are not directly comparable as runtime benchmarks.</w:t>
      </w:r>
    </w:p>
    <w:p w14:paraId="00000043">
      <w:pPr>
        <w:rPr/>
      </w:pPr>
      <w:r>
        <w:rPr>
          <w:rtl w:val="0"/>
        </w:rPr>
        <w:t xml:space="preserve">Interpretive caveats. Cache percentages are denominators, not standalone efficiency scores. Stream-event count is not model-call count. Near-identical thread totals support, but do not independently prove, duplicate work. Codex wall-clock distribution was not included in the supplied measurement summary.</w:t>
      </w:r>
    </w:p>
    <w:bookmarkStart w:colFirst="0" w:colLast="0" w:name="bookmark=id.nnk1eebni0ji" w:id="10"/>
    <w:bookmarkEnd w:id="10"/>
    <w:p w14:paraId="00000044">
      <w:pPr>
        <w:pStyle w:val="Heading2"/>
        <w:rPr/>
      </w:pPr>
      <w:r>
        <w:rPr>
          <w:rtl w:val="0"/>
        </w:rPr>
        <w:t xml:space="preserve">Sources and provenance</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Claude Code investigation summary supplied by the repository owner, August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Claude Code local session transcripts: 521 requests across 13 sessions.</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Codex local telemetry: 12 sampled turns from ~/.codex/logs_2.sqlite.</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Repository instruction-chain measurement: AGENTS.md, CLAUDE.md, runtime pointers, and six canonical instruction bodies.</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0">
      <w:pPr>
        <w:pStyle w:val="Heading1"/>
        <w:pageBreakBefore w:val="1"/>
        <w:rPr/>
      </w:pPr>
      <w:r>
        <w:rPr>
          <w:rtl w:val="0"/>
        </w:rPr>
        <w:t xml:space="preserve">My Interpretation</w:t>
      </w:r>
    </w:p>
    <w:p w14:paraId="00000018">
      <w:pPr>
        <w:rPr/>
      </w:pPr>
      <w:r>
        <w:rPr>
          <w:rtl w:val="0"/>
        </w:rPr>
        <w:t xml:space="preserve">This is the smoking gun. The 4.4M-token number does not represent one 4.4M-token context window. It represents a single user-visible turn that triggered many model requests whose input tokens were aggregated across root-agent requests, parallel subagents, repeated tool and reasoning cycles, inter-agent messages, and final synthesis.</w:t>
      </w:r>
    </w:p>
    <w:p w14:paraId="00000041">
      <w:pPr>
        <w:pStyle w:val="Heading2"/>
        <w:rPr/>
      </w:pPr>
      <w:r>
        <w:rPr>
          <w:rtl w:val="0"/>
        </w:rPr>
        <w:t xml:space="preserve">Why the outliers matter</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Inter-agent communication spans identify these as multi-agent turns.</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Ultra reasoning effort made every participating agent operate at the most expensive configured reasoning setting.</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Two thread IDs with near-identical counts suggest duplicated parallel branches or highly symmetric fan-out.</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1,732 stream events show a highly active execution, although stream events are not equivalent to model calls.</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other nine turns used only 17K–62K input tokens—a roughly 70–260× difference from the 4.4M outlier.</w:t>
      </w:r>
    </w:p>
    <w:p w14:paraId="00000041">
      <w:pPr>
        <w:pStyle w:val="Heading2"/>
        <w:rPr/>
      </w:pPr>
      <w:r>
        <w:rPr>
          <w:rtl w:val="0"/>
        </w:rPr>
        <w:t xml:space="preserve">Optimization priority</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Control fan-out before reducing repository context.</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Give delegation an explicit agent, round-trip, and token budget.</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Avoid inheriting ultra reasoning across every subagent by default.</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Require bounded subtasks and early termination when branches converge.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Detect duplicate or nearly identical parallel investigations.</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Attribute usage to the root turn and each child branch so amplification is visible.</w:t>
      </w:r>
    </w:p>
    <w:p w14:paraId="00000041">
      <w:pPr>
        <w:pStyle w:val="Heading2"/>
        <w:rPr/>
      </w:pPr>
      <w:r>
        <w:rPr>
          <w:rtl w:val="0"/>
        </w:rPr>
        <w:t xml:space="preserve">Proposed metric</w:t>
      </w:r>
    </w:p>
    <w:p w14:paraId="00000018">
      <w:pPr>
        <w:rPr/>
      </w:pPr>
      <w:r>
        <w:rPr>
          <w:rtl w:val="0"/>
        </w:rPr>
        <w:t xml:space="preserve">Fan-out amplification = total input across the root agent and all descendants ÷ the root agent’s direct input. This exposes whether an ordinary 50K root turn became 500K, 2M, or 4.4M through delegation.</w:t>
      </w:r>
    </w:p>
    <w:p w14:paraId="00000041">
      <w:pPr>
        <w:pStyle w:val="Heading2"/>
        <w:rPr/>
      </w:pPr>
      <w:r>
        <w:rPr>
          <w:rtl w:val="0"/>
        </w:rPr>
        <w:t xml:space="preserve">Assessment</w:t>
      </w:r>
    </w:p>
    <w:p w14:paraId="00000018">
      <w:pPr>
        <w:rPr/>
      </w:pPr>
      <w:r>
        <w:rPr>
          <w:rtl w:val="0"/>
        </w:rPr>
        <w:t xml:space="preserve">The earlier 333M/349M headline should be treated cautiously because it likely covered a broader or repeatedly counted scope. This narrower turn-level measurement is more diagnostic: the repository’s fixed instruction layer is small, while a handful of multi-agent executions dominate consumption.</w:t>
      </w:r>
    </w:p>
    <w:p w14:paraId="00000018">
      <w:pPr>
        <w:rPr/>
      </w:pPr>
      <w:r>
        <w:rPr>
          <w:rtl w:val="0"/>
        </w:rPr>
        <w:t xml:space="preserve">The immediate architectural candidate is a governed orchestration budget—not a context-reference cleanup.</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w="http://schemas.openxmlformats.org/wordprocessingml/2006/main" xmlns:w14="http://schemas.microsoft.com/office/word/2010/wordml">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Runtime Efficiency Assessment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August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