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Good evening. I’m Josh. I’m a certified Interpener, and I come at cannabis the same way I approach any complex system: I look for where the assumptions break down. When I first took a hard look at this industry, I didn’t see medicine. I saw a feedback loop built on folklore, branding, and incomplete data.</w:t>
      </w:r>
    </w:p>
    <w:p w:rsidR="00000000" w:rsidDel="00000000" w:rsidP="00000000" w:rsidRDefault="00000000" w:rsidRPr="00000000" w14:paraId="00000002">
      <w:pPr>
        <w:rPr/>
      </w:pPr>
      <w:r w:rsidDel="00000000" w:rsidR="00000000" w:rsidRPr="00000000">
        <w:rPr>
          <w:rtl w:val="0"/>
        </w:rPr>
        <w:t xml:space="preserve">For decades we’ve been told that Indica makes you sleepy and Sativa makes you energetic. That story is neat, memorable, and mostly wrong. Tonight I’m introducing GreenForge, which isn’t a brand and isn’t a review site. It’s a systems-level approach to pharmacognosy that replaces inherited myths with chemistry and physics.</w:t>
      </w:r>
    </w:p>
    <w:p w:rsidR="00000000" w:rsidDel="00000000" w:rsidP="00000000" w:rsidRDefault="00000000" w:rsidRPr="00000000" w14:paraId="00000003">
      <w:pPr>
        <w:rPr/>
      </w:pPr>
      <w:r w:rsidDel="00000000" w:rsidR="00000000" w:rsidRPr="00000000">
        <w:rPr>
          <w:rtl w:val="0"/>
        </w:rPr>
        <w:t xml:space="preserve">Most cannabis databases treat a strain name like a fixed identity, as if it were a stable object. But a plant isn’t static. It’s a living biosynthetic system that responds dynamically to light spectrum, soil biology, water stress, and temperature. In GreenForge, a strain name is not a promise. It’s a handle for a probability distribution.</w:t>
      </w:r>
    </w:p>
    <w:p w:rsidR="00000000" w:rsidDel="00000000" w:rsidP="00000000" w:rsidRDefault="00000000" w:rsidRPr="00000000" w14:paraId="00000004">
      <w:pPr>
        <w:rPr/>
      </w:pPr>
      <w:r w:rsidDel="00000000" w:rsidR="00000000" w:rsidRPr="00000000">
        <w:rPr>
          <w:rtl w:val="0"/>
        </w:rPr>
        <w:t xml:space="preserve">Take ACDC. Grown hydroponically in a sterile environment, it reliably expresses high CBD, but much of the secondary chemistry disappears. Grow that same genetic line in living soil with UV-B exposure and the plant responds defensively, producing cannflavins as a natural sunscreen. Cannflavins A and B are dramatically more potent anti-inflammatories than aspirin, yet most patients never encounter them because no one tracks cultivation context. GreenForge does, so the outcome aligns with the intention.</w:t>
      </w:r>
    </w:p>
    <w:p w:rsidR="00000000" w:rsidDel="00000000" w:rsidP="00000000" w:rsidRDefault="00000000" w:rsidRPr="00000000" w14:paraId="00000005">
      <w:pPr>
        <w:rPr/>
      </w:pPr>
      <w:r w:rsidDel="00000000" w:rsidR="00000000" w:rsidRPr="00000000">
        <w:rPr>
          <w:rtl w:val="0"/>
        </w:rPr>
        <w:t xml:space="preserve">Even perfect chemistry doesn’t matter if you don’t know how to activate it. This is where the Thermal Gate comes in. Every compound in this plant has a physical boiling point. That’s not branding. That’s thermodynamics.</w:t>
      </w:r>
    </w:p>
    <w:p w:rsidR="00000000" w:rsidDel="00000000" w:rsidP="00000000" w:rsidRDefault="00000000" w:rsidRPr="00000000" w14:paraId="00000006">
      <w:pPr>
        <w:rPr/>
      </w:pPr>
      <w:r w:rsidDel="00000000" w:rsidR="00000000" w:rsidRPr="00000000">
        <w:rPr>
          <w:rtl w:val="0"/>
        </w:rPr>
        <w:t xml:space="preserve">On the screen I’m pulling up Jack Herer. You’ll see alpha-pinene highlighted. Pinene inhibits acetylcholinesterase, which preserves acetylcholine — the neurotransmitter associated with memory formation and cognitive clarity. Set the device to 315 degrees Fahrenheit and the engine confirms success. The pinene is active. The effect people are seeking is actually accessible.</w:t>
      </w:r>
    </w:p>
    <w:p w:rsidR="00000000" w:rsidDel="00000000" w:rsidP="00000000" w:rsidRDefault="00000000" w:rsidRPr="00000000" w14:paraId="00000007">
      <w:pPr>
        <w:rPr/>
      </w:pPr>
      <w:r w:rsidDel="00000000" w:rsidR="00000000" w:rsidRPr="00000000">
        <w:rPr>
          <w:rtl w:val="0"/>
        </w:rPr>
        <w:t xml:space="preserve">Now compare that with Granddaddy Purple at the same temperature. GreenForge flags a failure, not because the strain is ineffective, but because the sedative compound most users expect — linalool — remains physically locked in the plant matrix. It doesn’t volatilize until roughly 388 degrees Fahrenheit. Below that threshold, you’re inhaling aroma and expectation, not sedation.</w:t>
      </w:r>
    </w:p>
    <w:p w:rsidR="00000000" w:rsidDel="00000000" w:rsidP="00000000" w:rsidRDefault="00000000" w:rsidRPr="00000000" w14:paraId="00000008">
      <w:pPr>
        <w:rPr/>
      </w:pPr>
      <w:r w:rsidDel="00000000" w:rsidR="00000000" w:rsidRPr="00000000">
        <w:rPr>
          <w:rtl w:val="0"/>
        </w:rPr>
        <w:t xml:space="preserve">This leads directly into safety, which is the part of this conversation that almost never happens. Cannabis has a redline. Once you push past roughly 401 degrees Fahrenheit, you cross from controlled vaporization into oxidative pyrolysis. Terpenes degrade, aromatic structures fracture, and benzene formation becomes a real risk. At that point, the plant stops behaving like medicine and starts behaving like exhaust.</w:t>
      </w:r>
    </w:p>
    <w:p w:rsidR="00000000" w:rsidDel="00000000" w:rsidP="00000000" w:rsidRDefault="00000000" w:rsidRPr="00000000" w14:paraId="00000009">
      <w:pPr>
        <w:rPr/>
      </w:pPr>
      <w:r w:rsidDel="00000000" w:rsidR="00000000" w:rsidRPr="00000000">
        <w:rPr>
          <w:rtl w:val="0"/>
        </w:rPr>
        <w:t xml:space="preserve">GreenForge enforces a safe operating envelope. If the temperature crosses into the danger zone, the system intervenes. The goal isn’t intensity. The goal is preserving therapeutic chemistry without generating compounds that don’t belong in a human body.</w:t>
      </w:r>
    </w:p>
    <w:p w:rsidR="00000000" w:rsidDel="00000000" w:rsidP="00000000" w:rsidRDefault="00000000" w:rsidRPr="00000000" w14:paraId="0000000A">
      <w:pPr>
        <w:rPr/>
      </w:pPr>
      <w:r w:rsidDel="00000000" w:rsidR="00000000" w:rsidRPr="00000000">
        <w:rPr>
          <w:rtl w:val="0"/>
        </w:rPr>
        <w:t xml:space="preserve">What you’ve seen tonight is Phase One. Thirty high-fidelity clinical profiles that account for living soil, hydroponics, and drought stress, all running inside a working thermal logic engine. This expands into a 500-strain master catalog informed by market visibility from Leafly, but interpreted through research-based logic rather than crowd consensus.</w:t>
      </w:r>
    </w:p>
    <w:p w:rsidR="00000000" w:rsidDel="00000000" w:rsidP="00000000" w:rsidRDefault="00000000" w:rsidRPr="00000000" w14:paraId="0000000B">
      <w:pPr>
        <w:rPr/>
      </w:pPr>
      <w:r w:rsidDel="00000000" w:rsidR="00000000" w:rsidRPr="00000000">
        <w:rPr>
          <w:rtl w:val="0"/>
        </w:rPr>
        <w:t xml:space="preserve">We’re not building another place to rate strains. We’re building a clinical decision support system that allows doctors, dispensaries, and patients to engage cannabis the way every other serious medicine is treated — with context, precision, and accountability.</w:t>
      </w:r>
    </w:p>
    <w:p w:rsidR="00000000" w:rsidDel="00000000" w:rsidP="00000000" w:rsidRDefault="00000000" w:rsidRPr="00000000" w14:paraId="0000000C">
      <w:pPr>
        <w:rPr/>
      </w:pPr>
      <w:r w:rsidDel="00000000" w:rsidR="00000000" w:rsidRPr="00000000">
        <w:rPr>
          <w:rtl w:val="0"/>
        </w:rPr>
        <w:t xml:space="preserve">GreenForge assumes the name is the question. Chemistry is the answer. Physics is the delivery.</w:t>
      </w:r>
    </w:p>
    <w:p w:rsidR="00000000" w:rsidDel="00000000" w:rsidP="00000000" w:rsidRDefault="00000000" w:rsidRPr="00000000" w14:paraId="0000000D">
      <w:pPr>
        <w:rPr/>
      </w:pPr>
      <w:r w:rsidDel="00000000" w:rsidR="00000000" w:rsidRPr="00000000">
        <w:rPr>
          <w:rtl w:val="0"/>
        </w:rPr>
        <w:t xml:space="preserve">Thank you.</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