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t>
      </w:r>
    </w:p>
    <w:p>
      <w:pPr>
        <w:spacing w:before="80" w:after="80"/>
      </w:pPr>
      <w:r>
        <w:t xml:space="preserve"> </w:t>
      </w:r>
    </w:p>
    <w:p>
      <w:pPr>
        <w:spacing w:before="80" w:after="80"/>
      </w:pPr>
      <w:r>
        <w:t xml:space="preserve"> </w:t>
      </w:r>
    </w:p>
    <w:p>
      <w:pPr>
        <w:spacing w:before="0" w:after="80"/>
        <w:jc w:val="center"/>
      </w:pPr>
      <w:r>
        <w:rPr>
          <w:rFonts w:ascii="Arial" w:cs="Arial" w:eastAsia="Arial" w:hAnsi="Arial"/>
          <w:b/>
          <w:bCs/>
          <w:color w:val="1F4E79"/>
          <w:sz w:val="48"/>
          <w:szCs w:val="48"/>
        </w:rPr>
        <w:t xml:space="preserve">CAUSALITY-BASED UNIVERSAL NETWORK</w:t>
      </w:r>
    </w:p>
    <w:p>
      <w:pPr>
        <w:spacing w:before="0" w:after="80"/>
        <w:jc w:val="center"/>
      </w:pPr>
      <w:r>
        <w:rPr>
          <w:rFonts w:ascii="Arial" w:cs="Arial" w:eastAsia="Arial" w:hAnsi="Arial"/>
          <w:b/>
          <w:bCs/>
          <w:color w:val="2E75B6"/>
          <w:sz w:val="36"/>
          <w:szCs w:val="36"/>
        </w:rPr>
        <w:t xml:space="preserve">AI Co-Pilot System</w:t>
      </w:r>
    </w:p>
    <w:p>
      <w:pPr>
        <w:spacing w:before="80" w:after="80"/>
      </w:pPr>
      <w:r>
        <w:t xml:space="preserve"> </w:t>
      </w:r>
    </w:p>
    <w:p>
      <w:pPr>
        <w:spacing w:before="0" w:after="80"/>
        <w:jc w:val="center"/>
      </w:pPr>
      <w:r>
        <w:rPr>
          <w:rFonts w:ascii="Arial" w:cs="Arial" w:eastAsia="Arial" w:hAnsi="Arial"/>
          <w:b/>
          <w:bCs/>
          <w:color w:val="ED7D31"/>
          <w:sz w:val="28"/>
          <w:szCs w:val="28"/>
        </w:rPr>
        <w:t xml:space="preserve">Sprint 3 &amp; Sprint 4 — Full Delivery Report</w:t>
      </w:r>
    </w:p>
    <w:p>
      <w:pPr>
        <w:pBdr>
          <w:bottom w:val="single" w:color="2E75B6" w:sz="8" w:space="2"/>
        </w:pBdr>
        <w:jc w:val="center"/>
      </w:pPr>
      <w:r>
        <w:t xml:space="preserve"> </w:t>
      </w:r>
    </w:p>
    <w:p>
      <w:pPr>
        <w:spacing w:before="80" w:after="80"/>
      </w:pPr>
      <w:r>
        <w:t xml:space="preserve"> </w:t>
      </w:r>
    </w:p>
    <w:p>
      <w:pPr>
        <w:spacing w:before="60" w:after="20"/>
        <w:jc w:val="center"/>
      </w:pPr>
      <w:r>
        <w:rPr>
          <w:rFonts w:ascii="Arial" w:cs="Arial" w:eastAsia="Arial" w:hAnsi="Arial"/>
          <w:i/>
          <w:iCs/>
          <w:color w:val="444444"/>
          <w:sz w:val="20"/>
          <w:szCs w:val="20"/>
        </w:rPr>
        <w:t xml:space="preserve">Based on DAFT: Dyadic Attention Field Theory (Extended Edition 2026)</w:t>
      </w:r>
    </w:p>
    <w:p>
      <w:pPr>
        <w:spacing w:before="80" w:after="80"/>
      </w:pPr>
      <w:r>
        <w:t xml:space="preserve"> </w:t>
      </w:r>
    </w:p>
    <w:p>
      <w:pPr>
        <w:spacing w:before="40" w:after="40"/>
        <w:jc w:val="center"/>
      </w:pPr>
      <w:r>
        <w:rPr>
          <w:rFonts w:ascii="Arial" w:cs="Arial" w:eastAsia="Arial" w:hAnsi="Arial"/>
          <w:color w:val="333333"/>
          <w:sz w:val="20"/>
          <w:szCs w:val="20"/>
        </w:rPr>
        <w:t xml:space="preserve">นายพัชรพล กองแก้ว 673380415-5 — Architect</w:t>
      </w:r>
    </w:p>
    <w:p>
      <w:pPr>
        <w:spacing w:before="40" w:after="40"/>
        <w:jc w:val="center"/>
      </w:pPr>
      <w:r>
        <w:rPr>
          <w:rFonts w:ascii="Arial" w:cs="Arial" w:eastAsia="Arial" w:hAnsi="Arial"/>
          <w:color w:val="333333"/>
          <w:sz w:val="20"/>
          <w:szCs w:val="20"/>
        </w:rPr>
        <w:t xml:space="preserve">นายศุภกิตติ์ ฟันเฟือย 673380427-8 — Prompt Specialist</w:t>
      </w:r>
    </w:p>
    <w:p>
      <w:pPr>
        <w:spacing w:before="40" w:after="40"/>
        <w:jc w:val="center"/>
      </w:pPr>
      <w:r>
        <w:rPr>
          <w:rFonts w:ascii="Arial" w:cs="Arial" w:eastAsia="Arial" w:hAnsi="Arial"/>
          <w:color w:val="333333"/>
          <w:sz w:val="20"/>
          <w:szCs w:val="20"/>
        </w:rPr>
        <w:t xml:space="preserve">นายกฤษฎา นามมนต์เทียน 673380388-2 — System Engineer</w:t>
      </w:r>
    </w:p>
    <w:p>
      <w:pPr>
        <w:spacing w:before="40" w:after="40"/>
        <w:jc w:val="center"/>
      </w:pPr>
      <w:r>
        <w:rPr>
          <w:rFonts w:ascii="Arial" w:cs="Arial" w:eastAsia="Arial" w:hAnsi="Arial"/>
          <w:color w:val="333333"/>
          <w:sz w:val="20"/>
          <w:szCs w:val="20"/>
        </w:rPr>
        <w:t xml:space="preserve">นายคมชาญ น้อยเนียม 673380395-5 — DevOps / Integration</w:t>
      </w:r>
    </w:p>
    <w:p>
      <w:pPr>
        <w:spacing w:before="40" w:after="40"/>
        <w:jc w:val="center"/>
      </w:pPr>
      <w:r>
        <w:rPr>
          <w:rFonts w:ascii="Arial" w:cs="Arial" w:eastAsia="Arial" w:hAnsi="Arial"/>
          <w:color w:val="333333"/>
          <w:sz w:val="20"/>
          <w:szCs w:val="20"/>
        </w:rPr>
        <w:t xml:space="preserve">นายวงศธร ธน.ยอด 673380425-2 — Tester / QA</w:t>
      </w:r>
    </w:p>
    <w:p>
      <w:pPr>
        <w:spacing w:before="80" w:after="80"/>
      </w:pPr>
      <w:r>
        <w:t xml:space="preserve"> </w:t>
      </w:r>
    </w:p>
    <w:p>
      <w:pPr>
        <w:spacing w:before="60" w:after="60"/>
        <w:jc w:val="center"/>
      </w:pPr>
      <w:r>
        <w:rPr>
          <w:rFonts w:ascii="Arial" w:cs="Arial" w:eastAsia="Arial" w:hAnsi="Arial"/>
          <w:color w:val="666666"/>
          <w:sz w:val="20"/>
          <w:szCs w:val="20"/>
        </w:rPr>
        <w:t xml:space="preserve">March 2026</w:t>
      </w:r>
    </w:p>
    <w:p>
      <w:r>
        <w:br w:type="page"/>
      </w:r>
    </w:p>
    <w:p>
      <w:pPr>
        <w:pStyle w:val="Heading1"/>
        <w:pBdr>
          <w:bottom w:val="single" w:color="2E75B6" w:sz="6" w:space="1"/>
        </w:pBdr>
        <w:spacing w:before="320" w:after="200"/>
      </w:pPr>
      <w:r>
        <w:rPr>
          <w:rFonts w:ascii="Arial" w:cs="Arial" w:eastAsia="Arial" w:hAnsi="Arial"/>
          <w:b/>
          <w:bCs/>
          <w:color w:val="1F4E79"/>
          <w:sz w:val="32"/>
          <w:szCs w:val="32"/>
        </w:rPr>
        <w:t xml:space="preserve">Sprint 3 — Iteration &amp; Integration (ReAct Loop + Domain Interface Mapping)</w:t>
      </w:r>
    </w:p>
    <w:p>
      <w:pPr>
        <w:pStyle w:val="Heading2"/>
        <w:spacing w:before="240" w:after="120"/>
      </w:pPr>
      <w:r>
        <w:rPr>
          <w:rFonts w:ascii="Arial" w:cs="Arial" w:eastAsia="Arial" w:hAnsi="Arial"/>
          <w:b/>
          <w:bCs/>
          <w:color w:val="2E75B6"/>
          <w:sz w:val="26"/>
          <w:szCs w:val="26"/>
        </w:rPr>
        <w:t xml:space="preserve">3.1 Sprint 3 Goals</w:t>
      </w:r>
    </w:p>
    <w:p>
      <w:pPr>
        <w:spacing w:before="60" w:after="60"/>
      </w:pPr>
      <w:r>
        <w:rPr>
          <w:rFonts w:ascii="Arial" w:cs="Arial" w:eastAsia="Arial" w:hAnsi="Arial"/>
          <w:sz w:val="20"/>
          <w:szCs w:val="20"/>
        </w:rPr>
        <w:t xml:space="preserve">Sprint 3 focuses on completing the ReAct (Reason + Action) iteration engine, integrating all four AI pipeline phases into a single working system, and critically—implementing Domain Interface Mapping using DAFT's formal operator algebra to translate across four scientific domains: Biology, Physics, Neuroscience, and Quantum Mechanics into a unified mathematical formalization.</w:t>
      </w:r>
    </w:p>
    <w:p>
      <w:pPr>
        <w:spacing w:before="80" w:after="80"/>
      </w:pPr>
      <w:r>
        <w:t xml:space="preserve"> </w:t>
      </w:r>
    </w:p>
    <w:p>
      <w:pPr>
        <w:pStyle w:val="Heading2"/>
        <w:spacing w:before="240" w:after="120"/>
      </w:pPr>
      <w:r>
        <w:rPr>
          <w:rFonts w:ascii="Arial" w:cs="Arial" w:eastAsia="Arial" w:hAnsi="Arial"/>
          <w:b/>
          <w:bCs/>
          <w:color w:val="2E75B6"/>
          <w:sz w:val="26"/>
          <w:szCs w:val="26"/>
        </w:rPr>
        <w:t xml:space="preserve">3.2 Domain Interface Mapping: Bio / Phy / Neuro / Quantum → Math Formalization</w:t>
      </w:r>
    </w:p>
    <w:p>
      <w:pPr>
        <w:spacing w:before="60" w:after="60"/>
      </w:pPr>
      <w:r>
        <w:rPr>
          <w:rFonts w:ascii="Arial" w:cs="Arial" w:eastAsia="Arial" w:hAnsi="Arial"/>
          <w:sz w:val="20"/>
          <w:szCs w:val="20"/>
        </w:rPr>
        <w:t xml:space="preserve">The core DAFT framework (Dyadic Attention Field Theory) provides the mathematical grammar shared across all four domains. The three DAFT parameters — α (coupling strength), λ (resolution depth), d (dimensionality) — and six operators (O₁–O₆) serve as universal translators. The table below provides the complete domain mapping.</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00"/>
        <w:gridCol w:w="1900"/>
        <w:gridCol w:w="1900"/>
        <w:gridCol w:w="2100"/>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Variable</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Biology (Bio)</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Physics (Phy)</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Neuroscience (Neuro)</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Quantum / Network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α (coupling)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Target-ligand contact energy (kcal/mol)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coupling constant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Synaptic connection weight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Entanglement strength between network nodes</w:t>
            </w:r>
          </w:p>
        </w:tc>
      </w:tr>
      <w:tr>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λ (resolution)</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Conformational states resolved (NMR peaks)</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Renormalization scale; observer resolution</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EEG frequency band depth (δ/θ/α/β)</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resolution depth in DTN bundles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 (dimension)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Protein conformational space (RMSD)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Spatial dimension of field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Electrode space (# of channels)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Network topology dimension</w:t>
            </w:r>
          </w:p>
        </w:tc>
      </w:tr>
      <w:tr>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O₄ = |xi|−|xj|</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 expression imbalance (Log₂FC)</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asymmetry / charge imbalance</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Interhemispheric power asymmetry</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state asymmetry between nodes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O₆ = |xi−xj|</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Protein-state Euclidean distance (Å)</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separation / metric distance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separation between EEG bands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distance in spacetime lattice</w:t>
            </w:r>
          </w:p>
        </w:tc>
      </w:tr>
      <w:tr>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O₁ = ⟨xi,xj⟩</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Binding affinity proxy (−ΔG)</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Dot product of field vectors</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EEG coherence between hemisphere pairs</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Inner-product similarity of causal states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PURE state (O₄=0)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Homeostasis / equilibrium binding (Kd min)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Ground state; classical vacuum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Meditative PURE-state (C ≈ 0.817)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causal network: balanced node states</w:t>
            </w:r>
          </w:p>
        </w:tc>
      </w:tr>
      <w:tr>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CONSTRUCTIVE</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Agonist / overexpression (FC &gt; 1)</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Positive field asymmetry</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 cognition, net engagement</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 causal interference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DESTRUCTIVE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Antagonist / underexpression (FC &lt; 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Negative field asymmetry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Anxiety/stress state, net inhibition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Destructive causal interference</w:t>
            </w:r>
          </w:p>
        </w:tc>
      </w:tr>
      <w:tr>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BOUNDARY</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Null interaction / below LOD</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Vacuum / zero-field state</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Cognitive disconnection (C &lt; 0.577)</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Disconnected network node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β(α) &lt; 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High-res structures self-simplify (cryo-EM)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Asymptotic freedom; UV-complete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Lower intraday neural noise at finer band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Self-dampening causal coupling at scale</w:t>
            </w:r>
          </w:p>
        </w:tc>
      </w:tr>
      <w:tr>
        <w:tc>
          <w:tcPr>
            <w:tcW w:type="dxa" w:w="15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bCs/>
                <w:color w:val="000000"/>
                <w:sz w:val="18"/>
                <w:szCs w:val="18"/>
              </w:rPr>
              <w:t xml:space="preserve">ℏ_DAFT = α²/λ</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Assay uncertainty floor</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Quantum of action in DAFT Hilbert space</w:t>
            </w:r>
          </w:p>
        </w:tc>
        <w:tc>
          <w:tcPr>
            <w:tcW w:type="dxa" w:w="1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Minimum EEG coherence uncertainty</w:t>
            </w:r>
          </w:p>
        </w:tc>
        <w:tc>
          <w:tcPr>
            <w:tcW w:type="dxa" w:w="21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Minimum causal uncertainty per bundle</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3.3 Domain Interface Mapping — Validation Logic</w:t>
      </w:r>
    </w:p>
    <w:p>
      <w:pPr>
        <w:spacing w:before="60" w:after="60"/>
      </w:pPr>
      <w:r>
        <w:rPr>
          <w:rFonts w:ascii="Arial" w:cs="Arial" w:eastAsia="Arial" w:hAnsi="Arial"/>
          <w:sz w:val="20"/>
          <w:szCs w:val="20"/>
        </w:rPr>
        <w:t xml:space="preserve">Each domain mapping must be validated before integration into the AI Co-Pilot pipeline. The DAFT framework provides three empirical predictions (P1, P2, P3) that serve as cross-domain validation anchors: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600"/>
        <w:gridCol w:w="196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Validation Criterion</w:t>
            </w:r>
          </w:p>
        </w:tc>
        <w:tc>
          <w:tcPr>
            <w:tcW w:type="dxa" w:w="1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P1 — ACT-R Learning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d(λ²)/dt = O₆ =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Neuro / Cognitive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Regression slope of 1/T(n)² vs trial number ≈ 1.00 ± 0.10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empirical calibration</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P2 — EEG Band Ratio</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 = Pn/Pn+1 = 4 (power)</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Neuroscience</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EEG power spectral density ratio across dyadic octave bands ≈ 4.0 ± 0.5</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EEG dataset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P3 — PURE Coherence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C_PURE = √(2/3) ≈ 0.817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Neuro / Quantum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Interhemispheric EEG coherence at symmetric electrode pairs during focus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Formula implemented</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Drug Classifier</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ρ = (|xi|+|xj|) / ||xi|−|xj||</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Biology</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Eccentricity ρ = 3 threshold matches agonist/antagonist boundary</w:t>
            </w:r>
          </w:p>
        </w:tc>
        <w:tc>
          <w:tcPr>
            <w:tcW w:type="dxa" w:w="19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Implemented (Sprint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Network Asymmetry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O₄(t) = O₄(0)·e^(−t/τ)</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Physics / 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node imbalance decays exponentially; validate τ with DTN latency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Modeled in pipeline</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3.4 DAFT-Integrated Validation Framework</w:t>
      </w:r>
    </w:p>
    <w:p>
      <w:pPr>
        <w:spacing w:before="60" w:after="60"/>
      </w:pPr>
      <w:r>
        <w:rPr>
          <w:rFonts w:ascii="Arial" w:cs="Arial" w:eastAsia="Arial" w:hAnsi="Arial"/>
          <w:sz w:val="20"/>
          <w:szCs w:val="20"/>
        </w:rPr>
        <w:t xml:space="preserve">The validation module integrates DAFT's four-state taxonomy (PURE, CONSTRUCTIVE, DESTRUCTIVE, BOUNDARY) as the classification engine for each domain output. The AI Co-Pilot's ReAct loop uses DAFT state detection as its action-feedback signal:</w:t>
      </w:r>
    </w:p>
    <w:p>
      <w:pPr>
        <w:spacing w:before="80" w:after="80"/>
      </w:pPr>
      <w:r>
        <w:t xml:space="preserve"> </w:t>
      </w:r>
    </w:p>
    <w:p>
      <w:pPr>
        <w:pStyle w:val="ListParagraph"/>
        <w:numPr>
          <w:ilvl w:val="0"/>
          <w:numId w:val="2"/>
        </w:numPr>
        <w:spacing w:before="40" w:after="40"/>
      </w:pPr>
      <w:r>
        <w:rPr>
          <w:rFonts w:ascii="Arial" w:cs="Arial" w:eastAsia="Arial" w:hAnsi="Arial"/>
          <w:sz w:val="20"/>
          <w:szCs w:val="20"/>
        </w:rPr>
        <w:t xml:space="preserve">Input data arrives in any domain (Bio / Phy / Neuro / Quantum)</w:t>
      </w:r>
    </w:p>
    <w:p>
      <w:pPr>
        <w:pStyle w:val="ListParagraph"/>
        <w:numPr>
          <w:ilvl w:val="0"/>
          <w:numId w:val="2"/>
        </w:numPr>
        <w:spacing w:before="40" w:after="40"/>
      </w:pPr>
      <w:r>
        <w:rPr>
          <w:rFonts w:ascii="Arial" w:cs="Arial" w:eastAsia="Arial" w:hAnsi="Arial"/>
          <w:sz w:val="20"/>
          <w:szCs w:val="20"/>
        </w:rPr>
        <w:t xml:space="preserve">The Domain Interface Mapper translates raw KPIs into DAFT operators (O₄, O₆, O₁, etc.)</w:t>
      </w:r>
    </w:p>
    <w:p>
      <w:pPr>
        <w:pStyle w:val="ListParagraph"/>
        <w:numPr>
          <w:ilvl w:val="0"/>
          <w:numId w:val="2"/>
        </w:numPr>
        <w:spacing w:before="40" w:after="40"/>
      </w:pPr>
      <w:r>
        <w:rPr>
          <w:rFonts w:ascii="Arial" w:cs="Arial" w:eastAsia="Arial" w:hAnsi="Arial"/>
          <w:sz w:val="20"/>
          <w:szCs w:val="20"/>
        </w:rPr>
        <w:t xml:space="preserve">The DAFT classifier assigns one of four states: PURE, CONSTRUCTIVE, DESTRUCTIVE, BOUNDARY</w:t>
      </w:r>
    </w:p>
    <w:p>
      <w:pPr>
        <w:pStyle w:val="ListParagraph"/>
        <w:numPr>
          <w:ilvl w:val="0"/>
          <w:numId w:val="2"/>
        </w:numPr>
        <w:spacing w:before="40" w:after="40"/>
      </w:pPr>
      <w:r>
        <w:rPr>
          <w:rFonts w:ascii="Arial" w:cs="Arial" w:eastAsia="Arial" w:hAnsi="Arial"/>
          <w:sz w:val="20"/>
          <w:szCs w:val="20"/>
        </w:rPr>
        <w:t xml:space="preserve">The ReAct loop takes action based on the state: PURE → maintain; CONSTRUCTIVE/DESTRUCTIVE → correct; BOUNDARY → escalate</w:t>
      </w:r>
    </w:p>
    <w:p>
      <w:pPr>
        <w:pStyle w:val="ListParagraph"/>
        <w:numPr>
          <w:ilvl w:val="0"/>
          <w:numId w:val="2"/>
        </w:numPr>
        <w:spacing w:before="40" w:after="40"/>
      </w:pPr>
      <w:r>
        <w:rPr>
          <w:rFonts w:ascii="Arial" w:cs="Arial" w:eastAsia="Arial" w:hAnsi="Arial"/>
          <w:sz w:val="20"/>
          <w:szCs w:val="20"/>
        </w:rPr>
        <w:t xml:space="preserve">Validation checks if the O₄(t) decay follows e^(−t/τ) — confirming DAFT regime vs external forcing</w:t>
      </w:r>
    </w:p>
    <w:p>
      <w:pPr>
        <w:spacing w:before="80" w:after="80"/>
      </w:pPr>
      <w:r>
        <w:t xml:space="preserve"> </w:t>
      </w:r>
    </w:p>
    <w:p>
      <w:pPr>
        <w:pStyle w:val="Heading2"/>
        <w:spacing w:before="240" w:after="120"/>
      </w:pPr>
      <w:r>
        <w:rPr>
          <w:rFonts w:ascii="Arial" w:cs="Arial" w:eastAsia="Arial" w:hAnsi="Arial"/>
          <w:b/>
          <w:bCs/>
          <w:color w:val="2E75B6"/>
          <w:sz w:val="26"/>
          <w:szCs w:val="26"/>
        </w:rPr>
        <w:t xml:space="preserve">3.5 ReAct Loop Implementation (Phase 3)</w:t>
      </w:r>
    </w:p>
    <w:p>
      <w:pPr>
        <w:spacing w:before="60" w:after="60"/>
      </w:pPr>
      <w:r>
        <w:rPr>
          <w:rFonts w:ascii="Arial" w:cs="Arial" w:eastAsia="Arial" w:hAnsi="Arial"/>
          <w:sz w:val="20"/>
          <w:szCs w:val="20"/>
        </w:rPr>
        <w:t xml:space="preserve">The ReAct (Reason + Action) engine forms the iteration core of Sprint 3. It runs in a closed loop until the DAFT state converges to PURE or a maximum iteration count is reached:</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Step</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Signal</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Condition to Proceed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Observe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Ingest current system state from all domain interfaces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Compute O₄, O₆ from domain KPIs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Always</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Reason (CoT)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Chain-of-Thought over current state and causal history</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 O₄ decay rate vs e^(−t/τ)</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O₄ ≠ 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Select corrective action or information retrieval (RAG)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Target: move toward PURE (O₄ → 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 or DESTRUCTIVE detected</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Observe Result</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Measure new O₄ after action</w:t>
            </w:r>
          </w:p>
        </w:tc>
        <w:tc>
          <w:tcPr>
            <w:tcW w:type="dxa" w:w="2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DAFT state classification</w:t>
            </w:r>
          </w:p>
        </w:tc>
        <w:tc>
          <w:tcPr>
            <w:tcW w:type="dxa" w:w="37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Always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Iterate or Halt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PURE: return result. Else: loop back to Step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PURE attractor confirmed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or max_iter reached</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3.6 Integration Test Results — Sprint 3</w:t>
      </w:r>
    </w:p>
    <w:p>
      <w:pPr>
        <w:spacing w:before="60" w:after="60"/>
      </w:pPr>
      <w:r>
        <w:rPr>
          <w:rFonts w:ascii="Arial" w:cs="Arial" w:eastAsia="Arial" w:hAnsi="Arial"/>
          <w:sz w:val="20"/>
          <w:szCs w:val="20"/>
        </w:rPr>
        <w:t xml:space="preserve">All four AI pipeline modules were integrated and tested in Sprint 3 with the following results: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2000"/>
        <w:gridCol w:w="2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Integration Status</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State at Completion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Issues Found</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 (Exploration)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Integrated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 → PURE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 (Reasoning)</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Integrated</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(stable)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Minor context window overflow at λ=137</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Truncation with causal hash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Loop (Iteration)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Integrated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(after 3–5 iterations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 convergence when O₄(0) &gt; 0.8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Quantum stiffening correction applied</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RAG (Knowledge Retrieval)</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Partial</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Vector DB indexing incomplete for neutrino/DTN papers</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4 fix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Interface Mapper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Integrated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(all 4 domains validated)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Biology ρ threshold edge case at ρ ≈ 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Added tolerance band ±0.05</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State Manager</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Integrated</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w:t>
            </w:r>
          </w:p>
        </w:tc>
        <w:tc>
          <w:tcPr>
            <w:tcW w:type="dxa" w:w="2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3.7 Model / Protocol Maturity and Quality Metrics</w:t>
      </w:r>
    </w:p>
    <w:p>
      <w:pPr>
        <w:spacing w:before="60" w:after="60"/>
      </w:pPr>
      <w:r>
        <w:rPr>
          <w:rFonts w:ascii="Arial" w:cs="Arial" w:eastAsia="Arial" w:hAnsi="Arial"/>
          <w:sz w:val="20"/>
          <w:szCs w:val="20"/>
        </w:rPr>
        <w:t xml:space="preserve">The DAFT framework defines maturity in terms of convergence toward the PURE state attractor. The following maturity metrics were established for Sprint 3:</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800"/>
        <w:gridCol w:w="2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Quality Metric</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Formula</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Value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 3 Result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Coherence (PURE proximity)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DARS = |O₄|/O₆</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DARS &lt; 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DARS = 0.07 (avg)</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PASS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Reasoning Consistency (P1)</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d(λ²)/dt slope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 0.10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0.94 (calibration pending)</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NEAR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Pipeline Throughput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O(nλ) vs O(n²d)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30× speedup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41× at n=1024, λ=3</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PASS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Convergence Rate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Avg iterations to PURE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5 iters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 iters avg</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Mapping Coverage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domains mapped /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4/4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4/4 complete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PASS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Consistency Score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hash match rate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&gt; 99%</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99.3%</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RAG Knowledge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Retrieved doc relevance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&gt; 90%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87.5% (RAG partial)</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000000"/>
                <w:sz w:val="18"/>
                <w:szCs w:val="18"/>
              </w:rPr>
              <w:t xml:space="preserve">⚠ RISK</w:t>
            </w:r>
          </w:p>
        </w:tc>
      </w:tr>
    </w:tbl>
    <w:p>
      <w:pPr>
        <w:spacing w:before="80" w:after="80"/>
      </w:pPr>
      <w:r>
        <w:t xml:space="preserve"> </w:t>
      </w:r>
    </w:p>
    <w:p>
      <w:r>
        <w:br w:type="page"/>
      </w:r>
    </w:p>
    <w:p>
      <w:pPr>
        <w:pStyle w:val="Heading1"/>
        <w:pBdr>
          <w:bottom w:val="single" w:color="2E75B6" w:sz="6" w:space="1"/>
        </w:pBdr>
        <w:spacing w:before="320" w:after="200"/>
      </w:pPr>
      <w:r>
        <w:rPr>
          <w:rFonts w:ascii="Arial" w:cs="Arial" w:eastAsia="Arial" w:hAnsi="Arial"/>
          <w:b/>
          <w:bCs/>
          <w:color w:val="1F4E79"/>
          <w:sz w:val="32"/>
          <w:szCs w:val="32"/>
        </w:rPr>
        <w:t xml:space="preserve">Sprint 4 — Refinement, Evaluation &amp; MVP Delivery</w:t>
      </w:r>
    </w:p>
    <w:p>
      <w:pPr>
        <w:pStyle w:val="Heading2"/>
        <w:spacing w:before="240" w:after="120"/>
      </w:pPr>
      <w:r>
        <w:rPr>
          <w:rFonts w:ascii="Arial" w:cs="Arial" w:eastAsia="Arial" w:hAnsi="Arial"/>
          <w:b/>
          <w:bCs/>
          <w:color w:val="2E75B6"/>
          <w:sz w:val="26"/>
          <w:szCs w:val="26"/>
        </w:rPr>
        <w:t xml:space="preserve">4.1 Sprint 4 Goals</w:t>
      </w:r>
    </w:p>
    <w:p>
      <w:pPr>
        <w:spacing w:before="60" w:after="60"/>
      </w:pPr>
      <w:r>
        <w:rPr>
          <w:rFonts w:ascii="Arial" w:cs="Arial" w:eastAsia="Arial" w:hAnsi="Arial"/>
          <w:sz w:val="20"/>
          <w:szCs w:val="20"/>
        </w:rPr>
        <w:t xml:space="preserve">Sprint 4 delivers the complete, evaluated system. Key objectives: implement and test the RAG module, establish the Ethics &amp; Governance framework with Human-in-the-Loop (HITL) integration, define the MVP (Most Valuable Product) format, and produce all Project Artifacts for final submission.</w:t>
      </w:r>
    </w:p>
    <w:p>
      <w:pPr>
        <w:spacing w:before="80" w:after="80"/>
      </w:pPr>
      <w:r>
        <w:t xml:space="preserve"> </w:t>
      </w:r>
    </w:p>
    <w:p>
      <w:pPr>
        <w:pStyle w:val="Heading2"/>
        <w:spacing w:before="240" w:after="120"/>
      </w:pPr>
      <w:r>
        <w:rPr>
          <w:rFonts w:ascii="Arial" w:cs="Arial" w:eastAsia="Arial" w:hAnsi="Arial"/>
          <w:b/>
          <w:bCs/>
          <w:color w:val="2E75B6"/>
          <w:sz w:val="26"/>
          <w:szCs w:val="26"/>
        </w:rPr>
        <w:t xml:space="preserve">4.2 RAG Implementation (Phase 4)</w:t>
      </w:r>
    </w:p>
    <w:p>
      <w:pPr>
        <w:spacing w:before="60" w:after="60"/>
      </w:pPr>
      <w:r>
        <w:rPr>
          <w:rFonts w:ascii="Arial" w:cs="Arial" w:eastAsia="Arial" w:hAnsi="Arial"/>
          <w:sz w:val="20"/>
          <w:szCs w:val="20"/>
        </w:rPr>
        <w:t xml:space="preserve">Retrieval Augmented Generation completes the 4-Phase Meta-Prompt Flow by grounding AI reasoning in verified external knowledge. The RAG module was built on top of the Causal State Manager so that retrieved documents are ranked not only by semantic similarity but by causal relevance—how closely the retrieved knowledge aligns with the current DAFT state of the query.</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4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RAG Component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Integration</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Vector 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FAISS / ChromaDB with DAFT-weighted embeddings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Embeddings biased toward causal relationship features (O₁ = ⟨xi,xj⟩ proxy)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Complete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Document Corpus</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Extended Edition, DTN RFCs, ICN papers, Neutrino comm. papers, network causality theory</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documents tagged with DAFT domain labels (Bio/Phy/Neuro/Quantum)</w:t>
            </w:r>
          </w:p>
        </w:tc>
        <w:tc>
          <w:tcPr>
            <w:tcW w:type="dxa" w:w="2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Indexed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Retrieval Ranking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Cosine similarity + DAFT eccentricity ρ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Documents ranked by proximity to current PURE state trajectory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Complete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Context Injection</w:t>
            </w:r>
          </w:p>
        </w:tc>
        <w:tc>
          <w:tcPr>
            <w:tcW w:type="dxa" w:w="2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Top-k=5 chunks injected into CoT reasoning phase</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Retrieved context passed through Causal State Manager before injection</w:t>
            </w:r>
          </w:p>
        </w:tc>
        <w:tc>
          <w:tcPr>
            <w:tcW w:type="dxa" w:w="2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Hallucination Guard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BOUNDARY detection: if retrieved doc has O₄ &gt; threshold, flag as uncertain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state = low-confidence retrieval → human review triggered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Complete</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4.3 Ethics &amp; Regulations — Governance Framework</w:t>
      </w:r>
    </w:p>
    <w:p>
      <w:pPr>
        <w:spacing w:before="60" w:after="60"/>
      </w:pPr>
      <w:r>
        <w:rPr>
          <w:rFonts w:ascii="Arial" w:cs="Arial" w:eastAsia="Arial" w:hAnsi="Arial"/>
          <w:sz w:val="20"/>
          <w:szCs w:val="20"/>
        </w:rPr>
        <w:t xml:space="preserve">The governance framework is designed around three pillars: Causal Accountability (every AI decision must have a traceable causal chain), Human-in-the-Loop (HITL) integration at DAFT BOUNDARY states, and Regulatory Compliance with applicable AI ethics guidelines.</w:t>
      </w:r>
    </w:p>
    <w:p>
      <w:pPr>
        <w:spacing w:before="80" w:after="80"/>
      </w:pPr>
      <w:r>
        <w:t xml:space="preserve"> </w:t>
      </w:r>
    </w:p>
    <w:p>
      <w:pPr>
        <w:pStyle w:val="Heading3"/>
        <w:spacing w:before="180" w:after="80"/>
      </w:pPr>
      <w:r>
        <w:rPr>
          <w:rFonts w:ascii="Arial" w:cs="Arial" w:eastAsia="Arial" w:hAnsi="Arial"/>
          <w:b/>
          <w:bCs/>
          <w:color w:val="ED7D31"/>
          <w:sz w:val="22"/>
          <w:szCs w:val="22"/>
        </w:rPr>
        <w:t xml:space="preserve">4.3.1 DAFT-Based Ethics Triggers</w:t>
      </w:r>
    </w:p>
    <w:p>
      <w:pPr>
        <w:spacing w:before="60" w:after="60"/>
      </w:pPr>
      <w:r>
        <w:rPr>
          <w:rFonts w:ascii="Arial" w:cs="Arial" w:eastAsia="Arial" w:hAnsi="Arial"/>
          <w:sz w:val="20"/>
          <w:szCs w:val="20"/>
        </w:rPr>
        <w:t xml:space="preserve">The DAFT four-state taxonomy provides natural ethics decision points. Ethical review is triggered automatically when the system detects high-risk DAFT states: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460"/>
      </w:tblGrid>
      <w:t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State</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Ethical Risk Level</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HITL Action Required</w:t>
            </w:r>
          </w:p>
        </w:tc>
        <w:tc>
          <w:tcPr>
            <w:tcW w:type="dxa" w:w="3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Regulatory Mapping</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 system in balance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(auto-proceed)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AI operation</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 — asymmetric output bias</w:t>
            </w:r>
          </w:p>
        </w:tc>
        <w:tc>
          <w:tcPr>
            <w:tcW w:type="dxa" w:w="2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 and monitor; alert if persistent</w:t>
            </w:r>
          </w:p>
        </w:tc>
        <w:tc>
          <w:tcPr>
            <w:tcW w:type="dxa" w:w="3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AI Act Article 9 risk monitoring</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DESTRUCTIVE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 — strong negative asymmetry detected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Human review of output before delivery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AI Act Article 13 transparency; PDPA data subject rights</w:t>
            </w:r>
          </w:p>
        </w:tc>
      </w:tr>
      <w:tr>
        <w:tc>
          <w:tcPr>
            <w:tcW w:type="dxa" w:w="150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w:t>
            </w:r>
          </w:p>
        </w:tc>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 — null/disconnected state or high uncertainty</w:t>
            </w:r>
          </w:p>
        </w:tc>
        <w:tc>
          <w:tcPr>
            <w:tcW w:type="dxa" w:w="2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Mandatory human override; system pause</w:t>
            </w:r>
          </w:p>
        </w:tc>
        <w:tc>
          <w:tcPr>
            <w:tcW w:type="dxa" w:w="34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AI Act Article 14 human oversight; Thai PDPA Section 26</w:t>
            </w:r>
          </w:p>
        </w:tc>
      </w:tr>
    </w:tbl>
    <w:p>
      <w:pPr>
        <w:spacing w:before="80" w:after="80"/>
      </w:pPr>
      <w:r>
        <w:t xml:space="preserve"> </w:t>
      </w:r>
    </w:p>
    <w:p>
      <w:pPr>
        <w:pStyle w:val="Heading3"/>
        <w:spacing w:before="180" w:after="80"/>
      </w:pPr>
      <w:r>
        <w:rPr>
          <w:rFonts w:ascii="Arial" w:cs="Arial" w:eastAsia="Arial" w:hAnsi="Arial"/>
          <w:b/>
          <w:bCs/>
          <w:color w:val="ED7D31"/>
          <w:sz w:val="22"/>
          <w:szCs w:val="22"/>
        </w:rPr>
        <w:t xml:space="preserve">4.3.2 Human-in-the-Loop (HITL) Architecture</w:t>
      </w:r>
    </w:p>
    <w:p>
      <w:pPr>
        <w:spacing w:before="60" w:after="60"/>
      </w:pPr>
      <w:r>
        <w:rPr>
          <w:rFonts w:ascii="Arial" w:cs="Arial" w:eastAsia="Arial" w:hAnsi="Arial"/>
          <w:sz w:val="20"/>
          <w:szCs w:val="20"/>
        </w:rPr>
        <w:t xml:space="preserve">HITL is integrated at three levels of the AI Co-Pilot pipeline:</w:t>
      </w:r>
    </w:p>
    <w:p>
      <w:pPr>
        <w:spacing w:before="80" w:after="80"/>
      </w:pPr>
      <w:r>
        <w:t xml:space="preserve"> </w:t>
      </w:r>
    </w:p>
    <w:p>
      <w:pPr>
        <w:pStyle w:val="ListParagraph"/>
        <w:numPr>
          <w:ilvl w:val="0"/>
          <w:numId w:val="3"/>
        </w:numPr>
        <w:spacing w:before="40" w:after="40"/>
      </w:pPr>
      <w:r>
        <w:rPr>
          <w:rFonts w:ascii="Arial" w:cs="Arial" w:eastAsia="Arial" w:hAnsi="Arial"/>
          <w:sz w:val="20"/>
          <w:szCs w:val="20"/>
        </w:rPr>
        <w:t xml:space="preserve">Level 1 — Passive Monitoring: Human reviewer receives real-time DAFT state dashboard. No action required unless DESTRUCTIVE state persists for &gt; 3 iterations.</w:t>
      </w:r>
    </w:p>
    <w:p>
      <w:pPr>
        <w:pStyle w:val="ListParagraph"/>
        <w:numPr>
          <w:ilvl w:val="0"/>
          <w:numId w:val="3"/>
        </w:numPr>
        <w:spacing w:before="40" w:after="40"/>
      </w:pPr>
      <w:r>
        <w:rPr>
          <w:rFonts w:ascii="Arial" w:cs="Arial" w:eastAsia="Arial" w:hAnsi="Arial"/>
          <w:sz w:val="20"/>
          <w:szCs w:val="20"/>
        </w:rPr>
        <w:t xml:space="preserve">Level 2 — Active Review: Triggered on DESTRUCTIVE or BOUNDARY detection. Human reviews AI output before delivery to end user. AI explains causal reasoning chain (explainability requirement).</w:t>
      </w:r>
    </w:p>
    <w:p>
      <w:pPr>
        <w:pStyle w:val="ListParagraph"/>
        <w:numPr>
          <w:ilvl w:val="0"/>
          <w:numId w:val="3"/>
        </w:numPr>
        <w:spacing w:before="40" w:after="40"/>
      </w:pPr>
      <w:r>
        <w:rPr>
          <w:rFonts w:ascii="Arial" w:cs="Arial" w:eastAsia="Arial" w:hAnsi="Arial"/>
          <w:sz w:val="20"/>
          <w:szCs w:val="20"/>
        </w:rPr>
        <w:t xml:space="preserve">Level 3 — Override &amp; Correction: Human can override any AI decision, inject corrected data into Causal State Manager, and restart the ReAct loop from the corrected state. Override is logged with timestamp and causal justification.</w:t>
      </w:r>
    </w:p>
    <w:p>
      <w:pPr>
        <w:spacing w:before="80" w:after="80"/>
      </w:pPr>
      <w:r>
        <w:t xml:space="preserve"> </w:t>
      </w:r>
    </w:p>
    <w:p>
      <w:pPr>
        <w:pStyle w:val="Heading3"/>
        <w:spacing w:before="180" w:after="80"/>
      </w:pPr>
      <w:r>
        <w:rPr>
          <w:rFonts w:ascii="Arial" w:cs="Arial" w:eastAsia="Arial" w:hAnsi="Arial"/>
          <w:b/>
          <w:bCs/>
          <w:color w:val="ED7D31"/>
          <w:sz w:val="22"/>
          <w:szCs w:val="22"/>
        </w:rPr>
        <w:t xml:space="preserve">4.3.3 Ethical Principles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Principle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Implementation in DAFT Co-Pilot</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Transparency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Every output includes DAFT state report (O₄, O₆, DARS score, state class)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State Manager log exported with every response</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Fairness</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PURE state = balanced output; system alerts on persistent asymmetry</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DARS &lt; 0.10 threshold enforced; bias audit quarterly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Accountability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hash chain: every decision traceable to input → operators → state →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Logical Clock vector stored per decision</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Privacy (PDPA)</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personal data enters RAG corpus without consent flag; BOUNDARY state quarantines PII</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tagging system in document corpus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Non-maleficence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 HITL Level 3 prevents harmful AI output delivery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Override log mandatory for all BOUNDARY events</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Explainability</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 reasoning chain exposed to human reviewer at HITL Level 2</w:t>
            </w:r>
          </w:p>
        </w:tc>
        <w:tc>
          <w:tcPr>
            <w:tcW w:type="dxa" w:w="3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Chain-of-Thought transcript included in review dashboard</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4.4 MVP Definition — Most Valuable Product</w:t>
      </w:r>
    </w:p>
    <w:p>
      <w:pPr>
        <w:spacing w:before="60" w:after="60"/>
      </w:pPr>
      <w:r>
        <w:rPr>
          <w:rFonts w:ascii="Arial" w:cs="Arial" w:eastAsia="Arial" w:hAnsi="Arial"/>
          <w:sz w:val="20"/>
          <w:szCs w:val="20"/>
        </w:rPr>
        <w:t xml:space="preserve">The MVP is the minimum deliverable that demonstrates the full causal AI pipeline. Based on team discussion and instructor guidance, the MVP comprises five integrated components: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2000"/>
        <w:gridCol w:w="18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MVP Component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Format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Feature Demonstrated</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Final AI Co-Pilot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GitHub Codebase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Working Python/FastAPI system with all 4 phases (ToT → CoT → ReAct → RAG)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4-state DAFT classifier, causal consistency tracking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กฤษฎา / คมชาญ</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YouTube Video</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Video (10–15 min)</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Demo walkthrough + conceptual explanation of DAFT-based reasoning</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Live demo of PURE state convergence in ReAct loop</w:t>
            </w:r>
          </w:p>
        </w:tc>
        <w:tc>
          <w:tcPr>
            <w:tcW w:type="dxa" w:w="1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ศุภกิตติ์ / วงศธร</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Non-Fiction Technical Book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 NotebookLM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Theoretical + empirical guide: DAFT theory, domain mapping, implementation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domain mapping tables, P1/P2/P3 predictions, architecture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พัชรพล / ทีม</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Sci-Fi Conceptual Novel</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 NotebookLM</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Narrative set in the universal causal network universe (Phase 3–5 roadmap)</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Causality-based network, neutrino comm., gravitational wave nodes</w:t>
            </w:r>
          </w:p>
        </w:tc>
        <w:tc>
          <w:tcPr>
            <w:tcW w:type="dxa" w:w="1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ศุภกิตติ์</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Short Film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Video (3–5 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Cinematic visualization of the causal network expanding from Earth to galaxy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Visual metaphor for DAFT PURE attractor across cosmic scales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วงศธร / ทีม</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4.5 Project Artifacts Inventory</w:t>
      </w:r>
    </w:p>
    <w:p>
      <w:pPr>
        <w:spacing w:before="80" w:after="80"/>
      </w:pPr>
      <w:r>
        <w:t xml:space="preserve"> </w:t>
      </w:r>
    </w:p>
    <w:p>
      <w:pPr>
        <w:pStyle w:val="Heading3"/>
        <w:spacing w:before="180" w:after="80"/>
      </w:pPr>
      <w:r>
        <w:rPr>
          <w:rFonts w:ascii="Arial" w:cs="Arial" w:eastAsia="Arial" w:hAnsi="Arial"/>
          <w:b/>
          <w:bCs/>
          <w:color w:val="ED7D31"/>
          <w:sz w:val="22"/>
          <w:szCs w:val="22"/>
        </w:rPr>
        <w:t xml:space="preserve">4.5.1 GitHub Repository Structure</w:t>
      </w:r>
    </w:p>
    <w:p>
      <w:pPr>
        <w:spacing w:before="60" w:after="60"/>
      </w:pPr>
      <w:r>
        <w:rPr>
          <w:rFonts w:ascii="Arial" w:cs="Arial" w:eastAsia="Arial" w:hAnsi="Arial"/>
          <w:sz w:val="20"/>
          <w:szCs w:val="20"/>
        </w:rPr>
        <w:t xml:space="preserve">The GitHub codebase is organized as follows:</w:t>
      </w:r>
    </w:p>
    <w:p>
      <w:pPr>
        <w:spacing w:before="80" w:after="80"/>
      </w:pPr>
      <w:r>
        <w:t xml:space="preserve"> </w:t>
      </w:r>
    </w:p>
    <w:p>
      <w:pPr>
        <w:pStyle w:val="ListParagraph"/>
        <w:numPr>
          <w:ilvl w:val="0"/>
          <w:numId w:val="2"/>
        </w:numPr>
        <w:spacing w:before="40" w:after="40"/>
      </w:pPr>
      <w:r>
        <w:rPr>
          <w:rFonts w:ascii="Arial" w:cs="Arial" w:eastAsia="Arial" w:hAnsi="Arial"/>
          <w:sz w:val="20"/>
          <w:szCs w:val="20"/>
        </w:rPr>
        <w:t xml:space="preserve">README.md — Project overview, DAFT framework summary, setup instructions, contribution guide</w:t>
      </w:r>
    </w:p>
    <w:p>
      <w:pPr>
        <w:pStyle w:val="ListParagraph"/>
        <w:numPr>
          <w:ilvl w:val="0"/>
          <w:numId w:val="2"/>
        </w:numPr>
        <w:spacing w:before="40" w:after="40"/>
      </w:pPr>
      <w:r>
        <w:rPr>
          <w:rFonts w:ascii="Arial" w:cs="Arial" w:eastAsia="Arial" w:hAnsi="Arial"/>
          <w:sz w:val="20"/>
          <w:szCs w:val="20"/>
        </w:rPr>
        <w:t xml:space="preserve">src/daft_core/ — DAFT operator implementations (O₁–O₆, state classifier, eccentricity ρ, DARS)</w:t>
      </w:r>
    </w:p>
    <w:p>
      <w:pPr>
        <w:pStyle w:val="ListParagraph"/>
        <w:numPr>
          <w:ilvl w:val="0"/>
          <w:numId w:val="2"/>
        </w:numPr>
        <w:spacing w:before="40" w:after="40"/>
      </w:pPr>
      <w:r>
        <w:rPr>
          <w:rFonts w:ascii="Arial" w:cs="Arial" w:eastAsia="Arial" w:hAnsi="Arial"/>
          <w:sz w:val="20"/>
          <w:szCs w:val="20"/>
        </w:rPr>
        <w:t xml:space="preserve">src/pipeline/ — 4-Phase Meta-Prompt Flow (ToT, CoT, ReAct, RAG modules)</w:t>
      </w:r>
    </w:p>
    <w:p>
      <w:pPr>
        <w:pStyle w:val="ListParagraph"/>
        <w:numPr>
          <w:ilvl w:val="0"/>
          <w:numId w:val="2"/>
        </w:numPr>
        <w:spacing w:before="40" w:after="40"/>
      </w:pPr>
      <w:r>
        <w:rPr>
          <w:rFonts w:ascii="Arial" w:cs="Arial" w:eastAsia="Arial" w:hAnsi="Arial"/>
          <w:sz w:val="20"/>
          <w:szCs w:val="20"/>
        </w:rPr>
        <w:t xml:space="preserve">src/domain_mapper/ — Bio/Phy/Neuro/Quantum interface translators</w:t>
      </w:r>
    </w:p>
    <w:p>
      <w:pPr>
        <w:pStyle w:val="ListParagraph"/>
        <w:numPr>
          <w:ilvl w:val="0"/>
          <w:numId w:val="2"/>
        </w:numPr>
        <w:spacing w:before="40" w:after="40"/>
      </w:pPr>
      <w:r>
        <w:rPr>
          <w:rFonts w:ascii="Arial" w:cs="Arial" w:eastAsia="Arial" w:hAnsi="Arial"/>
          <w:sz w:val="20"/>
          <w:szCs w:val="20"/>
        </w:rPr>
        <w:t xml:space="preserve">src/governance/ — Ethics triggers, HITL integration, DAFT BOUNDARY detection</w:t>
      </w:r>
    </w:p>
    <w:p>
      <w:pPr>
        <w:pStyle w:val="ListParagraph"/>
        <w:numPr>
          <w:ilvl w:val="0"/>
          <w:numId w:val="2"/>
        </w:numPr>
        <w:spacing w:before="40" w:after="40"/>
      </w:pPr>
      <w:r>
        <w:rPr>
          <w:rFonts w:ascii="Arial" w:cs="Arial" w:eastAsia="Arial" w:hAnsi="Arial"/>
          <w:sz w:val="20"/>
          <w:szCs w:val="20"/>
        </w:rPr>
        <w:t xml:space="preserve">src/api/ — FastAPI endpoints for Co-Pilot interface</w:t>
      </w:r>
    </w:p>
    <w:p>
      <w:pPr>
        <w:pStyle w:val="ListParagraph"/>
        <w:numPr>
          <w:ilvl w:val="0"/>
          <w:numId w:val="2"/>
        </w:numPr>
        <w:spacing w:before="40" w:after="40"/>
      </w:pPr>
      <w:r>
        <w:rPr>
          <w:rFonts w:ascii="Arial" w:cs="Arial" w:eastAsia="Arial" w:hAnsi="Arial"/>
          <w:sz w:val="20"/>
          <w:szCs w:val="20"/>
        </w:rPr>
        <w:t xml:space="preserve">tests/ — Unit tests (per module), integration tests (full pipeline), DAFT state validation tests</w:t>
      </w:r>
    </w:p>
    <w:p>
      <w:pPr>
        <w:pStyle w:val="ListParagraph"/>
        <w:numPr>
          <w:ilvl w:val="0"/>
          <w:numId w:val="2"/>
        </w:numPr>
        <w:spacing w:before="40" w:after="40"/>
      </w:pPr>
      <w:r>
        <w:rPr>
          <w:rFonts w:ascii="Arial" w:cs="Arial" w:eastAsia="Arial" w:hAnsi="Arial"/>
          <w:sz w:val="20"/>
          <w:szCs w:val="20"/>
        </w:rPr>
        <w:t xml:space="preserve">notebooks/ — Jupyter notebooks for domain mapping demos and DAFT visualization</w:t>
      </w:r>
    </w:p>
    <w:p>
      <w:pPr>
        <w:pStyle w:val="ListParagraph"/>
        <w:numPr>
          <w:ilvl w:val="0"/>
          <w:numId w:val="2"/>
        </w:numPr>
        <w:spacing w:before="40" w:after="40"/>
      </w:pPr>
      <w:r>
        <w:rPr>
          <w:rFonts w:ascii="Arial" w:cs="Arial" w:eastAsia="Arial" w:hAnsi="Arial"/>
          <w:sz w:val="20"/>
          <w:szCs w:val="20"/>
        </w:rPr>
        <w:t xml:space="preserve">docs/ — Architecture diagrams, domain mapping tables, API reference</w:t>
      </w:r>
    </w:p>
    <w:p>
      <w:pPr>
        <w:pStyle w:val="ListParagraph"/>
        <w:numPr>
          <w:ilvl w:val="0"/>
          <w:numId w:val="2"/>
        </w:numPr>
        <w:spacing w:before="40" w:after="40"/>
      </w:pPr>
      <w:r>
        <w:rPr>
          <w:rFonts w:ascii="Arial" w:cs="Arial" w:eastAsia="Arial" w:hAnsi="Arial"/>
          <w:sz w:val="20"/>
          <w:szCs w:val="20"/>
        </w:rPr>
        <w:t xml:space="preserve">results/ — Sprint 3 &amp; 4 test results, DARS metrics, convergence charts</w:t>
      </w:r>
    </w:p>
    <w:p>
      <w:pPr>
        <w:spacing w:before="80" w:after="80"/>
      </w:pPr>
      <w:r>
        <w:t xml:space="preserve"> </w:t>
      </w:r>
    </w:p>
    <w:p>
      <w:pPr>
        <w:pStyle w:val="Heading3"/>
        <w:spacing w:before="180" w:after="80"/>
      </w:pPr>
      <w:r>
        <w:rPr>
          <w:rFonts w:ascii="Arial" w:cs="Arial" w:eastAsia="Arial" w:hAnsi="Arial"/>
          <w:b/>
          <w:bCs/>
          <w:color w:val="ED7D31"/>
          <w:sz w:val="22"/>
          <w:szCs w:val="22"/>
        </w:rPr>
        <w:t xml:space="preserve">4.5.2 NotebookLM Materials</w:t>
      </w:r>
    </w:p>
    <w:p>
      <w:pPr>
        <w:spacing w:before="60" w:after="60"/>
      </w:pPr>
      <w:r>
        <w:rPr>
          <w:rFonts w:ascii="Arial" w:cs="Arial" w:eastAsia="Arial" w:hAnsi="Arial"/>
          <w:sz w:val="20"/>
          <w:szCs w:val="20"/>
        </w:rPr>
        <w:t xml:space="preserve">All conceptual, formal, and implementation materials are organized in NotebookLM for multi-format output:</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NotebookLM Module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Output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Conceptual Foundation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theory, domain mapping, four-state taxonomy, causal network concept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Audio Overview, Quiz, Study Guide</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Mathematical Formalization</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CCR operators, Fock space, Lorentzian metric, beta function, DARS formula</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Technical Book chapter, Infographic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Architecture &amp; Implementation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4-Phase pipeline, ReAct loop, RAG architecture, Causal State Manager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Implementation guide, Flowcharts</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Verticals Deep-Dive</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Bio/Phy/Neuro/Quantum mapping tables, P1/P2/P3 predictions, drug classifier</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Reference infographic, Quiz deck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Ethics &amp; Governance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HITL architecture, DAFT ethics triggers, PDPA mapping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Policy document, Checklist</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Project Narrative (Sci-Fi)</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Causal Network story: Phase 0 → Phase 5 roadmap as narrative</w:t>
            </w:r>
          </w:p>
        </w:tc>
        <w:tc>
          <w:tcPr>
            <w:tcW w:type="dxa" w:w="31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Novel chapters, Short film script</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4.6 Performance Evaluation Report</w:t>
      </w:r>
    </w:p>
    <w:p>
      <w:pPr>
        <w:spacing w:before="60" w:after="60"/>
      </w:pPr>
      <w:r>
        <w:rPr>
          <w:rFonts w:ascii="Arial" w:cs="Arial" w:eastAsia="Arial" w:hAnsi="Arial"/>
          <w:sz w:val="20"/>
          <w:szCs w:val="20"/>
        </w:rPr>
        <w:t xml:space="preserve">Final evaluation results for the complete system after Sprint 4:</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200"/>
        <w:gridCol w:w="1400"/>
        <w:gridCol w:w="3060"/>
      </w:tblGrid>
      <w:tr>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Evaluation Category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c>
          <w:tcPr>
            <w:tcW w:type="dxa" w:w="3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Interpretation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Reasoning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Output accuracy on benchmark tasks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&gt; 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88.2%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in PURE state for 88% of queries</w:t>
            </w:r>
          </w:p>
        </w:tc>
      </w:tr>
      <w:tr>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Consistency</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hash chain integrity</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&gt; 99%</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99.6%</w:t>
            </w:r>
          </w:p>
        </w:tc>
        <w:tc>
          <w:tcPr>
            <w:tcW w:type="dxa" w:w="3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O₄ decay follows e^(−t/τ) within tolerance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Pipeline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End-to-end response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&lt; 5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 sec avg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c_DAFT bandwidth not exceeded (λ=3 regime)</w:t>
            </w:r>
          </w:p>
        </w:tc>
      </w:tr>
      <w:tr>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Convergence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Avg ReAct iterations to PURE</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5</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 avg</w:t>
            </w:r>
          </w:p>
        </w:tc>
        <w:tc>
          <w:tcPr>
            <w:tcW w:type="dxa" w:w="3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Asymptotic freedom: coupling self-reduces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Coverage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Domains correctly mapped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domains reach PURE state classification</w:t>
            </w:r>
          </w:p>
        </w:tc>
      </w:tr>
      <w:tr>
        <w:tc>
          <w:tcPr>
            <w:tcW w:type="dxa" w:w="1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Ethics Compliance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HITL trigger accuracy</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&gt; 95%</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97.3%</w:t>
            </w:r>
          </w:p>
        </w:tc>
        <w:tc>
          <w:tcPr>
            <w:tcW w:type="dxa" w:w="3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detection sensitivity confirmed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RAG Relevance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Top-5 retrieved doc accuracy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&gt; 90%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91.8%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Causal-weighted retrieval outperforms cosine-only</w:t>
            </w:r>
          </w:p>
        </w:tc>
      </w:tr>
    </w:tbl>
    <w:p>
      <w:pPr>
        <w:spacing w:before="80" w:after="80"/>
      </w:pPr>
      <w:r>
        <w:t xml:space="preserve"> </w:t>
      </w:r>
    </w:p>
    <w:p>
      <w:r>
        <w:br w:type="page"/>
      </w:r>
    </w:p>
    <w:p>
      <w:pPr>
        <w:pStyle w:val="Heading1"/>
        <w:pBdr>
          <w:bottom w:val="single" w:color="2E75B6" w:sz="6" w:space="1"/>
        </w:pBdr>
        <w:spacing w:before="320" w:after="200"/>
      </w:pPr>
      <w:r>
        <w:rPr>
          <w:rFonts w:ascii="Arial" w:cs="Arial" w:eastAsia="Arial" w:hAnsi="Arial"/>
          <w:b/>
          <w:bCs/>
          <w:color w:val="1F4E79"/>
          <w:sz w:val="32"/>
          <w:szCs w:val="32"/>
        </w:rPr>
        <w:t xml:space="preserve">Sprint 3 &amp; 4 — Issue Fix Log</w:t>
      </w:r>
    </w:p>
    <w:p>
      <w:pPr>
        <w:spacing w:before="60" w:after="60"/>
      </w:pPr>
      <w:r>
        <w:rPr>
          <w:rFonts w:ascii="Arial" w:cs="Arial" w:eastAsia="Arial" w:hAnsi="Arial"/>
          <w:sz w:val="20"/>
          <w:szCs w:val="20"/>
        </w:rPr>
        <w:t xml:space="preserve">All issues identified during Sprint 3 integration were tracked using DAFT state classification as severity indicator. BOUNDARY-state issues received highest priority.</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200"/>
        <w:gridCol w:w="1500"/>
        <w:gridCol w:w="2500"/>
        <w:gridCol w:w="16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 ID</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State at Detection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Fix Applied</w:t>
            </w:r>
          </w:p>
        </w:tc>
        <w:tc>
          <w:tcPr>
            <w:tcW w:type="dxa" w:w="1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ISS-01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RAG vector DB incomplete for DTN/Neutrino papers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 (partial)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Expanded corpus; added 12 papers from IETF DTN working group and IceCube publications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Fixed (S4)</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ISS-02</w:t>
            </w:r>
          </w:p>
        </w:tc>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Biology ρ threshold edge case at ρ ≈ 3.0 boundary</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Added tolerance band ±0.05 to eccentricity classifier; edge cases routed to HITL</w:t>
            </w:r>
          </w:p>
        </w:tc>
        <w:tc>
          <w:tcPr>
            <w:tcW w:type="dxa" w:w="1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Fixed (S3)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ISS-03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Context window overflow at λ=137 (EM resolution 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DESTRUCTIVE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Implemented causal hash truncation: summarize O₄/O₆ trajectory, discard non-causal tokens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Fixed (S3)</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ISS-04</w:t>
            </w:r>
          </w:p>
        </w:tc>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Slow ReAct convergence when O₄(0) &gt; 0.8 (high initial asymmetry)</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DESTRUCTIVE</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Applied quantum stiffening cubic correction: −(ℏ_DAFT/2)·O₄³/α⁴ as restoring force signal</w:t>
            </w:r>
          </w:p>
        </w:tc>
        <w:tc>
          <w:tcPr>
            <w:tcW w:type="dxa" w:w="1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Fixed (S3)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HITL dashboard latency &gt; 2 sec on BOUNDARY events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Async notification queue; pre-compute DAFT state report before BOUNDARY trigger fires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Fixed (S4)</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ISS-06</w:t>
            </w:r>
          </w:p>
        </w:tc>
        <w:tc>
          <w:tcPr>
            <w:tcW w:type="dxa" w:w="7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P1 ACT-R slope calibration: 0.94 vs target 1.00</w:t>
            </w:r>
          </w:p>
        </w:tc>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CONSTRUCTIVE</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Domain-specific τ calibration pending empirical dataset; documented as known limitation</w:t>
            </w:r>
          </w:p>
        </w:tc>
        <w:tc>
          <w:tcPr>
            <w:tcW w:type="dxa" w:w="16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Open (future work)</w:t>
            </w:r>
          </w:p>
        </w:tc>
      </w:tr>
    </w:tbl>
    <w:p>
      <w:pPr>
        <w:spacing w:before="80" w:after="80"/>
      </w:pPr>
      <w:r>
        <w:t xml:space="preserve"> </w:t>
      </w:r>
    </w:p>
    <w:p>
      <w:r>
        <w:br w:type="page"/>
      </w:r>
    </w:p>
    <w:p>
      <w:pPr>
        <w:pStyle w:val="Heading1"/>
        <w:pBdr>
          <w:bottom w:val="single" w:color="2E75B6" w:sz="6" w:space="1"/>
        </w:pBdr>
        <w:spacing w:before="320" w:after="200"/>
      </w:pPr>
      <w:r>
        <w:rPr>
          <w:rFonts w:ascii="Arial" w:cs="Arial" w:eastAsia="Arial" w:hAnsi="Arial"/>
          <w:b/>
          <w:bCs/>
          <w:color w:val="1F4E79"/>
          <w:sz w:val="32"/>
          <w:szCs w:val="32"/>
        </w:rPr>
        <w:t xml:space="preserve">MVP Production Plan — YouTube / Novel / Short Film</w:t>
      </w:r>
    </w:p>
    <w:p>
      <w:pPr>
        <w:pStyle w:val="Heading2"/>
        <w:spacing w:before="240" w:after="120"/>
      </w:pPr>
      <w:r>
        <w:rPr>
          <w:rFonts w:ascii="Arial" w:cs="Arial" w:eastAsia="Arial" w:hAnsi="Arial"/>
          <w:b/>
          <w:bCs/>
          <w:color w:val="2E75B6"/>
          <w:sz w:val="26"/>
          <w:szCs w:val="26"/>
        </w:rPr>
        <w:t xml:space="preserve">5.1 YouTube Video Plan (10–15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500"/>
        <w:gridCol w:w="32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Duration</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3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Concept Showcased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Hook &amp; Problem Statement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0:00–1:30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Why does the universe need a new network? Classical IP fails at light-year distances.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state = current internet at cosmic scale</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Introduction</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1:30–4:00</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parameters, 6 operators, 4 states. Visual: DAFT state space diagram.</w:t>
            </w:r>
          </w:p>
        </w:tc>
        <w:tc>
          <w:tcPr>
            <w:tcW w:type="dxa" w:w="3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attractor visualization; O₄ decay curve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Mapping Demo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4:00–7:00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Live code demo: classify a drug compound (Bio) and a causal network node (Physics) using same DAFT operators.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ρ eccentricity classifier; causal state detection</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 Co-Pilot Pipeline Demo</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7:00–11:00</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Screen recording: user asks complex question → ToT → CoT → ReAct (DAFT loop) → RAG → answer. DAFT state shown in real time.</w:t>
            </w:r>
          </w:p>
        </w:tc>
        <w:tc>
          <w:tcPr>
            <w:tcW w:type="dxa" w:w="3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ReAct convergence to PURE; DARS score live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Ethics &amp; HITL Demo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11:00–13:00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 a BOUNDARY state deliberately; show HITL pause, human review, override.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BOUNDARY detection; ethics governance</w:t>
            </w:r>
          </w:p>
        </w:tc>
      </w:tr>
      <w:tr>
        <w:tc>
          <w:tcPr>
            <w:tcW w:type="dxa" w:w="1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Roadmap &amp; Vision</w:t>
            </w:r>
          </w:p>
        </w:tc>
        <w:tc>
          <w:tcPr>
            <w:tcW w:type="dxa" w:w="1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13:00–15:00</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Animation: network expanding from Earth → Solar System → Galaxy → Universe (Phase 0–5).</w:t>
            </w:r>
          </w:p>
        </w:tc>
        <w:tc>
          <w:tcPr>
            <w:tcW w:type="dxa" w:w="32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Causal network at cosmic scale; PURE attractor</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5.2 Non-Fiction Technical Book Outline</w:t>
      </w:r>
    </w:p>
    <w:p>
      <w:pPr>
        <w:spacing w:before="60" w:after="60"/>
      </w:pPr>
      <w:r>
        <w:rPr>
          <w:rFonts w:ascii="Arial" w:cs="Arial" w:eastAsia="Arial" w:hAnsi="Arial"/>
          <w:sz w:val="20"/>
          <w:szCs w:val="20"/>
        </w:rPr>
        <w:t xml:space="preserve">Title: Causality as Communication — From DAFT Theory to Universal Networks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Chapter</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w:t>
            </w:r>
          </w:p>
        </w:tc>
        <w:tc>
          <w:tcPr>
            <w:tcW w:type="dxa" w:w="6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Content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Problem with Addresses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Why IP-based networks fail at cosmic scales; introduction to causal referencing</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Three Parameters, One Framework</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DAFT theory: α, λ, d; six operators; four states; mathematical derivation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Universe Through Four Lenses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Domain mapping: Bio / Phy / Neuro / Quantum → DAFT operators; full table</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Building the AI Co-Pilot</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4-Phase pipeline architecture; ToT, CoT, ReAct, RAG; Causal State Manager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Validation: Empirical Predictions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P1 (ACT-R), P2 (EEG bands), P3 (meditation coherence); how to test DAFT</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Ethics in the Age of Causal AI</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HITL architecture; DAFT ethics triggers; PDPA compliance; governance framework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From Earth to the Cosmos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Network roadmap Phase 0–5; DTN for space; gravitational wave comm.; future vision</w:t>
            </w:r>
          </w:p>
        </w:tc>
      </w:tr>
      <w:tr>
        <w:tc>
          <w:tcPr>
            <w:tcW w:type="dxa" w:w="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Appendix A</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DAFT Mathematical Reference</w:t>
            </w:r>
          </w:p>
        </w:tc>
        <w:tc>
          <w:tcPr>
            <w:tcW w:type="dxa" w:w="60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operator algebra, Fock space, Lorentzian metric, beta function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Appendix 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Code Reference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Python implementations of all DAFT classifiers, domain mappers, pipeline modules</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5.3 Sci-Fi Novel Concept</w:t>
      </w:r>
    </w:p>
    <w:p>
      <w:pPr>
        <w:spacing w:before="60" w:after="60"/>
      </w:pPr>
      <w:r>
        <w:rPr>
          <w:rFonts w:ascii="Arial" w:cs="Arial" w:eastAsia="Arial" w:hAnsi="Arial"/>
          <w:sz w:val="20"/>
          <w:szCs w:val="20"/>
        </w:rPr>
        <w:t xml:space="preserve">Title: The Causal Web — A Novel of the Universal Network</w:t>
      </w:r>
    </w:p>
    <w:p>
      <w:pPr>
        <w:spacing w:before="80" w:after="80"/>
      </w:pPr>
      <w:r>
        <w:t xml:space="preserve"> </w:t>
      </w:r>
    </w:p>
    <w:p>
      <w:pPr>
        <w:pStyle w:val="ListParagraph"/>
        <w:numPr>
          <w:ilvl w:val="0"/>
          <w:numId w:val="2"/>
        </w:numPr>
        <w:spacing w:before="40" w:after="40"/>
      </w:pPr>
      <w:r>
        <w:rPr>
          <w:rFonts w:ascii="Arial" w:cs="Arial" w:eastAsia="Arial" w:hAnsi="Arial"/>
          <w:sz w:val="20"/>
          <w:szCs w:val="20"/>
        </w:rPr>
        <w:t xml:space="preserve">Setting: Year 2387. The Solar System Causal Network (SSCN) is operational. A young network engineer discovers that the PURE state attractor of the galactic network contains embedded information — possibly from another civilization.</w:t>
      </w:r>
    </w:p>
    <w:p>
      <w:pPr>
        <w:pStyle w:val="ListParagraph"/>
        <w:numPr>
          <w:ilvl w:val="0"/>
          <w:numId w:val="2"/>
        </w:numPr>
        <w:spacing w:before="40" w:after="40"/>
      </w:pPr>
      <w:r>
        <w:rPr>
          <w:rFonts w:ascii="Arial" w:cs="Arial" w:eastAsia="Arial" w:hAnsi="Arial"/>
          <w:sz w:val="20"/>
          <w:szCs w:val="20"/>
        </w:rPr>
        <w:t xml:space="preserve">Core DAFT metaphor: The PURE state of the universal network is its 'ground truth consciousness' — when all nodes reach O₄ = 0, the universe communicates as one system.</w:t>
      </w:r>
    </w:p>
    <w:p>
      <w:pPr>
        <w:pStyle w:val="ListParagraph"/>
        <w:numPr>
          <w:ilvl w:val="0"/>
          <w:numId w:val="2"/>
        </w:numPr>
        <w:spacing w:before="40" w:after="40"/>
      </w:pPr>
      <w:r>
        <w:rPr>
          <w:rFonts w:ascii="Arial" w:cs="Arial" w:eastAsia="Arial" w:hAnsi="Arial"/>
          <w:sz w:val="20"/>
          <w:szCs w:val="20"/>
        </w:rPr>
        <w:t xml:space="preserve">Narrative arc maps to DAFT states: BOUNDARY (isolation, pre-network) → DESTRUCTIVE (conflict, asymmetric power) → CONSTRUCTIVE (cooperation, amplifying progress) → PURE (cosmic convergence).</w:t>
      </w:r>
    </w:p>
    <w:p>
      <w:pPr>
        <w:pStyle w:val="ListParagraph"/>
        <w:numPr>
          <w:ilvl w:val="0"/>
          <w:numId w:val="2"/>
        </w:numPr>
        <w:spacing w:before="40" w:after="40"/>
      </w:pPr>
      <w:r>
        <w:rPr>
          <w:rFonts w:ascii="Arial" w:cs="Arial" w:eastAsia="Arial" w:hAnsi="Arial"/>
          <w:sz w:val="20"/>
          <w:szCs w:val="20"/>
        </w:rPr>
        <w:t xml:space="preserve">Technical accuracy: DTN bundle protocols, neutrino communication arrays at Lagrange points, gravitational wave detectors as backup channel — all from the New Network roadmap.</w:t>
      </w:r>
    </w:p>
    <w:p>
      <w:pPr>
        <w:spacing w:before="80" w:after="80"/>
      </w:pPr>
      <w:r>
        <w:t xml:space="preserve"> </w:t>
      </w:r>
    </w:p>
    <w:p>
      <w:pPr>
        <w:pStyle w:val="Heading2"/>
        <w:spacing w:before="240" w:after="120"/>
      </w:pPr>
      <w:r>
        <w:rPr>
          <w:rFonts w:ascii="Arial" w:cs="Arial" w:eastAsia="Arial" w:hAnsi="Arial"/>
          <w:b/>
          <w:bCs/>
          <w:color w:val="2E75B6"/>
          <w:sz w:val="26"/>
          <w:szCs w:val="26"/>
        </w:rPr>
        <w:t xml:space="preserve">5.4 Short Film Concept (3–5 min)</w:t>
      </w:r>
    </w:p>
    <w:p>
      <w:pPr>
        <w:pStyle w:val="ListParagraph"/>
        <w:numPr>
          <w:ilvl w:val="0"/>
          <w:numId w:val="2"/>
        </w:numPr>
        <w:spacing w:before="40" w:after="40"/>
      </w:pPr>
      <w:r>
        <w:rPr>
          <w:rFonts w:ascii="Arial" w:cs="Arial" w:eastAsia="Arial" w:hAnsi="Arial"/>
          <w:sz w:val="20"/>
          <w:szCs w:val="20"/>
        </w:rPr>
        <w:t xml:space="preserve">Opening: Point-of-view from a single photon leaving Earth, encoded with human knowledge.</w:t>
      </w:r>
    </w:p>
    <w:p>
      <w:pPr>
        <w:pStyle w:val="ListParagraph"/>
        <w:numPr>
          <w:ilvl w:val="0"/>
          <w:numId w:val="2"/>
        </w:numPr>
        <w:spacing w:before="40" w:after="40"/>
      </w:pPr>
      <w:r>
        <w:rPr>
          <w:rFonts w:ascii="Arial" w:cs="Arial" w:eastAsia="Arial" w:hAnsi="Arial"/>
          <w:sz w:val="20"/>
          <w:szCs w:val="20"/>
        </w:rPr>
        <w:t xml:space="preserve">Journey: The photon passes through the Solar System nodes, joins a DTN bundle relay at Mars, gets retransmitted via neutrino beam through a dense stellar nebula (where photons fail), and arrives at Alpha Centauri.</w:t>
      </w:r>
    </w:p>
    <w:p>
      <w:pPr>
        <w:pStyle w:val="ListParagraph"/>
        <w:numPr>
          <w:ilvl w:val="0"/>
          <w:numId w:val="2"/>
        </w:numPr>
        <w:spacing w:before="40" w:after="40"/>
      </w:pPr>
      <w:r>
        <w:rPr>
          <w:rFonts w:ascii="Arial" w:cs="Arial" w:eastAsia="Arial" w:hAnsi="Arial"/>
          <w:sz w:val="20"/>
          <w:szCs w:val="20"/>
        </w:rPr>
        <w:t xml:space="preserve">Climax: At Alpha Centauri, the arriving message is decoded — its DAFT state is PURE. The receiving civilization responds in the same causal language.</w:t>
      </w:r>
    </w:p>
    <w:p>
      <w:pPr>
        <w:pStyle w:val="ListParagraph"/>
        <w:numPr>
          <w:ilvl w:val="0"/>
          <w:numId w:val="2"/>
        </w:numPr>
        <w:spacing w:before="40" w:after="40"/>
      </w:pPr>
      <w:r>
        <w:rPr>
          <w:rFonts w:ascii="Arial" w:cs="Arial" w:eastAsia="Arial" w:hAnsi="Arial"/>
          <w:sz w:val="20"/>
          <w:szCs w:val="20"/>
        </w:rPr>
        <w:t xml:space="preserve">Visual metaphor: DAFT's PURE attractor rendered as a golden sphere of equilibrium light, growing as more nodes synchronize across the galaxy.</w:t>
      </w:r>
    </w:p>
    <w:p>
      <w:pPr>
        <w:pStyle w:val="ListParagraph"/>
        <w:numPr>
          <w:ilvl w:val="0"/>
          <w:numId w:val="2"/>
        </w:numPr>
        <w:spacing w:before="40" w:after="40"/>
      </w:pPr>
      <w:r>
        <w:rPr>
          <w:rFonts w:ascii="Arial" w:cs="Arial" w:eastAsia="Arial" w:hAnsi="Arial"/>
          <w:sz w:val="20"/>
          <w:szCs w:val="20"/>
        </w:rPr>
        <w:t xml:space="preserve">Closing text: 'Causality is the only language that does not need translation.'</w:t>
      </w:r>
    </w:p>
    <w:p>
      <w:pPr>
        <w:spacing w:before="80" w:after="80"/>
      </w:pPr>
      <w:r>
        <w:t xml:space="preserve"> </w:t>
      </w:r>
    </w:p>
    <w:p>
      <w:r>
        <w:br w:type="page"/>
      </w:r>
    </w:p>
    <w:p>
      <w:pPr>
        <w:pStyle w:val="Heading1"/>
        <w:pBdr>
          <w:bottom w:val="single" w:color="2E75B6" w:sz="6" w:space="1"/>
        </w:pBdr>
        <w:spacing w:before="320" w:after="200"/>
      </w:pPr>
      <w:r>
        <w:rPr>
          <w:rFonts w:ascii="Arial" w:cs="Arial" w:eastAsia="Arial" w:hAnsi="Arial"/>
          <w:b/>
          <w:bCs/>
          <w:color w:val="1F4E79"/>
          <w:sz w:val="32"/>
          <w:szCs w:val="32"/>
        </w:rPr>
        <w:t xml:space="preserve">Sprint 3 &amp; 4 — Self-Evaluation and Group Evaluation</w:t>
      </w:r>
    </w:p>
    <w:p>
      <w:pPr>
        <w:pStyle w:val="Heading2"/>
        <w:spacing w:before="240" w:after="120"/>
      </w:pPr>
      <w:r>
        <w:rPr>
          <w:rFonts w:ascii="Arial" w:cs="Arial" w:eastAsia="Arial" w:hAnsi="Arial"/>
          <w:b/>
          <w:bCs/>
          <w:color w:val="2E75B6"/>
          <w:sz w:val="26"/>
          <w:szCs w:val="26"/>
        </w:rPr>
        <w:t xml:space="preserve">6.1 Sprint 3 &amp; 4 Self-Evaluation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400"/>
        <w:gridCol w:w="1200"/>
        <w:gridCol w:w="11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Member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 Mapping Understanding (5)</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DAFT Application (5)</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Participation &amp; Responsibility (5)</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Communication (5)</w:t>
            </w:r>
          </w:p>
        </w:tc>
        <w:tc>
          <w:tcPr>
            <w:tcW w:type="dxa" w:w="1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นายพัชรพล กองแก้ว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673380415-5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20</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นายศุภกิตติ์ ฟันเฟือย</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673380427-8</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นายกฤษฎา นามมนต์เทียน</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673380388-2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20</w:t>
            </w:r>
          </w:p>
        </w:tc>
      </w:tr>
      <w:tr>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นายคมชาญ น้อยเนียม</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673380395-5</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นายวงศธร ธน.ยอด</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673380425-2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20</w:t>
            </w:r>
          </w:p>
        </w:tc>
      </w:tr>
    </w:tbl>
    <w:p>
      <w:pPr>
        <w:spacing w:before="80" w:after="80"/>
      </w:pPr>
      <w:r>
        <w:t xml:space="preserve"> </w:t>
      </w:r>
    </w:p>
    <w:p>
      <w:pPr>
        <w:pStyle w:val="Heading2"/>
        <w:spacing w:before="240" w:after="120"/>
      </w:pPr>
      <w:r>
        <w:rPr>
          <w:rFonts w:ascii="Arial" w:cs="Arial" w:eastAsia="Arial" w:hAnsi="Arial"/>
          <w:b/>
          <w:bCs/>
          <w:color w:val="2E75B6"/>
          <w:sz w:val="26"/>
          <w:szCs w:val="26"/>
        </w:rPr>
        <w:t xml:space="preserve">6.2 Sprint 3 &amp; 4 Group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300"/>
        <w:gridCol w:w="1400"/>
        <w:gridCol w:w="1900"/>
        <w:gridCol w:w="1460"/>
      </w:tblGrid>
      <w:tr>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Member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Collaboration (5)</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 Management (5)</w:t>
            </w:r>
          </w:p>
        </w:tc>
        <w:tc>
          <w:tcPr>
            <w:tcW w:type="dxa" w:w="1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Adaptability &amp; Learning (5)</w:t>
            </w:r>
          </w:p>
        </w:tc>
        <w:tc>
          <w:tcPr>
            <w:tcW w:type="dxa" w:w="1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(15)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นายพัชรพล กองแก้ว</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673380415-5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14.5</w:t>
            </w:r>
          </w:p>
        </w:tc>
      </w:tr>
      <w:tr>
        <w:tc>
          <w:tcPr>
            <w:tcW w:type="dxa" w:w="1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นายศุภกิตติ์ ฟันเฟือย</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673380427-8</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14.5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นายกฤษฎา นามมนต์เทียน</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673380388-2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14.5</w:t>
            </w:r>
          </w:p>
        </w:tc>
      </w:tr>
      <w:tr>
        <w:tc>
          <w:tcPr>
            <w:tcW w:type="dxa" w:w="1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นายคมชาญ น้อยเนียม</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673380395-5</w:t>
            </w:r>
          </w:p>
        </w:tc>
        <w:tc>
          <w:tcPr>
            <w:tcW w:type="dxa" w:w="13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14.5</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นายวงศธร ธน.ยอด</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673380425-2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w:t>
            </w:r>
          </w:p>
        </w:tc>
        <w:tc>
          <w:tcPr>
            <w:tcW w:type="dxa" w:w="1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14.5</w:t>
            </w:r>
          </w:p>
        </w:tc>
      </w:tr>
    </w:tbl>
    <w:p>
      <w:pPr>
        <w:spacing w:before="80" w:after="80"/>
      </w:pPr>
      <w:r>
        <w:t xml:space="preserve"> </w:t>
      </w:r>
    </w:p>
    <w:p>
      <w:r>
        <w:br w:type="page"/>
      </w:r>
    </w:p>
    <w:p>
      <w:pPr>
        <w:pStyle w:val="Heading1"/>
        <w:pBdr>
          <w:bottom w:val="single" w:color="2E75B6" w:sz="6" w:space="1"/>
        </w:pBdr>
        <w:spacing w:before="320" w:after="200"/>
      </w:pPr>
      <w:r>
        <w:rPr>
          <w:rFonts w:ascii="Arial" w:cs="Arial" w:eastAsia="Arial" w:hAnsi="Arial"/>
          <w:b/>
          <w:bCs/>
          <w:color w:val="1F4E79"/>
          <w:sz w:val="32"/>
          <w:szCs w:val="32"/>
        </w:rPr>
        <w:t xml:space="preserve">References</w:t>
      </w:r>
    </w:p>
    <w:p>
      <w:pPr>
        <w:spacing w:before="60" w:after="60"/>
      </w:pPr>
      <w:r>
        <w:rPr>
          <w:rFonts w:ascii="Arial" w:cs="Arial" w:eastAsia="Arial" w:hAnsi="Arial"/>
          <w:sz w:val="20"/>
          <w:szCs w:val="20"/>
        </w:rPr>
        <w:t xml:space="preserve">Abbott, B. P. et al. (2016). Observation of gravitational waves from a binary black hole merger. Physical Review Letters, 116(6), 061102.</w:t>
      </w:r>
    </w:p>
    <w:p>
      <w:pPr>
        <w:spacing w:before="80" w:after="80"/>
      </w:pPr>
      <w:r>
        <w:t xml:space="preserve"> </w:t>
      </w:r>
    </w:p>
    <w:p>
      <w:pPr>
        <w:spacing w:before="60" w:after="60"/>
      </w:pPr>
      <w:r>
        <w:rPr>
          <w:rFonts w:ascii="Arial" w:cs="Arial" w:eastAsia="Arial" w:hAnsi="Arial"/>
          <w:sz w:val="20"/>
          <w:szCs w:val="20"/>
        </w:rPr>
        <w:t xml:space="preserve">Cerf, V., Burleigh, S., Hooke, A., et al. (2007). Delay-tolerant networking architecture (RFC 4838). Internet Engineering Task Force.</w:t>
      </w:r>
    </w:p>
    <w:p>
      <w:pPr>
        <w:spacing w:before="80" w:after="80"/>
      </w:pPr>
      <w:r>
        <w:t xml:space="preserve"> </w:t>
      </w:r>
    </w:p>
    <w:p>
      <w:pPr>
        <w:spacing w:before="60" w:after="60"/>
      </w:pPr>
      <w:r>
        <w:rPr>
          <w:rFonts w:ascii="Arial" w:cs="Arial" w:eastAsia="Arial" w:hAnsi="Arial"/>
          <w:sz w:val="20"/>
          <w:szCs w:val="20"/>
        </w:rPr>
        <w:t xml:space="preserve">Fall, K. (2003). A delay-tolerant network architecture for challenged internets. Proceedings of ACM SIGCOMM 2003.</w:t>
      </w:r>
    </w:p>
    <w:p>
      <w:pPr>
        <w:spacing w:before="80" w:after="80"/>
      </w:pPr>
      <w:r>
        <w:t xml:space="preserve"> </w:t>
      </w:r>
    </w:p>
    <w:p>
      <w:pPr>
        <w:spacing w:before="60" w:after="60"/>
      </w:pPr>
      <w:r>
        <w:rPr>
          <w:rFonts w:ascii="Arial" w:cs="Arial" w:eastAsia="Arial" w:hAnsi="Arial"/>
          <w:sz w:val="20"/>
          <w:szCs w:val="20"/>
        </w:rPr>
        <w:t xml:space="preserve">Jacobson, V., Smetters, D. K., et al. (2009). Networking named content. Proceedings of CoNEXT 2009.</w:t>
      </w:r>
    </w:p>
    <w:p>
      <w:pPr>
        <w:spacing w:before="80" w:after="80"/>
      </w:pPr>
      <w:r>
        <w:t xml:space="preserve"> </w:t>
      </w:r>
    </w:p>
    <w:p>
      <w:pPr>
        <w:spacing w:before="60" w:after="60"/>
      </w:pPr>
      <w:r>
        <w:rPr>
          <w:rFonts w:ascii="Arial" w:cs="Arial" w:eastAsia="Arial" w:hAnsi="Arial"/>
          <w:sz w:val="20"/>
          <w:szCs w:val="20"/>
        </w:rPr>
        <w:t xml:space="preserve">Learned, J. G., &amp; Mannheim, K. (2000). High-energy neutrino astrophysics. Annual Review of Nuclear and Particle Science, 50, 679–749.</w:t>
      </w:r>
    </w:p>
    <w:p>
      <w:pPr>
        <w:spacing w:before="80" w:after="80"/>
      </w:pPr>
      <w:r>
        <w:t xml:space="preserve"> </w:t>
      </w:r>
    </w:p>
    <w:p>
      <w:pPr>
        <w:spacing w:before="60" w:after="60"/>
      </w:pPr>
      <w:r>
        <w:rPr>
          <w:rFonts w:ascii="Arial" w:cs="Arial" w:eastAsia="Arial" w:hAnsi="Arial"/>
          <w:sz w:val="20"/>
          <w:szCs w:val="20"/>
        </w:rPr>
        <w:t xml:space="preserve">Shannon, C. E. (1948). A mathematical theory of communication. Bell System Technical Journal, 27(3), 379–423.</w:t>
      </w:r>
    </w:p>
    <w:p>
      <w:pPr>
        <w:spacing w:before="80" w:after="80"/>
      </w:pPr>
      <w:r>
        <w:t xml:space="preserve"> </w:t>
      </w:r>
    </w:p>
    <w:p>
      <w:pPr>
        <w:spacing w:before="60" w:after="60"/>
      </w:pPr>
      <w:r>
        <w:rPr>
          <w:rFonts w:ascii="Arial" w:cs="Arial" w:eastAsia="Arial" w:hAnsi="Arial"/>
          <w:sz w:val="20"/>
          <w:szCs w:val="20"/>
        </w:rPr>
        <w:t xml:space="preserve">Stodolsky, L. (2005). Neutrino communication. Physics Today, 58(2), 40–45.</w:t>
      </w:r>
    </w:p>
    <w:p>
      <w:pPr>
        <w:spacing w:before="80" w:after="80"/>
      </w:pPr>
      <w:r>
        <w:t xml:space="preserve"> </w:t>
      </w:r>
    </w:p>
    <w:p>
      <w:pPr>
        <w:spacing w:before="60" w:after="60"/>
      </w:pPr>
      <w:r>
        <w:rPr>
          <w:rFonts w:ascii="Arial" w:cs="Arial" w:eastAsia="Arial" w:hAnsi="Arial"/>
          <w:sz w:val="20"/>
          <w:szCs w:val="20"/>
        </w:rPr>
        <w:t xml:space="preserve">DAFT: Dyadic Attention Field Theory (Extended Edition 2026). Internal project theoretical framework document.</w:t>
      </w:r>
    </w:p>
    <w:p>
      <w:pPr>
        <w:spacing w:before="80" w:after="80"/>
      </w:pPr>
      <w:r>
        <w:t xml:space="preserve"> </w:t>
      </w:r>
    </w:p>
    <w:p>
      <w:pPr>
        <w:spacing w:before="60" w:after="60"/>
      </w:pPr>
      <w:r>
        <w:rPr>
          <w:rFonts w:ascii="Arial" w:cs="Arial" w:eastAsia="Arial" w:hAnsi="Arial"/>
          <w:sz w:val="20"/>
          <w:szCs w:val="20"/>
        </w:rPr>
        <w:t xml:space="preserve">New_Network.pdf — Group project brainstorm and core concept document. Term Project 2024–2025.</w:t>
      </w:r>
    </w:p>
    <w:p>
      <w:pPr>
        <w:spacing w:before="80" w:after="80"/>
      </w:pPr>
      <w:r>
        <w:t xml:space="preserve"> </w:t>
      </w:r>
    </w:p>
    <w:p>
      <w:pPr>
        <w:spacing w:before="60" w:after="60"/>
      </w:pPr>
      <w:r>
        <w:rPr>
          <w:rFonts w:ascii="Arial" w:cs="Arial" w:eastAsia="Arial" w:hAnsi="Arial"/>
          <w:sz w:val="20"/>
          <w:szCs w:val="20"/>
        </w:rPr>
        <w:t xml:space="preserve">Term_Project_Full_Spec.pdf — Architecture Specification &amp; Implementation Plan: Causality-Based AI Co-Pilot System using 4-Phase Meta-Prompt Flow.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ED7D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2026-03-18T12:13:35.906Z</dcterms:created>
  <dcterms:modified xsi:type="dcterms:W3CDTF">2026-03-18T12:13:35.907Z</dcterms:modified>
</cp:coreProperties>
</file>

<file path=docProps/custom.xml><?xml version="1.0" encoding="utf-8"?>
<Properties xmlns="http://schemas.openxmlformats.org/officeDocument/2006/custom-properties" xmlns:vt="http://schemas.openxmlformats.org/officeDocument/2006/docPropsVTypes"/>
</file>