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B4" w:rsidRPr="00AD28B4" w:rsidRDefault="00AD28B4" w:rsidP="007754EF">
      <w:pPr>
        <w:autoSpaceDE w:val="0"/>
        <w:autoSpaceDN w:val="0"/>
        <w:adjustRightInd w:val="0"/>
        <w:jc w:val="left"/>
        <w:rPr>
          <w:rFonts w:ascii="MinionPro-Regular" w:hAnsi="MinionPro-Regular" w:cs="MinionPro-Regular" w:hint="eastAsia"/>
          <w:kern w:val="0"/>
          <w:sz w:val="28"/>
          <w:szCs w:val="28"/>
        </w:rPr>
      </w:pPr>
      <w:r w:rsidRPr="00AD28B4">
        <w:rPr>
          <w:rFonts w:ascii="MinionPro-Regular" w:hAnsi="MinionPro-Regular" w:cs="MinionPro-Regular" w:hint="eastAsia"/>
          <w:kern w:val="0"/>
          <w:sz w:val="28"/>
          <w:szCs w:val="28"/>
        </w:rPr>
        <w:t>Food resources in</w:t>
      </w:r>
      <w:bookmarkStart w:id="0" w:name="_GoBack"/>
      <w:bookmarkEnd w:id="0"/>
      <w:r w:rsidRPr="00AD28B4">
        <w:rPr>
          <w:rFonts w:ascii="MinionPro-Regular" w:hAnsi="MinionPro-Regular" w:cs="MinionPro-Regular" w:hint="eastAsia"/>
          <w:kern w:val="0"/>
          <w:sz w:val="28"/>
          <w:szCs w:val="28"/>
        </w:rPr>
        <w:t xml:space="preserve"> Myanmar</w:t>
      </w:r>
    </w:p>
    <w:p w:rsidR="00AD28B4" w:rsidRDefault="00AD28B4" w:rsidP="007754EF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</w:p>
    <w:p w:rsidR="00F20F73" w:rsidRDefault="007754EF" w:rsidP="007754EF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Myanmar may be divided into five major</w:t>
      </w:r>
      <w:r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kern w:val="0"/>
          <w:sz w:val="20"/>
          <w:szCs w:val="20"/>
        </w:rPr>
        <w:t xml:space="preserve">topographic and climatic zones: </w:t>
      </w:r>
      <w:proofErr w:type="gramStart"/>
      <w:r>
        <w:rPr>
          <w:rFonts w:ascii="MinionPro-Regular" w:hAnsi="MinionPro-Regular" w:cs="MinionPro-Regular"/>
          <w:kern w:val="0"/>
          <w:sz w:val="20"/>
          <w:szCs w:val="20"/>
        </w:rPr>
        <w:t>the</w:t>
      </w:r>
      <w:proofErr w:type="gramEnd"/>
      <w:r>
        <w:rPr>
          <w:rFonts w:ascii="MinionPro-Regular" w:hAnsi="MinionPro-Regular" w:cs="MinionPro-Regular"/>
          <w:kern w:val="0"/>
          <w:sz w:val="20"/>
          <w:szCs w:val="20"/>
        </w:rPr>
        <w:t xml:space="preserve"> Mountainous Region, the Shan Pla</w:t>
      </w:r>
      <w:r>
        <w:rPr>
          <w:rFonts w:ascii="MinionPro-Regular" w:hAnsi="MinionPro-Regular" w:cs="MinionPro-Regular"/>
          <w:kern w:val="0"/>
          <w:sz w:val="20"/>
          <w:szCs w:val="20"/>
        </w:rPr>
        <w:t>teau, the Central Dry Zone, the</w:t>
      </w:r>
      <w:r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kern w:val="0"/>
          <w:sz w:val="20"/>
          <w:szCs w:val="20"/>
        </w:rPr>
        <w:t>Delta Region, and the Coastal Region.</w:t>
      </w:r>
      <w:r>
        <w:rPr>
          <w:rFonts w:ascii="MinionPro-Regular" w:hAnsi="MinionPro-Regular" w:cs="MinionPro-Regular"/>
          <w:kern w:val="0"/>
          <w:sz w:val="20"/>
          <w:szCs w:val="20"/>
        </w:rPr>
        <w:t xml:space="preserve"> </w:t>
      </w:r>
      <w:r w:rsidR="00F20F73">
        <w:rPr>
          <w:rFonts w:ascii="MinionPro-Regular" w:hAnsi="MinionPro-Regular" w:cs="MinionPro-Regular"/>
          <w:kern w:val="0"/>
          <w:sz w:val="20"/>
          <w:szCs w:val="20"/>
        </w:rPr>
        <w:t>Central Dry Zone, with the lowest annual ra</w:t>
      </w:r>
      <w:r>
        <w:rPr>
          <w:rFonts w:ascii="MinionPro-Regular" w:hAnsi="MinionPro-Regular" w:cs="MinionPro-Regular"/>
          <w:kern w:val="0"/>
          <w:sz w:val="20"/>
          <w:szCs w:val="20"/>
        </w:rPr>
        <w:t>infall; an extended dry season;</w:t>
      </w:r>
      <w:r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 w:rsidR="00F20F73">
        <w:rPr>
          <w:rFonts w:ascii="MinionPro-Regular" w:hAnsi="MinionPro-Regular" w:cs="MinionPro-Regular"/>
          <w:kern w:val="0"/>
          <w:sz w:val="20"/>
          <w:szCs w:val="20"/>
        </w:rPr>
        <w:t>and infertile, sandy soils.</w:t>
      </w:r>
      <w:r w:rsidR="00F20F73" w:rsidRPr="00F20F73">
        <w:rPr>
          <w:rFonts w:ascii="MinionPro-Regular" w:hAnsi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kern w:val="0"/>
          <w:sz w:val="20"/>
          <w:szCs w:val="20"/>
        </w:rPr>
        <w:t>The</w:t>
      </w:r>
      <w:r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 w:rsidR="00F20F73">
        <w:rPr>
          <w:rFonts w:ascii="MinionPro-Regular" w:hAnsi="MinionPro-Regular" w:cs="MinionPro-Regular"/>
          <w:kern w:val="0"/>
          <w:sz w:val="20"/>
          <w:szCs w:val="20"/>
        </w:rPr>
        <w:t>Delta Region is a vast fertile area that is at the confluence of three major river systems: the Ayeyarwady,</w:t>
      </w:r>
      <w:r w:rsidR="00F20F73">
        <w:rPr>
          <w:rFonts w:ascii="MinionPro-Regular" w:hAnsi="MinionPro-Regular" w:cs="MinionPro-Regular"/>
          <w:kern w:val="0"/>
          <w:sz w:val="12"/>
          <w:szCs w:val="12"/>
        </w:rPr>
        <w:t>5</w:t>
      </w:r>
      <w:r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 w:rsidR="00F20F73">
        <w:rPr>
          <w:rFonts w:ascii="MinionPro-Regular" w:hAnsi="MinionPro-Regular" w:cs="MinionPro-Regular"/>
          <w:kern w:val="0"/>
          <w:sz w:val="20"/>
          <w:szCs w:val="20"/>
        </w:rPr>
        <w:t>the Sittaung, and the Thanlwin. The Delta Region has</w:t>
      </w:r>
      <w:r>
        <w:rPr>
          <w:rFonts w:ascii="MinionPro-Regular" w:hAnsi="MinionPro-Regular" w:cs="MinionPro-Regular"/>
          <w:kern w:val="0"/>
          <w:sz w:val="20"/>
          <w:szCs w:val="20"/>
        </w:rPr>
        <w:t xml:space="preserve"> highest land</w:t>
      </w:r>
      <w:r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 w:rsidR="00F20F73">
        <w:rPr>
          <w:rFonts w:ascii="MinionPro-Regular" w:hAnsi="MinionPro-Regular" w:cs="MinionPro-Regular"/>
          <w:kern w:val="0"/>
          <w:sz w:val="20"/>
          <w:szCs w:val="20"/>
        </w:rPr>
        <w:t xml:space="preserve">productivity; moderately high rainfall; generally flat topography; </w:t>
      </w:r>
      <w:r>
        <w:rPr>
          <w:rFonts w:ascii="MinionPro-Regular" w:hAnsi="MinionPro-Regular" w:cs="MinionPro-Regular"/>
          <w:kern w:val="0"/>
          <w:sz w:val="20"/>
          <w:szCs w:val="20"/>
        </w:rPr>
        <w:t xml:space="preserve">and an excellent environment for </w:t>
      </w:r>
      <w:r w:rsidR="00F20F73">
        <w:rPr>
          <w:rFonts w:ascii="MinionPro-Regular" w:hAnsi="MinionPro-Regular" w:cs="MinionPro-Regular"/>
          <w:kern w:val="0"/>
          <w:sz w:val="20"/>
          <w:szCs w:val="20"/>
        </w:rPr>
        <w:t xml:space="preserve">agriculture, especially rice production.. The southern portion of </w:t>
      </w:r>
      <w:r>
        <w:rPr>
          <w:rFonts w:ascii="MinionPro-Regular" w:hAnsi="MinionPro-Regular" w:cs="MinionPro-Regular"/>
          <w:kern w:val="0"/>
          <w:sz w:val="20"/>
          <w:szCs w:val="20"/>
        </w:rPr>
        <w:t>Coastal Region</w:t>
      </w:r>
      <w:r>
        <w:rPr>
          <w:rFonts w:ascii="MinionPro-Regular" w:hAnsi="MinionPro-Regular" w:cs="MinionPro-Regular"/>
          <w:kern w:val="0"/>
          <w:sz w:val="20"/>
          <w:szCs w:val="20"/>
        </w:rPr>
        <w:t xml:space="preserve"> has the highest annual rainfall</w:t>
      </w:r>
      <w:r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 w:rsidR="00F20F73">
        <w:rPr>
          <w:rFonts w:ascii="MinionPro-Regular" w:hAnsi="MinionPro-Regular" w:cs="MinionPro-Regular"/>
          <w:kern w:val="0"/>
          <w:sz w:val="20"/>
          <w:szCs w:val="20"/>
        </w:rPr>
        <w:t>(exceeding 4,000 millimeters per annum) and is highly suitable for growing perennial crops such</w:t>
      </w:r>
      <w:r w:rsidR="00F20F73"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　</w:t>
      </w:r>
      <w:r>
        <w:rPr>
          <w:rFonts w:ascii="MinionPro-Regular" w:hAnsi="MinionPro-Regular" w:cs="MinionPro-Regular"/>
          <w:kern w:val="0"/>
          <w:sz w:val="20"/>
          <w:szCs w:val="20"/>
        </w:rPr>
        <w:t>as</w:t>
      </w:r>
      <w:r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 w:rsidR="00F20F73">
        <w:rPr>
          <w:rFonts w:ascii="MinionPro-Regular" w:hAnsi="MinionPro-Regular" w:cs="MinionPro-Regular"/>
          <w:kern w:val="0"/>
          <w:sz w:val="20"/>
          <w:szCs w:val="20"/>
        </w:rPr>
        <w:t>coconut, oil palm, and rubber.</w:t>
      </w:r>
      <w:r>
        <w:rPr>
          <w:rFonts w:ascii="MinionPro-Regular" w:hAnsi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kern w:val="0"/>
          <w:sz w:val="20"/>
          <w:szCs w:val="20"/>
        </w:rPr>
        <w:t>Just under 50% of the total land area is heavily forested or unsuitable for agriculture (mountains</w:t>
      </w:r>
      <w:r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kern w:val="0"/>
          <w:sz w:val="20"/>
          <w:szCs w:val="20"/>
        </w:rPr>
        <w:t>and deforested hill slopes).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 xml:space="preserve"> Agricultural production takes place on only about 12.4 million hectares</w:t>
      </w:r>
      <w:r>
        <w:rPr>
          <w:rFonts w:ascii="MinionPro-Regular" w:hAnsi="MinionPro-Regular" w:cs="MinionPro-Regular"/>
          <w:kern w:val="0"/>
          <w:sz w:val="12"/>
          <w:szCs w:val="12"/>
        </w:rPr>
        <w:t xml:space="preserve">7 </w:t>
      </w:r>
      <w:r>
        <w:rPr>
          <w:rFonts w:ascii="MinionPro-Regular" w:hAnsi="MinionPro-Regular" w:cs="MinionPro-Regular"/>
          <w:kern w:val="0"/>
          <w:sz w:val="20"/>
          <w:szCs w:val="20"/>
        </w:rPr>
        <w:t>(ha), or 18% of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Myanmar’s total land area of about 68 million ha. Some 5.7 million ha is considered cultivable but is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currently unused. The principal crops include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(i) rice, which covers about two-thirds of the total area under cultivation;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(ii) beans and pulses, which have recently become major export crops and are grown on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about 4.2 million ha;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(iii) oilseeds (especially in the Central Dry Zone), grown on 3.3 million ha; production is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insufficient to meet national demand and about 200,000 tons of palm oil are imported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annually;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(iv) vegetables and chilies, grown on about 0.8 million ha, principally in highland areas; and</w:t>
      </w:r>
    </w:p>
    <w:p w:rsidR="007754EF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12"/>
          <w:szCs w:val="12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(v) other crops, including maize, cotton, rubber, sugarcane, and tropical fruit crops.</w:t>
      </w:r>
    </w:p>
    <w:p w:rsidR="007754EF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 xml:space="preserve"> 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Associated with the country’s abundant water resources are substantial fisheries in the major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rivers, the 1,900 km of coastline, and the 500,000 ha of mangrove swamps. There is also considerable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potential for aquaculture development in the low-lying river delta areas in the south and center of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the country. Between 1998 and 2009, fisheries production almost tripled, mainly due to aquaculture</w:t>
      </w:r>
    </w:p>
    <w:p w:rsidR="00F20F73" w:rsidRDefault="007754EF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 xml:space="preserve">development. 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 xml:space="preserve"> Another significant component of the agriculture sector is livestock, which includes cattle,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buffalo, swine, and poultry. Most rural households raise livestock, thereby contributing significantly to</w:t>
      </w:r>
    </w:p>
    <w:p w:rsidR="00F20F73" w:rsidRDefault="00F20F73" w:rsidP="00F20F73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household protein (meat, eggs, and milk) and to farm economy through draft power and by-products</w:t>
      </w:r>
    </w:p>
    <w:p w:rsidR="00F20F73" w:rsidRDefault="007754EF" w:rsidP="007754EF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(hides and leather)</w:t>
      </w:r>
      <w:r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 w:rsidR="00F20F73">
        <w:rPr>
          <w:rFonts w:ascii="MinionPro-Regular" w:hAnsi="MinionPro-Regular" w:cs="MinionPro-Regular"/>
          <w:kern w:val="0"/>
          <w:sz w:val="20"/>
          <w:szCs w:val="20"/>
        </w:rPr>
        <w:t>Almost all l</w:t>
      </w:r>
      <w:r>
        <w:rPr>
          <w:rFonts w:ascii="MinionPro-Regular" w:hAnsi="MinionPro-Regular" w:cs="MinionPro-Regular"/>
          <w:kern w:val="0"/>
          <w:sz w:val="20"/>
          <w:szCs w:val="20"/>
        </w:rPr>
        <w:t>ivestock is raised in household</w:t>
      </w:r>
      <w:r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 w:rsidR="00F20F73">
        <w:rPr>
          <w:rFonts w:ascii="MinionPro-Regular" w:hAnsi="MinionPro-Regular" w:cs="MinionPro-Regular"/>
          <w:kern w:val="0"/>
          <w:sz w:val="20"/>
          <w:szCs w:val="20"/>
        </w:rPr>
        <w:t>backyards although there is some commercial production near major cities</w:t>
      </w:r>
      <w:r>
        <w:rPr>
          <w:rFonts w:ascii="MinionPro-Regular" w:hAnsi="MinionPro-Regular" w:cs="MinionPro-Regular"/>
          <w:kern w:val="0"/>
          <w:sz w:val="20"/>
          <w:szCs w:val="20"/>
        </w:rPr>
        <w:t>. Livestock numbers have little</w:t>
      </w:r>
      <w:r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 w:rsidR="00F20F73">
        <w:rPr>
          <w:rFonts w:ascii="MinionPro-Regular" w:hAnsi="MinionPro-Regular" w:cs="MinionPro-Regular"/>
          <w:kern w:val="0"/>
          <w:sz w:val="20"/>
          <w:szCs w:val="20"/>
        </w:rPr>
        <w:t>changed for the past decade, except for the poultry population, which has tripled—</w:t>
      </w:r>
      <w:r>
        <w:rPr>
          <w:rFonts w:ascii="MinionPro-Regular" w:hAnsi="MinionPro-Regular" w:cs="MinionPro-Regular"/>
          <w:kern w:val="0"/>
          <w:sz w:val="20"/>
          <w:szCs w:val="20"/>
        </w:rPr>
        <w:t>possibly due to the</w:t>
      </w:r>
      <w:r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 w:rsidR="00F20F73">
        <w:rPr>
          <w:rFonts w:ascii="MinionPro-Regular" w:hAnsi="MinionPro-Regular" w:cs="MinionPro-Regular"/>
          <w:kern w:val="0"/>
          <w:sz w:val="20"/>
          <w:szCs w:val="20"/>
        </w:rPr>
        <w:t>spread of commercial production techniques in</w:t>
      </w:r>
      <w:r>
        <w:rPr>
          <w:rFonts w:ascii="MinionPro-Regular" w:hAnsi="MinionPro-Regular" w:cs="MinionPro-Regular"/>
          <w:kern w:val="0"/>
          <w:sz w:val="20"/>
          <w:szCs w:val="20"/>
        </w:rPr>
        <w:t xml:space="preserve"> peri-urban areas. The shortage of livestock </w:t>
      </w:r>
      <w:r w:rsidR="00F20F73">
        <w:rPr>
          <w:rFonts w:ascii="MinionPro-Regular" w:hAnsi="MinionPro-Regular" w:cs="MinionPro-Regular"/>
          <w:kern w:val="0"/>
          <w:sz w:val="20"/>
          <w:szCs w:val="20"/>
        </w:rPr>
        <w:t>for draft power is one of the constraints to increased agricultural production in Myanmar</w:t>
      </w:r>
    </w:p>
    <w:p w:rsidR="007754EF" w:rsidRDefault="007754EF" w:rsidP="007754EF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</w:p>
    <w:p w:rsidR="007754EF" w:rsidRDefault="007754EF" w:rsidP="007754EF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</w:p>
    <w:p w:rsidR="007754EF" w:rsidRDefault="007754EF" w:rsidP="007754EF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</w:p>
    <w:p w:rsidR="007754EF" w:rsidRDefault="007754EF" w:rsidP="007754EF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</w:p>
    <w:p w:rsidR="007754EF" w:rsidRDefault="00AD28B4" w:rsidP="007754EF">
      <w:pPr>
        <w:autoSpaceDE w:val="0"/>
        <w:autoSpaceDN w:val="0"/>
        <w:adjustRightInd w:val="0"/>
        <w:jc w:val="left"/>
        <w:rPr>
          <w:rFonts w:ascii="MinionPro-Regular" w:hAnsi="MinionPro-Regular" w:cs="MinionPro-Regular"/>
          <w:kern w:val="0"/>
          <w:sz w:val="20"/>
          <w:szCs w:val="20"/>
        </w:rPr>
      </w:pPr>
      <w:r w:rsidRPr="007754EF">
        <w:rPr>
          <w:rFonts w:ascii="MinionPro-Regular" w:hAnsi="MinionPro-Regular" w:cs="MinionPro-Regular"/>
          <w:noProof/>
          <w:kern w:val="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F932F04" wp14:editId="2C7F920F">
            <wp:simplePos x="0" y="0"/>
            <wp:positionH relativeFrom="column">
              <wp:posOffset>-298450</wp:posOffset>
            </wp:positionH>
            <wp:positionV relativeFrom="paragraph">
              <wp:posOffset>2044700</wp:posOffset>
            </wp:positionV>
            <wp:extent cx="3017520" cy="2711450"/>
            <wp:effectExtent l="0" t="0" r="0" b="0"/>
            <wp:wrapSquare wrapText="bothSides"/>
            <wp:docPr id="2" name="Picture 2" descr="C:\Users\User\Desktop\myanmar_agriculture_map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yanmar_agriculture_map_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54EF">
        <w:rPr>
          <w:rFonts w:ascii="MinionPro-Regular" w:hAnsi="MinionPro-Regular" w:cs="MinionPro-Regular"/>
          <w:noProof/>
          <w:kern w:val="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6421210" wp14:editId="5FBBE513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2470150" cy="1847850"/>
            <wp:effectExtent l="0" t="0" r="6350" b="0"/>
            <wp:wrapSquare wrapText="bothSides"/>
            <wp:docPr id="3" name="Picture 3" descr="C:\User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28B4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58240" behindDoc="0" locked="0" layoutInCell="1" allowOverlap="1" wp14:anchorId="464FEE15" wp14:editId="036D6FDA">
            <wp:simplePos x="0" y="0"/>
            <wp:positionH relativeFrom="column">
              <wp:posOffset>3149600</wp:posOffset>
            </wp:positionH>
            <wp:positionV relativeFrom="paragraph">
              <wp:posOffset>3105150</wp:posOffset>
            </wp:positionV>
            <wp:extent cx="2851150" cy="1600200"/>
            <wp:effectExtent l="0" t="0" r="6350" b="0"/>
            <wp:wrapSquare wrapText="bothSides"/>
            <wp:docPr id="4" name="Picture 4" descr="C:\Users\Us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54EF" w:rsidRPr="007754EF">
        <w:rPr>
          <w:rFonts w:ascii="MinionPro-Regular" w:hAnsi="MinionPro-Regular" w:cs="MinionPro-Regular"/>
          <w:noProof/>
          <w:kern w:val="0"/>
          <w:sz w:val="20"/>
          <w:szCs w:val="20"/>
        </w:rPr>
        <w:drawing>
          <wp:inline distT="0" distB="0" distL="0" distR="0" wp14:anchorId="1868B7F8" wp14:editId="04665A4C">
            <wp:extent cx="2374900" cy="1337658"/>
            <wp:effectExtent l="0" t="0" r="6350" b="0"/>
            <wp:docPr id="1" name="Picture 1" descr="C:\Users\User\Desktop\MYR_Agric2_780x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YR_Agric2_780x4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902" cy="134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4EF" w:rsidRPr="007754E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D28B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7754E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73"/>
    <w:rsid w:val="005F5C5D"/>
    <w:rsid w:val="006851C7"/>
    <w:rsid w:val="007754EF"/>
    <w:rsid w:val="00AD28B4"/>
    <w:rsid w:val="00F2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64E4CA"/>
  <w15:chartTrackingRefBased/>
  <w15:docId w15:val="{6B7C927A-08DD-4FBE-8690-6D7F0BF9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F7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龍彦 真</dc:creator>
  <cp:keywords/>
  <dc:description/>
  <cp:lastModifiedBy>龍彦 真</cp:lastModifiedBy>
  <cp:revision>1</cp:revision>
  <dcterms:created xsi:type="dcterms:W3CDTF">2019-06-22T16:36:00Z</dcterms:created>
  <dcterms:modified xsi:type="dcterms:W3CDTF">2019-06-22T17:11:00Z</dcterms:modified>
</cp:coreProperties>
</file>