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B45" w:rsidRPr="00DE7B45" w:rsidRDefault="00DE7B45" w:rsidP="00DE7B45">
      <w:pPr>
        <w:autoSpaceDE w:val="0"/>
        <w:autoSpaceDN w:val="0"/>
        <w:adjustRightInd w:val="0"/>
        <w:rPr>
          <w:rFonts w:ascii="MinionPro-Regular" w:hAnsi="MinionPro-Regular" w:cs="MinionPro-Regular" w:hint="eastAsia"/>
          <w:kern w:val="0"/>
          <w:sz w:val="28"/>
          <w:szCs w:val="28"/>
        </w:rPr>
      </w:pPr>
      <w:r w:rsidRPr="00DE7B45">
        <w:rPr>
          <w:rFonts w:ascii="MinionPro-Regular" w:hAnsi="MinionPro-Regular" w:cs="MinionPro-Regular" w:hint="eastAsia"/>
          <w:kern w:val="0"/>
          <w:sz w:val="28"/>
          <w:szCs w:val="28"/>
        </w:rPr>
        <w:t>Water resources in Myanmar</w:t>
      </w:r>
    </w:p>
    <w:p w:rsidR="00DE7B45" w:rsidRDefault="00DE7B45" w:rsidP="00DE7B45">
      <w:pPr>
        <w:autoSpaceDE w:val="0"/>
        <w:autoSpaceDN w:val="0"/>
        <w:adjustRightInd w:val="0"/>
        <w:rPr>
          <w:rFonts w:ascii="MinionPro-Regular" w:hAnsi="MinionPro-Regular" w:cs="MinionPro-Regular"/>
          <w:kern w:val="0"/>
          <w:sz w:val="20"/>
          <w:szCs w:val="20"/>
        </w:rPr>
      </w:pPr>
    </w:p>
    <w:p w:rsidR="0063282A" w:rsidRPr="00DE7B45" w:rsidRDefault="0063282A" w:rsidP="00DE7B45">
      <w:pPr>
        <w:autoSpaceDE w:val="0"/>
        <w:autoSpaceDN w:val="0"/>
        <w:adjustRightInd w:val="0"/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In addition to extensive land and forest resources, the countr</w:t>
      </w:r>
      <w:r w:rsidR="00DE7B45">
        <w:rPr>
          <w:rFonts w:ascii="MinionPro-Regular" w:hAnsi="MinionPro-Regular" w:cs="MinionPro-Regular"/>
          <w:kern w:val="0"/>
          <w:sz w:val="20"/>
          <w:szCs w:val="20"/>
        </w:rPr>
        <w:t xml:space="preserve">y has abundant water resources. </w:t>
      </w:r>
      <w:r w:rsidR="00DE7B45"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F</w:t>
      </w:r>
      <w:r w:rsidR="00DE7B45"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our main river systems</w:t>
      </w:r>
      <w:r w:rsidR="00DE7B45">
        <w:rPr>
          <w:rFonts w:ascii="HelveticaNeueLTStd-LtCn" w:hAnsi="HelveticaNeueLTStd-LtCn" w:cs="HelveticaNeueLTStd-LtCn" w:hint="eastAsia"/>
          <w:color w:val="000000"/>
          <w:kern w:val="0"/>
          <w:sz w:val="18"/>
          <w:szCs w:val="18"/>
        </w:rPr>
        <w:t xml:space="preserve"> </w:t>
      </w:r>
      <w:r w:rsidR="00DE7B45"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namel</w:t>
      </w:r>
      <w:r w:rsidR="00DE7B45"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y the Ayeyarwady, the Chindwin,</w:t>
      </w:r>
      <w:r w:rsidR="00DE7B45">
        <w:rPr>
          <w:rFonts w:ascii="HelveticaNeueLTStd-LtCn" w:hAnsi="HelveticaNeueLTStd-LtCn" w:cs="HelveticaNeueLTStd-LtCn" w:hint="eastAsia"/>
          <w:color w:val="000000"/>
          <w:kern w:val="0"/>
          <w:sz w:val="18"/>
          <w:szCs w:val="18"/>
        </w:rPr>
        <w:t xml:space="preserve"> </w:t>
      </w:r>
      <w:r w:rsidR="00DE7B45"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 xml:space="preserve">the Sittaung, and the Thanlwin </w:t>
      </w:r>
      <w:r w:rsidR="00DE7B45">
        <w:rPr>
          <w:rFonts w:ascii="MinionPro-Regular" w:hAnsi="MinionPro-Regular" w:cs="MinionPro-Regular"/>
          <w:kern w:val="0"/>
          <w:sz w:val="20"/>
          <w:szCs w:val="20"/>
        </w:rPr>
        <w:t>,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 flow through the country, providing the basis for incr</w:t>
      </w:r>
      <w:r w:rsidR="00DE7B45">
        <w:rPr>
          <w:rFonts w:ascii="MinionPro-Regular" w:hAnsi="MinionPro-Regular" w:cs="MinionPro-Regular"/>
          <w:kern w:val="0"/>
          <w:sz w:val="20"/>
          <w:szCs w:val="20"/>
        </w:rPr>
        <w:t>eased irrigation and hydropower</w:t>
      </w:r>
      <w:r w:rsidR="00DE7B45"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generation.</w:t>
      </w:r>
      <w:r>
        <w:rPr>
          <w:rFonts w:ascii="MinionPro-Regular" w:hAnsi="MinionPro-Regular" w:cs="MinionPro-Regular"/>
          <w:kern w:val="0"/>
          <w:sz w:val="12"/>
          <w:szCs w:val="12"/>
        </w:rPr>
        <w:t xml:space="preserve">10 </w:t>
      </w:r>
      <w:r>
        <w:rPr>
          <w:rFonts w:ascii="MinionPro-Regular" w:hAnsi="MinionPro-Regular" w:cs="MinionPro-Regular"/>
          <w:kern w:val="0"/>
          <w:sz w:val="20"/>
          <w:szCs w:val="20"/>
        </w:rPr>
        <w:t>Myanmar’s water resources are greatly underutilized:</w:t>
      </w:r>
      <w:r w:rsidR="00DE7B45">
        <w:rPr>
          <w:rFonts w:ascii="MinionPro-Regular" w:hAnsi="MinionPro-Regular" w:cs="MinionPro-Regular"/>
          <w:kern w:val="0"/>
          <w:sz w:val="20"/>
          <w:szCs w:val="20"/>
        </w:rPr>
        <w:t xml:space="preserve"> less than 20% of croplands are</w:t>
      </w:r>
      <w:r w:rsidR="00DE7B45"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irrigated, and the hydropower potential has barely been tapped. Water availabili</w:t>
      </w:r>
      <w:r w:rsidR="00DE7B45">
        <w:rPr>
          <w:rFonts w:ascii="MinionPro-Regular" w:hAnsi="MinionPro-Regular" w:cs="MinionPro-Regular"/>
          <w:kern w:val="0"/>
          <w:sz w:val="20"/>
          <w:szCs w:val="20"/>
        </w:rPr>
        <w:t>ty, however, is highly</w:t>
      </w:r>
      <w:r w:rsidR="00DE7B45"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 xml:space="preserve">seasonal—80% of rainfall occurs during the monsoon—and significant </w:t>
      </w:r>
      <w:r w:rsidR="00DE7B45">
        <w:rPr>
          <w:rFonts w:ascii="MinionPro-Regular" w:hAnsi="MinionPro-Regular" w:cs="MinionPro-Regular"/>
          <w:kern w:val="0"/>
          <w:sz w:val="20"/>
          <w:szCs w:val="20"/>
        </w:rPr>
        <w:t>parts of the country experience</w:t>
      </w:r>
      <w:r w:rsidR="00DE7B45"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serious</w:t>
      </w:r>
      <w:r w:rsidR="00DE7B45">
        <w:rPr>
          <w:rFonts w:ascii="MinionPro-Regular" w:hAnsi="MinionPro-Regular" w:cs="MinionPro-Regular"/>
          <w:kern w:val="0"/>
          <w:sz w:val="20"/>
          <w:szCs w:val="20"/>
        </w:rPr>
        <w:t xml:space="preserve"> drought during the dry season.</w:t>
      </w:r>
      <w:r w:rsidR="00DE7B45">
        <w:rPr>
          <w:rFonts w:ascii="MinionPro-Regular" w:hAns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Myanmar’s water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resources meet its household</w:t>
      </w:r>
      <w:r w:rsidR="00DE7B45">
        <w:rPr>
          <w:rFonts w:ascii="MinionPro-Regular" w:hAnsi="MinionPro-Regular" w:cs="MinionPro-Regular" w:hint="eastAsia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needs, crop production and aquaculture requirements,</w:t>
      </w:r>
      <w:r w:rsidR="00DE7B45">
        <w:rPr>
          <w:rFonts w:ascii="HelveticaNeueLTStd-LtCn" w:hAnsi="HelveticaNeueLTStd-LtCn" w:cs="HelveticaNeueLTStd-LtCn" w:hint="eastAsia"/>
          <w:color w:val="000000"/>
          <w:kern w:val="0"/>
          <w:sz w:val="18"/>
          <w:szCs w:val="18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industry needs, and hydropower generation. 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With an annual 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>average rainfall of about 2,300millimeters (mm) and the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major rivers, Myanmar has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abund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ant water resources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. The country also has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ample gro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>undwater resources.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When reviewed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more closely, however, the situation is somewhat more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complex, both from a seasonal and geographic point of view. About 80% of rainfall occurs during the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5- to 6-month monsoon season (from mid-May to October). For the remaining 6–7 months of the year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when droughts are common, rice cannot be grown without irrigation. Drinking water shortages occur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in many parts of the country. During the dry season, the country’s water resources are not nearly as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abundant as might initially be assumed. Further, there is potential for conflicts among water users.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Rainfall amounts vary considerably from one region to another—from highs of 4,000–6,000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mm annually along the coastal reaches and in the mountains of Rakhine and Tanintharyi, to as low as</w:t>
      </w:r>
    </w:p>
    <w:p w:rsidR="0063282A" w:rsidRDefault="0063282A" w:rsidP="00DE7B45">
      <w:pPr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500–1,000 mm in the Central Dry Zone.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In contrast, excessive rainfall in other regions of Myanmar, notably in the Delta Region,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often results in flooding, the loss of standing crops, and the displacement of significant portions of the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population. Therefore, while Myanmar undoubtedly benefits from its water resources, these resources are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neither unlimited nor always beneficial. Serious drought conditions may occur in some regions and, at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other times, excessive rainfall and flooding damage the production base and community livelihoods.</w:t>
      </w:r>
    </w:p>
    <w:p w:rsidR="0063282A" w:rsidRDefault="0063282A" w:rsidP="00DE7B45">
      <w:pPr>
        <w:autoSpaceDE w:val="0"/>
        <w:autoSpaceDN w:val="0"/>
        <w:adjustRightInd w:val="0"/>
        <w:ind w:firstLineChars="50" w:firstLine="100"/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Only a small portion (3%–10%)</w:t>
      </w:r>
      <w:r>
        <w:rPr>
          <w:rFonts w:ascii="MinionPro-Regular" w:hAnsi="MinionPro-Regular" w:cs="MinionPro-Regular"/>
          <w:color w:val="000000"/>
          <w:kern w:val="0"/>
          <w:sz w:val="12"/>
          <w:szCs w:val="12"/>
        </w:rPr>
        <w:t xml:space="preserve">25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of the country’s water resources is used. Agriculture</w:t>
      </w:r>
    </w:p>
    <w:p w:rsidR="0063282A" w:rsidRPr="00DE7B45" w:rsidRDefault="0063282A" w:rsidP="00DE7B45">
      <w:pPr>
        <w:rPr>
          <w:rFonts w:ascii="MinionPro-Regular" w:hAnsi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accounts for about 90% of total water use</w:t>
      </w:r>
      <w:r w:rsidR="00DE7B45">
        <w:rPr>
          <w:rFonts w:ascii="MinionPro-Regular" w:hAnsi="MinionPro-Regular" w:cs="MinionPro-Regular" w:hint="eastAsia"/>
          <w:color w:val="000000"/>
          <w:kern w:val="0"/>
          <w:sz w:val="20"/>
          <w:szCs w:val="20"/>
        </w:rPr>
        <w:t xml:space="preserve"> </w:t>
      </w:r>
      <w:r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Due to favorable climatic condition,</w:t>
      </w:r>
    </w:p>
    <w:p w:rsidR="0063282A" w:rsidRDefault="0063282A" w:rsidP="00DE7B45">
      <w:pPr>
        <w:autoSpaceDE w:val="0"/>
        <w:autoSpaceDN w:val="0"/>
        <w:adjustRightInd w:val="0"/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</w:pPr>
      <w:r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the total surface water potential of</w:t>
      </w:r>
      <w:r w:rsidR="00DE7B45"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 xml:space="preserve"> </w:t>
      </w:r>
      <w:r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Myanmar is about 1,000 km</w:t>
      </w:r>
      <w:r>
        <w:rPr>
          <w:rFonts w:ascii="HelveticaNeueLTStd-LtCn" w:hAnsi="HelveticaNeueLTStd-LtCn" w:cs="HelveticaNeueLTStd-LtCn"/>
          <w:color w:val="000000"/>
          <w:kern w:val="0"/>
          <w:sz w:val="10"/>
          <w:szCs w:val="10"/>
        </w:rPr>
        <w:t xml:space="preserve">3 </w:t>
      </w:r>
      <w:r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per year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>from 10 major river basins.</w:t>
      </w:r>
      <w:r w:rsidR="00DE7B45">
        <w:rPr>
          <w:rFonts w:ascii="HelveticaNeueLTStd-LtCn" w:hAnsi="HelveticaNeueLTStd-LtCn" w:cs="HelveticaNeueLTStd-LtCn"/>
          <w:color w:val="000000"/>
          <w:kern w:val="0"/>
          <w:sz w:val="18"/>
          <w:szCs w:val="18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Most water is surface water, with</w:t>
      </w:r>
      <w:r w:rsidR="00DE7B45">
        <w:rPr>
          <w:rFonts w:ascii="MinionPro-Regular" w:hAnsi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  <w:kern w:val="0"/>
          <w:sz w:val="20"/>
          <w:szCs w:val="20"/>
        </w:rPr>
        <w:t>groundwater use amounting to only 9% of the total (despite its potential for dry season irrigation).</w:t>
      </w:r>
      <w:r w:rsidRPr="00DB4672">
        <w:rPr>
          <w:rFonts w:ascii="MinionPro-Regular" w:hAnsi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kern w:val="0"/>
          <w:sz w:val="20"/>
          <w:szCs w:val="20"/>
        </w:rPr>
        <w:t>Irrigation facilities cover close to 2.3 million ha, or about 19% of the country’s cultivated area.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However, only some 900,000 ha are irrigated during the dry season, with the balance of coverage serving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to provide supplementary irrigation during the monsoon season. The largest irrigated area is served by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pumps (mainly farmer operated), which covers 38% of the total irrigated area. The second-largest area is</w:t>
      </w:r>
    </w:p>
    <w:p w:rsidR="0063282A" w:rsidRDefault="0063282A" w:rsidP="00DE7B45">
      <w:pPr>
        <w:autoSpaceDE w:val="0"/>
        <w:autoSpaceDN w:val="0"/>
        <w:adjustRightInd w:val="0"/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surface irrigation from dams and weirs (57% managed by the government and 43% by farmers), which</w:t>
      </w:r>
    </w:p>
    <w:p w:rsidR="0063282A" w:rsidRDefault="0063282A" w:rsidP="00DE7B45">
      <w:pPr>
        <w:rPr>
          <w:rFonts w:ascii="MinionPro-Regular" w:hAnsi="MinionPro-Regular" w:cs="MinionPro-Regular"/>
          <w:kern w:val="0"/>
          <w:sz w:val="20"/>
          <w:szCs w:val="20"/>
        </w:rPr>
      </w:pPr>
      <w:r>
        <w:rPr>
          <w:rFonts w:ascii="MinionPro-Regular" w:hAnsi="MinionPro-Regular" w:cs="MinionPro-Regular"/>
          <w:kern w:val="0"/>
          <w:sz w:val="20"/>
          <w:szCs w:val="20"/>
        </w:rPr>
        <w:t>covers 29% of the total irrigated area.</w:t>
      </w:r>
    </w:p>
    <w:p w:rsidR="00DE7B45" w:rsidRDefault="00DE7B45" w:rsidP="00DE7B45">
      <w:pPr>
        <w:rPr>
          <w:rFonts w:ascii="MinionPro-Regular" w:hAnsi="MinionPro-Regular" w:cs="MinionPro-Regular"/>
          <w:kern w:val="0"/>
          <w:sz w:val="20"/>
          <w:szCs w:val="20"/>
        </w:rPr>
      </w:pPr>
    </w:p>
    <w:p w:rsidR="00DE7B45" w:rsidRDefault="00DE7B45" w:rsidP="00DE7B45">
      <w:pPr>
        <w:rPr>
          <w:rFonts w:ascii="MinionPro-Regular" w:hAnsi="MinionPro-Regular" w:cs="MinionPro-Regular"/>
          <w:kern w:val="0"/>
          <w:sz w:val="20"/>
          <w:szCs w:val="20"/>
        </w:rPr>
      </w:pPr>
    </w:p>
    <w:p w:rsidR="00DE7B45" w:rsidRDefault="00DE7B45" w:rsidP="00DE7B45">
      <w:pPr>
        <w:rPr>
          <w:rFonts w:ascii="MinionPro-Regular" w:hAnsi="MinionPro-Regular" w:cs="MinionPro-Regular"/>
          <w:kern w:val="0"/>
          <w:sz w:val="20"/>
          <w:szCs w:val="20"/>
        </w:rPr>
      </w:pPr>
    </w:p>
    <w:p w:rsidR="00DE7B45" w:rsidRDefault="00DE7B45" w:rsidP="00DE7B45">
      <w:pPr>
        <w:rPr>
          <w:rFonts w:ascii="MinionPro-Regular" w:hAnsi="MinionPro-Regular" w:cs="MinionPro-Regular"/>
          <w:kern w:val="0"/>
          <w:sz w:val="20"/>
          <w:szCs w:val="20"/>
        </w:rPr>
      </w:pPr>
    </w:p>
    <w:p w:rsidR="00DE7B45" w:rsidRDefault="00DE7B45" w:rsidP="00DE7B45">
      <w:pPr>
        <w:rPr>
          <w:rFonts w:ascii="MinionPro-Regular" w:hAnsi="MinionPro-Regular" w:cs="MinionPro-Regular"/>
          <w:kern w:val="0"/>
          <w:sz w:val="20"/>
          <w:szCs w:val="20"/>
        </w:rPr>
      </w:pPr>
      <w:r w:rsidRPr="00DE7B4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BBC6F1" wp14:editId="33CC1233">
            <wp:simplePos x="0" y="0"/>
            <wp:positionH relativeFrom="column">
              <wp:posOffset>2527300</wp:posOffset>
            </wp:positionH>
            <wp:positionV relativeFrom="paragraph">
              <wp:posOffset>203200</wp:posOffset>
            </wp:positionV>
            <wp:extent cx="2857500" cy="1600200"/>
            <wp:effectExtent l="0" t="0" r="0" b="0"/>
            <wp:wrapSquare wrapText="bothSides"/>
            <wp:docPr id="4" name="Picture 4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7B45" w:rsidRPr="0063282A" w:rsidRDefault="00DE7B45" w:rsidP="00DE7B45">
      <w:bookmarkStart w:id="0" w:name="_GoBack"/>
      <w:bookmarkEnd w:id="0"/>
      <w:r w:rsidRPr="00DE7B4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2216150</wp:posOffset>
            </wp:positionV>
            <wp:extent cx="2705100" cy="1689100"/>
            <wp:effectExtent l="0" t="0" r="0" b="6350"/>
            <wp:wrapSquare wrapText="bothSides"/>
            <wp:docPr id="3" name="Picture 3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7B4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906270" cy="3308350"/>
            <wp:effectExtent l="0" t="0" r="0" b="6350"/>
            <wp:wrapSquare wrapText="bothSides"/>
            <wp:docPr id="1" name="Picture 1" descr="C:\Users\User\Desktop\irrawad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rrawadd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7B45" w:rsidRPr="0063282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Std-Lt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A"/>
    <w:rsid w:val="005F5C5D"/>
    <w:rsid w:val="0063282A"/>
    <w:rsid w:val="006851C7"/>
    <w:rsid w:val="00D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816EE2"/>
  <w15:chartTrackingRefBased/>
  <w15:docId w15:val="{3874D43F-5EE0-4AC6-8037-02FD72E4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龍彦 真</dc:creator>
  <cp:keywords/>
  <dc:description/>
  <cp:lastModifiedBy>龍彦 真</cp:lastModifiedBy>
  <cp:revision>1</cp:revision>
  <dcterms:created xsi:type="dcterms:W3CDTF">2019-06-22T16:37:00Z</dcterms:created>
  <dcterms:modified xsi:type="dcterms:W3CDTF">2019-06-22T17:17:00Z</dcterms:modified>
</cp:coreProperties>
</file>