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SKYJET LOGISTICS LTD.</w:t>
      </w:r>
    </w:p>
    <w:p>
      <w:pPr>
        <w:spacing w:after="800" w:before="200"/>
        <w:jc w:val="center"/>
      </w:pPr>
      <w:r>
        <w:rPr>
          <w:color w:val="595959"/>
          <w:sz w:val="32"/>
          <w:szCs w:val="32"/>
        </w:rPr>
        <w:t xml:space="preserve">Benefits Guide</w:t>
      </w:r>
    </w:p>
    <w:p/>
    <w:p>
      <w:pPr>
        <w:spacing w:before="16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Document ID</w:t>
            </w:r>
          </w:p>
        </w:tc>
        <w:tc>
          <w:tcPr>
            <w:tcW w:type="dxa" w:w="7238"/>
            <w:tcMar>
              <w:top w:type="dxa" w:w="80"/>
              <w:left w:type="dxa" w:w="100"/>
              <w:bottom w:type="dxa" w:w="80"/>
              <w:right w:type="dxa" w:w="100"/>
            </w:tcMar>
            <w:vAlign w:val="center"/>
          </w:tcPr>
          <w:p>
            <w:r>
              <w:rPr>
                <w:sz w:val="19"/>
                <w:szCs w:val="19"/>
              </w:rPr>
              <w:t xml:space="preserve">SJL-HR-003</w:t>
            </w:r>
          </w:p>
        </w:tc>
      </w:tr>
      <w:tr>
        <w:tc>
          <w:tcPr>
            <w:tcW w:type="dxa" w:w="2400"/>
            <w:shd w:fill="F2F2F2" w:val="clear"/>
            <w:tcMar>
              <w:top w:type="dxa" w:w="80"/>
              <w:left w:type="dxa" w:w="100"/>
              <w:bottom w:type="dxa" w:w="80"/>
              <w:right w:type="dxa" w:w="100"/>
            </w:tcMar>
            <w:vAlign w:val="center"/>
          </w:tcPr>
          <w:p>
            <w:r>
              <w:rPr>
                <w:b/>
                <w:bCs/>
                <w:sz w:val="19"/>
                <w:szCs w:val="19"/>
              </w:rPr>
              <w:t xml:space="preserve">Version</w:t>
            </w:r>
          </w:p>
        </w:tc>
        <w:tc>
          <w:tcPr>
            <w:tcW w:type="dxa" w:w="7238"/>
            <w:tcMar>
              <w:top w:type="dxa" w:w="80"/>
              <w:left w:type="dxa" w:w="100"/>
              <w:bottom w:type="dxa" w:w="80"/>
              <w:right w:type="dxa" w:w="100"/>
            </w:tcMar>
            <w:vAlign w:val="center"/>
          </w:tcPr>
          <w:p>
            <w:r>
              <w:rPr>
                <w:sz w:val="19"/>
                <w:szCs w:val="19"/>
              </w:rPr>
              <w:t xml:space="preserve">1.0</w:t>
            </w:r>
          </w:p>
        </w:tc>
      </w:tr>
      <w:tr>
        <w:tc>
          <w:tcPr>
            <w:tcW w:type="dxa" w:w="2400"/>
            <w:shd w:fill="F2F2F2" w:val="clear"/>
            <w:tcMar>
              <w:top w:type="dxa" w:w="80"/>
              <w:left w:type="dxa" w:w="100"/>
              <w:bottom w:type="dxa" w:w="80"/>
              <w:right w:type="dxa" w:w="100"/>
            </w:tcMar>
            <w:vAlign w:val="center"/>
          </w:tcPr>
          <w:p>
            <w:r>
              <w:rPr>
                <w:b/>
                <w:bCs/>
                <w:sz w:val="19"/>
                <w:szCs w:val="19"/>
              </w:rPr>
              <w:t xml:space="preserve">Revision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Department</w:t>
            </w:r>
          </w:p>
        </w:tc>
        <w:tc>
          <w:tcPr>
            <w:tcW w:type="dxa" w:w="7238"/>
            <w:tcMar>
              <w:top w:type="dxa" w:w="80"/>
              <w:left w:type="dxa" w:w="100"/>
              <w:bottom w:type="dxa" w:w="80"/>
              <w:right w:type="dxa" w:w="100"/>
            </w:tcMar>
            <w:vAlign w:val="center"/>
          </w:tcPr>
          <w:p>
            <w:r>
              <w:rPr>
                <w:sz w:val="19"/>
                <w:szCs w:val="19"/>
              </w:rPr>
              <w:t xml:space="preserve">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Owner</w:t>
            </w:r>
          </w:p>
        </w:tc>
        <w:tc>
          <w:tcPr>
            <w:tcW w:type="dxa" w:w="7238"/>
            <w:tcMar>
              <w:top w:type="dxa" w:w="80"/>
              <w:left w:type="dxa" w:w="100"/>
              <w:bottom w:type="dxa" w:w="80"/>
              <w:right w:type="dxa" w:w="100"/>
            </w:tcMar>
            <w:vAlign w:val="center"/>
          </w:tcPr>
          <w:p>
            <w:r>
              <w:rPr>
                <w:sz w:val="19"/>
                <w:szCs w:val="19"/>
              </w:rPr>
              <w:t xml:space="preserve">Director of 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Approver</w:t>
            </w:r>
          </w:p>
        </w:tc>
        <w:tc>
          <w:tcPr>
            <w:tcW w:type="dxa" w:w="7238"/>
            <w:tcMar>
              <w:top w:type="dxa" w:w="80"/>
              <w:left w:type="dxa" w:w="100"/>
              <w:bottom w:type="dxa" w:w="80"/>
              <w:right w:type="dxa" w:w="100"/>
            </w:tcMar>
            <w:vAlign w:val="center"/>
          </w:tcPr>
          <w:p>
            <w:r>
              <w:rPr>
                <w:sz w:val="19"/>
                <w:szCs w:val="19"/>
              </w:rPr>
              <w:t xml:space="preserve">Chief Financial Officer</w:t>
            </w:r>
          </w:p>
        </w:tc>
      </w:tr>
      <w:tr>
        <w:tc>
          <w:tcPr>
            <w:tcW w:type="dxa" w:w="2400"/>
            <w:shd w:fill="F2F2F2" w:val="clear"/>
            <w:tcMar>
              <w:top w:type="dxa" w:w="80"/>
              <w:left w:type="dxa" w:w="100"/>
              <w:bottom w:type="dxa" w:w="80"/>
              <w:right w:type="dxa" w:w="100"/>
            </w:tcMar>
            <w:vAlign w:val="center"/>
          </w:tcPr>
          <w:p>
            <w:r>
              <w:rPr>
                <w:b/>
                <w:bCs/>
                <w:sz w:val="19"/>
                <w:szCs w:val="19"/>
              </w:rPr>
              <w:t xml:space="preserve">Classification</w:t>
            </w:r>
          </w:p>
        </w:tc>
        <w:tc>
          <w:tcPr>
            <w:tcW w:type="dxa" w:w="7238"/>
            <w:tcMar>
              <w:top w:type="dxa" w:w="80"/>
              <w:left w:type="dxa" w:w="100"/>
              <w:bottom w:type="dxa" w:w="80"/>
              <w:right w:type="dxa" w:w="100"/>
            </w:tcMar>
            <w:vAlign w:val="center"/>
          </w:tcPr>
          <w:p>
            <w:r>
              <w:rPr>
                <w:sz w:val="19"/>
                <w:szCs w:val="19"/>
              </w:rPr>
              <w:t xml:space="preserve">Internal Use Only</w:t>
            </w:r>
          </w:p>
        </w:tc>
      </w:tr>
      <w:tr>
        <w:tc>
          <w:tcPr>
            <w:tcW w:type="dxa" w:w="2400"/>
            <w:shd w:fill="F2F2F2" w:val="clear"/>
            <w:tcMar>
              <w:top w:type="dxa" w:w="80"/>
              <w:left w:type="dxa" w:w="100"/>
              <w:bottom w:type="dxa" w:w="80"/>
              <w:right w:type="dxa" w:w="100"/>
            </w:tcMar>
            <w:vAlign w:val="center"/>
          </w:tcPr>
          <w:p>
            <w:r>
              <w:rPr>
                <w:b/>
                <w:bCs/>
                <w:sz w:val="19"/>
                <w:szCs w:val="19"/>
              </w:rPr>
              <w:t xml:space="preserve">Review Cycle</w:t>
            </w:r>
          </w:p>
        </w:tc>
        <w:tc>
          <w:tcPr>
            <w:tcW w:type="dxa" w:w="7238"/>
            <w:tcMar>
              <w:top w:type="dxa" w:w="80"/>
              <w:left w:type="dxa" w:w="100"/>
              <w:bottom w:type="dxa" w:w="80"/>
              <w:right w:type="dxa" w:w="100"/>
            </w:tcMar>
            <w:vAlign w:val="center"/>
          </w:tcPr>
          <w:p>
            <w:r>
              <w:rPr>
                <w:sz w:val="19"/>
                <w:szCs w:val="19"/>
              </w:rPr>
              <w:t xml:space="preserve">Annual</w:t>
            </w:r>
          </w:p>
        </w:tc>
      </w:tr>
    </w:tbl>
    <w:p>
      <w:r>
        <w:br w:type="page"/>
      </w:r>
    </w:p>
    <w:p>
      <w:pPr>
        <w:pStyle w:val="Heading1"/>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38"/>
      </w:tblGrid>
      <w:tr>
        <w:trPr>
          <w:tblHeader/>
        </w:trPr>
        <w:tc>
          <w:tcPr>
            <w:tcW w:type="dxa" w:w="1400"/>
            <w:shd w:fill="1F3864" w:val="clear"/>
            <w:tcMar>
              <w:top w:type="dxa" w:w="60"/>
              <w:left w:type="dxa" w:w="100"/>
              <w:bottom w:type="dxa" w:w="60"/>
              <w:right w:type="dxa" w:w="100"/>
            </w:tcMar>
            <w:vAlign w:val="center"/>
          </w:tcPr>
          <w:p>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r>
              <w:rPr>
                <w:b/>
                <w:bCs/>
                <w:color w:val="FFFFFF"/>
                <w:sz w:val="19"/>
                <w:szCs w:val="19"/>
              </w:rPr>
              <w:t xml:space="preserve">Author</w:t>
            </w:r>
          </w:p>
        </w:tc>
        <w:tc>
          <w:tcPr>
            <w:tcW w:type="dxa" w:w="3238"/>
            <w:shd w:fill="1F3864" w:val="clear"/>
            <w:tcMar>
              <w:top w:type="dxa" w:w="60"/>
              <w:left w:type="dxa" w:w="100"/>
              <w:bottom w:type="dxa" w:w="60"/>
              <w:right w:type="dxa" w:w="100"/>
            </w:tcMar>
            <w:vAlign w:val="center"/>
          </w:tcPr>
          <w:p>
            <w:r>
              <w:rPr>
                <w:b/>
                <w:bCs/>
                <w:color w:val="FFFFFF"/>
                <w:sz w:val="19"/>
                <w:szCs w:val="19"/>
              </w:rPr>
              <w:t xml:space="preserve">Summary of Changes</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0.1</w:t>
            </w:r>
          </w:p>
        </w:tc>
        <w:tc>
          <w:tcPr>
            <w:tcW w:type="dxa" w:w="1800"/>
            <w:tcMar>
              <w:top w:type="dxa" w:w="60"/>
              <w:left w:type="dxa" w:w="100"/>
              <w:bottom w:type="dxa" w:w="60"/>
              <w:right w:type="dxa" w:w="100"/>
            </w:tcMar>
            <w:vAlign w:val="center"/>
          </w:tcPr>
          <w:p>
            <w:r>
              <w:rPr>
                <w:b w:val="false"/>
                <w:bCs w:val="false"/>
                <w:color w:val="000000"/>
                <w:sz w:val="19"/>
                <w:szCs w:val="19"/>
              </w:rPr>
              <w:t xml:space="preserve">01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T. Haddad, HR Coordinator</w:t>
            </w:r>
          </w:p>
        </w:tc>
        <w:tc>
          <w:tcPr>
            <w:tcW w:type="dxa" w:w="3238"/>
            <w:tcMar>
              <w:top w:type="dxa" w:w="60"/>
              <w:left w:type="dxa" w:w="100"/>
              <w:bottom w:type="dxa" w:w="60"/>
              <w:right w:type="dxa" w:w="100"/>
            </w:tcMar>
            <w:vAlign w:val="center"/>
          </w:tcPr>
          <w:p>
            <w:r>
              <w:rPr>
                <w:b w:val="false"/>
                <w:bCs w:val="false"/>
                <w:color w:val="000000"/>
                <w:sz w:val="19"/>
                <w:szCs w:val="19"/>
              </w:rPr>
              <w:t xml:space="preserve">Initial draft</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0.7</w:t>
            </w:r>
          </w:p>
        </w:tc>
        <w:tc>
          <w:tcPr>
            <w:tcW w:type="dxa" w:w="1800"/>
            <w:tcMar>
              <w:top w:type="dxa" w:w="60"/>
              <w:left w:type="dxa" w:w="100"/>
              <w:bottom w:type="dxa" w:w="60"/>
              <w:right w:type="dxa" w:w="100"/>
            </w:tcMar>
            <w:vAlign w:val="center"/>
          </w:tcPr>
          <w:p>
            <w:r>
              <w:rPr>
                <w:b w:val="false"/>
                <w:bCs w:val="false"/>
                <w:color w:val="000000"/>
                <w:sz w:val="19"/>
                <w:szCs w:val="19"/>
              </w:rPr>
              <w:t xml:space="preserve">20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Added coverage tier tables and bonus matrix</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color w:val="000000"/>
                <w:sz w:val="19"/>
                <w:szCs w:val="19"/>
              </w:rPr>
              <w:t xml:space="preserve">06 July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Approved for distribution</w:t>
            </w:r>
          </w:p>
        </w:tc>
      </w:tr>
    </w:tbl>
    <w:p>
      <w:r>
        <w:br w:type="page"/>
      </w:r>
    </w:p>
    <w:p>
      <w:pPr>
        <w:pStyle w:val="Heading1"/>
        <w:spacing w:after="160" w:before="360"/>
      </w:pPr>
      <w:r>
        <w:rPr>
          <w:b/>
          <w:bCs/>
          <w:color w:val="1F3864"/>
          <w:sz w:val="30"/>
          <w:szCs w:val="30"/>
        </w:rPr>
        <w:t xml:space="preserve">1. Purpose and Scope</w:t>
      </w:r>
    </w:p>
    <w:p>
      <w:pPr>
        <w:spacing w:after="160" w:line="276"/>
      </w:pPr>
      <w:r>
        <w:rPr>
          <w:sz w:val="21"/>
          <w:szCs w:val="21"/>
        </w:rPr>
        <w:t xml:space="preserve">This Benefits Guide describes the full range of benefits available to SkyJet Logistics Ltd. employees, including eligibility criteria, enrollment procedures, and coverage details. It applies to all full-time permanent and fixed-term employees; part-time and temporary staff eligibility is noted separately within each section.</w:t>
      </w:r>
    </w:p>
    <w:p>
      <w:pPr>
        <w:spacing w:after="160" w:line="276"/>
      </w:pPr>
      <w:r>
        <w:rPr>
          <w:sz w:val="21"/>
          <w:szCs w:val="21"/>
        </w:rPr>
        <w:t xml:space="preserve">This guide should be read alongside the Employee Handbook (Document ID SJL-HR-001) and the Payroll Policy (Document ID SJL-FIN-004), which governs how benefit-related deductions and contributions appear on payslips.</w:t>
      </w:r>
    </w:p>
    <w:p>
      <w:pPr>
        <w:pStyle w:val="Heading1"/>
        <w:spacing w:after="160" w:before="360"/>
      </w:pPr>
      <w:r>
        <w:rPr>
          <w:b/>
          <w:bCs/>
          <w:color w:val="1F3864"/>
          <w:sz w:val="30"/>
          <w:szCs w:val="30"/>
        </w:rPr>
        <w:t xml:space="preserve">2. Medical Insurance</w:t>
      </w:r>
    </w:p>
    <w:p>
      <w:pPr>
        <w:pStyle w:val="Heading2"/>
        <w:spacing w:after="120" w:before="260"/>
      </w:pPr>
      <w:r>
        <w:rPr>
          <w:b/>
          <w:bCs/>
          <w:color w:val="1F3864"/>
          <w:sz w:val="24"/>
          <w:szCs w:val="24"/>
        </w:rPr>
        <w:t xml:space="preserve">2.1 Eligibility</w:t>
      </w:r>
    </w:p>
    <w:p>
      <w:pPr>
        <w:spacing w:after="160" w:line="276"/>
      </w:pPr>
      <w:r>
        <w:rPr>
          <w:sz w:val="21"/>
          <w:szCs w:val="21"/>
        </w:rPr>
        <w:t xml:space="preserve">Full-time permanent and fixed-term employees become eligible for medical insurance coverage upon successful completion of the probation period described in the Recruitment Manual (Document ID SJL-HR-004), typically 90 days from the start date. Part-time employees working 20 or more hours per week are eligible for a reduced coverage tier.</w:t>
      </w:r>
    </w:p>
    <w:p>
      <w:pPr>
        <w:pStyle w:val="Heading2"/>
        <w:spacing w:after="120" w:before="260"/>
      </w:pPr>
      <w:r>
        <w:rPr>
          <w:b/>
          <w:bCs/>
          <w:color w:val="1F3864"/>
          <w:sz w:val="24"/>
          <w:szCs w:val="24"/>
        </w:rPr>
        <w:t xml:space="preserve">2.2 Coverage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19"/>
        <w:gridCol w:w="2919"/>
      </w:tblGrid>
      <w:tr>
        <w:trPr>
          <w:tblHeader/>
        </w:trPr>
        <w:tc>
          <w:tcPr>
            <w:tcW w:type="dxa" w:w="1800"/>
            <w:shd w:fill="1F3864" w:val="clear"/>
            <w:tcMar>
              <w:top w:type="dxa" w:w="60"/>
              <w:left w:type="dxa" w:w="100"/>
              <w:bottom w:type="dxa" w:w="60"/>
              <w:right w:type="dxa" w:w="100"/>
            </w:tcMar>
            <w:vAlign w:val="center"/>
          </w:tcPr>
          <w:p>
            <w:r>
              <w:rPr>
                <w:b/>
                <w:bCs/>
                <w:color w:val="FFFFFF"/>
                <w:sz w:val="19"/>
                <w:szCs w:val="19"/>
              </w:rPr>
              <w:t xml:space="preserve">Tier</w:t>
            </w:r>
          </w:p>
        </w:tc>
        <w:tc>
          <w:tcPr>
            <w:tcW w:type="dxa" w:w="2400"/>
            <w:shd w:fill="1F3864" w:val="clear"/>
            <w:tcMar>
              <w:top w:type="dxa" w:w="60"/>
              <w:left w:type="dxa" w:w="100"/>
              <w:bottom w:type="dxa" w:w="60"/>
              <w:right w:type="dxa" w:w="100"/>
            </w:tcMar>
            <w:vAlign w:val="center"/>
          </w:tcPr>
          <w:p>
            <w:r>
              <w:rPr>
                <w:b/>
                <w:bCs/>
                <w:color w:val="FFFFFF"/>
                <w:sz w:val="19"/>
                <w:szCs w:val="19"/>
              </w:rPr>
              <w:t xml:space="preserve">Eligible Employees</w:t>
            </w:r>
          </w:p>
        </w:tc>
        <w:tc>
          <w:tcPr>
            <w:tcW w:type="dxa" w:w="2519"/>
            <w:shd w:fill="1F3864" w:val="clear"/>
            <w:tcMar>
              <w:top w:type="dxa" w:w="60"/>
              <w:left w:type="dxa" w:w="100"/>
              <w:bottom w:type="dxa" w:w="60"/>
              <w:right w:type="dxa" w:w="100"/>
            </w:tcMar>
            <w:vAlign w:val="center"/>
          </w:tcPr>
          <w:p>
            <w:r>
              <w:rPr>
                <w:b/>
                <w:bCs/>
                <w:color w:val="FFFFFF"/>
                <w:sz w:val="19"/>
                <w:szCs w:val="19"/>
              </w:rPr>
              <w:t xml:space="preserve">Annual Coverage Limit</w:t>
            </w:r>
          </w:p>
        </w:tc>
        <w:tc>
          <w:tcPr>
            <w:tcW w:type="dxa" w:w="2919"/>
            <w:shd w:fill="1F3864" w:val="clear"/>
            <w:tcMar>
              <w:top w:type="dxa" w:w="60"/>
              <w:left w:type="dxa" w:w="100"/>
              <w:bottom w:type="dxa" w:w="60"/>
              <w:right w:type="dxa" w:w="100"/>
            </w:tcMar>
            <w:vAlign w:val="center"/>
          </w:tcPr>
          <w:p>
            <w:r>
              <w:rPr>
                <w:b/>
                <w:bCs/>
                <w:color w:val="FFFFFF"/>
                <w:sz w:val="19"/>
                <w:szCs w:val="19"/>
              </w:rPr>
              <w:t xml:space="preserve">Employee Contribution</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Individual</w:t>
            </w:r>
          </w:p>
        </w:tc>
        <w:tc>
          <w:tcPr>
            <w:tcW w:type="dxa" w:w="2400"/>
            <w:tcMar>
              <w:top w:type="dxa" w:w="60"/>
              <w:left w:type="dxa" w:w="100"/>
              <w:bottom w:type="dxa" w:w="60"/>
              <w:right w:type="dxa" w:w="100"/>
            </w:tcMar>
            <w:vAlign w:val="center"/>
          </w:tcPr>
          <w:p>
            <w:r>
              <w:rPr>
                <w:b w:val="false"/>
                <w:bCs w:val="false"/>
                <w:color w:val="000000"/>
                <w:sz w:val="19"/>
                <w:szCs w:val="19"/>
              </w:rPr>
              <w:t xml:space="preserve">Employee only</w:t>
            </w:r>
          </w:p>
        </w:tc>
        <w:tc>
          <w:tcPr>
            <w:tcW w:type="dxa" w:w="2519"/>
            <w:tcMar>
              <w:top w:type="dxa" w:w="60"/>
              <w:left w:type="dxa" w:w="100"/>
              <w:bottom w:type="dxa" w:w="60"/>
              <w:right w:type="dxa" w:w="100"/>
            </w:tcMar>
            <w:vAlign w:val="center"/>
          </w:tcPr>
          <w:p>
            <w:r>
              <w:rPr>
                <w:b w:val="false"/>
                <w:bCs w:val="false"/>
                <w:color w:val="000000"/>
                <w:sz w:val="19"/>
                <w:szCs w:val="19"/>
              </w:rPr>
              <w:t xml:space="preserve">JOD 8,000</w:t>
            </w:r>
          </w:p>
        </w:tc>
        <w:tc>
          <w:tcPr>
            <w:tcW w:type="dxa" w:w="2919"/>
            <w:tcMar>
              <w:top w:type="dxa" w:w="60"/>
              <w:left w:type="dxa" w:w="100"/>
              <w:bottom w:type="dxa" w:w="60"/>
              <w:right w:type="dxa" w:w="100"/>
            </w:tcMar>
            <w:vAlign w:val="center"/>
          </w:tcPr>
          <w:p>
            <w:r>
              <w:rPr>
                <w:b w:val="false"/>
                <w:bCs w:val="false"/>
                <w:color w:val="000000"/>
                <w:sz w:val="19"/>
                <w:szCs w:val="19"/>
              </w:rPr>
              <w:t xml:space="preserve">5% of base salary, capped at JOD 40/month</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Individual + Spouse</w:t>
            </w:r>
          </w:p>
        </w:tc>
        <w:tc>
          <w:tcPr>
            <w:tcW w:type="dxa" w:w="2400"/>
            <w:tcMar>
              <w:top w:type="dxa" w:w="60"/>
              <w:left w:type="dxa" w:w="100"/>
              <w:bottom w:type="dxa" w:w="60"/>
              <w:right w:type="dxa" w:w="100"/>
            </w:tcMar>
            <w:vAlign w:val="center"/>
          </w:tcPr>
          <w:p>
            <w:r>
              <w:rPr>
                <w:b w:val="false"/>
                <w:bCs w:val="false"/>
                <w:color w:val="000000"/>
                <w:sz w:val="19"/>
                <w:szCs w:val="19"/>
              </w:rPr>
              <w:t xml:space="preserve">Employee and spouse</w:t>
            </w:r>
          </w:p>
        </w:tc>
        <w:tc>
          <w:tcPr>
            <w:tcW w:type="dxa" w:w="2519"/>
            <w:tcMar>
              <w:top w:type="dxa" w:w="60"/>
              <w:left w:type="dxa" w:w="100"/>
              <w:bottom w:type="dxa" w:w="60"/>
              <w:right w:type="dxa" w:w="100"/>
            </w:tcMar>
            <w:vAlign w:val="center"/>
          </w:tcPr>
          <w:p>
            <w:r>
              <w:rPr>
                <w:b w:val="false"/>
                <w:bCs w:val="false"/>
                <w:color w:val="000000"/>
                <w:sz w:val="19"/>
                <w:szCs w:val="19"/>
              </w:rPr>
              <w:t xml:space="preserve">JOD 14,000</w:t>
            </w:r>
          </w:p>
        </w:tc>
        <w:tc>
          <w:tcPr>
            <w:tcW w:type="dxa" w:w="2919"/>
            <w:tcMar>
              <w:top w:type="dxa" w:w="60"/>
              <w:left w:type="dxa" w:w="100"/>
              <w:bottom w:type="dxa" w:w="60"/>
              <w:right w:type="dxa" w:w="100"/>
            </w:tcMar>
            <w:vAlign w:val="center"/>
          </w:tcPr>
          <w:p>
            <w:r>
              <w:rPr>
                <w:b w:val="false"/>
                <w:bCs w:val="false"/>
                <w:color w:val="000000"/>
                <w:sz w:val="19"/>
                <w:szCs w:val="19"/>
              </w:rPr>
              <w:t xml:space="preserve">8% of base salary, capped at JOD 65/month</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Family</w:t>
            </w:r>
          </w:p>
        </w:tc>
        <w:tc>
          <w:tcPr>
            <w:tcW w:type="dxa" w:w="2400"/>
            <w:tcMar>
              <w:top w:type="dxa" w:w="60"/>
              <w:left w:type="dxa" w:w="100"/>
              <w:bottom w:type="dxa" w:w="60"/>
              <w:right w:type="dxa" w:w="100"/>
            </w:tcMar>
            <w:vAlign w:val="center"/>
          </w:tcPr>
          <w:p>
            <w:r>
              <w:rPr>
                <w:b w:val="false"/>
                <w:bCs w:val="false"/>
                <w:color w:val="000000"/>
                <w:sz w:val="19"/>
                <w:szCs w:val="19"/>
              </w:rPr>
              <w:t xml:space="preserve">Employee, spouse, and up to 4 dependents</w:t>
            </w:r>
          </w:p>
        </w:tc>
        <w:tc>
          <w:tcPr>
            <w:tcW w:type="dxa" w:w="2519"/>
            <w:tcMar>
              <w:top w:type="dxa" w:w="60"/>
              <w:left w:type="dxa" w:w="100"/>
              <w:bottom w:type="dxa" w:w="60"/>
              <w:right w:type="dxa" w:w="100"/>
            </w:tcMar>
            <w:vAlign w:val="center"/>
          </w:tcPr>
          <w:p>
            <w:r>
              <w:rPr>
                <w:b w:val="false"/>
                <w:bCs w:val="false"/>
                <w:color w:val="000000"/>
                <w:sz w:val="19"/>
                <w:szCs w:val="19"/>
              </w:rPr>
              <w:t xml:space="preserve">JOD 20,000</w:t>
            </w:r>
          </w:p>
        </w:tc>
        <w:tc>
          <w:tcPr>
            <w:tcW w:type="dxa" w:w="2919"/>
            <w:tcMar>
              <w:top w:type="dxa" w:w="60"/>
              <w:left w:type="dxa" w:w="100"/>
              <w:bottom w:type="dxa" w:w="60"/>
              <w:right w:type="dxa" w:w="100"/>
            </w:tcMar>
            <w:vAlign w:val="center"/>
          </w:tcPr>
          <w:p>
            <w:r>
              <w:rPr>
                <w:b w:val="false"/>
                <w:bCs w:val="false"/>
                <w:color w:val="000000"/>
                <w:sz w:val="19"/>
                <w:szCs w:val="19"/>
              </w:rPr>
              <w:t xml:space="preserve">12% of base salary, capped at JOD 95/month</w:t>
            </w:r>
          </w:p>
        </w:tc>
      </w:tr>
    </w:tbl>
    <w:p>
      <w:pPr>
        <w:spacing w:after="160" w:line="276"/>
      </w:pPr>
      <w:r>
        <w:rPr>
          <w:sz w:val="21"/>
          <w:szCs w:val="21"/>
        </w:rPr>
        <w:t xml:space="preserve">Coverage includes inpatient hospitalization, outpatient consultations, prescribed medication, and emergency care through the network of partner hospitals and clinics listed on the HR portal. Pre-existing conditions are covered after a 6-month waiting period from enrollment date.</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Can I add a newly married spouse mid-year?</w:t>
      </w:r>
    </w:p>
    <w:p>
      <w:pPr>
        <w:spacing w:after="160" w:line="276"/>
      </w:pPr>
      <w:r>
        <w:rPr>
          <w:sz w:val="21"/>
          <w:szCs w:val="21"/>
        </w:rPr>
        <w:t xml:space="preserve">A: Yes. Submit a life event change form to HR within 30 days of the marriage; coverage begins the first day of the following month.</w:t>
      </w:r>
    </w:p>
    <w:p>
      <w:pPr>
        <w:spacing w:after="40" w:before="120"/>
      </w:pPr>
      <w:r>
        <w:rPr>
          <w:b/>
          <w:bCs/>
          <w:i/>
          <w:iCs/>
          <w:sz w:val="21"/>
          <w:szCs w:val="21"/>
        </w:rPr>
        <w:t xml:space="preserve">Q: What happens to my medical coverage if I go on unpaid leave?</w:t>
      </w:r>
    </w:p>
    <w:p>
      <w:pPr>
        <w:spacing w:after="160" w:line="276"/>
      </w:pPr>
      <w:r>
        <w:rPr>
          <w:sz w:val="21"/>
          <w:szCs w:val="21"/>
        </w:rPr>
        <w:t xml:space="preserve">A: Coverage may continue for up to 60 days at the employee's full cost; beyond that, coverage is suspended until return to active pay status.</w:t>
      </w:r>
    </w:p>
    <w:p>
      <w:pPr>
        <w:pStyle w:val="Heading1"/>
        <w:spacing w:after="160" w:before="360"/>
      </w:pPr>
      <w:r>
        <w:rPr>
          <w:b/>
          <w:bCs/>
          <w:color w:val="1F3864"/>
          <w:sz w:val="30"/>
          <w:szCs w:val="30"/>
        </w:rPr>
        <w:t xml:space="preserve">3. Dental Coverage</w:t>
      </w:r>
    </w:p>
    <w:p>
      <w:pPr>
        <w:spacing w:after="160" w:line="276"/>
      </w:pPr>
      <w:r>
        <w:rPr>
          <w:sz w:val="21"/>
          <w:szCs w:val="21"/>
        </w:rPr>
        <w:t xml:space="preserve">Dental coverage is bundled with the Individual + Spouse and Family medical insurance tiers at no additional premium, and is available as an optional add-on for JOD 8/month for employees on the Individual tier. Coverage includes annual cleanings, fillings, and up to 50% reimbursement on major procedures such as crowns and root canals, subject to an annual cap of JOD 1,200.</w:t>
      </w:r>
    </w:p>
    <w:p>
      <w:pPr>
        <w:pStyle w:val="Heading1"/>
        <w:spacing w:after="160" w:before="360"/>
      </w:pPr>
      <w:r>
        <w:rPr>
          <w:b/>
          <w:bCs/>
          <w:color w:val="1F3864"/>
          <w:sz w:val="30"/>
          <w:szCs w:val="30"/>
        </w:rPr>
        <w:t xml:space="preserve">4. Vision Coverage</w:t>
      </w:r>
    </w:p>
    <w:p>
      <w:pPr>
        <w:spacing w:after="160" w:line="276"/>
      </w:pPr>
      <w:r>
        <w:rPr>
          <w:sz w:val="21"/>
          <w:szCs w:val="21"/>
        </w:rPr>
        <w:t xml:space="preserve">Vision coverage provides an annual allowance of JOD 150 toward eyeglasses, contact lenses, or corrective eye examinations, available to employees on any medical insurance tier. Claims are submitted through the same portal used for medical insurance reimbursement.</w:t>
      </w:r>
    </w:p>
    <w:p>
      <w:pPr>
        <w:pStyle w:val="Heading1"/>
        <w:spacing w:after="160" w:before="360"/>
      </w:pPr>
      <w:r>
        <w:rPr>
          <w:b/>
          <w:bCs/>
          <w:color w:val="1F3864"/>
          <w:sz w:val="30"/>
          <w:szCs w:val="30"/>
        </w:rPr>
        <w:t xml:space="preserve">5. Retirement</w:t>
      </w:r>
    </w:p>
    <w:p>
      <w:pPr>
        <w:pStyle w:val="Heading2"/>
        <w:spacing w:after="120" w:before="260"/>
      </w:pPr>
      <w:r>
        <w:rPr>
          <w:b/>
          <w:bCs/>
          <w:color w:val="1F3864"/>
          <w:sz w:val="24"/>
          <w:szCs w:val="24"/>
        </w:rPr>
        <w:t xml:space="preserve">5.1 Social Security Contributions</w:t>
      </w:r>
    </w:p>
    <w:p>
      <w:pPr>
        <w:spacing w:after="160" w:line="276"/>
      </w:pPr>
      <w:r>
        <w:rPr>
          <w:sz w:val="21"/>
          <w:szCs w:val="21"/>
        </w:rPr>
        <w:t xml:space="preserve">SkyJet Logistics Ltd. contributes to the Jordanian Social Security Corporation (SSC) on behalf of all eligible employees in accordance with statutory requirements. Both employer and employee contributions are deducted and remitted automatically through payroll; details appear on the monthly payslip.</w:t>
      </w:r>
    </w:p>
    <w:p>
      <w:pPr>
        <w:pStyle w:val="Heading2"/>
        <w:spacing w:after="120" w:before="260"/>
      </w:pPr>
      <w:r>
        <w:rPr>
          <w:b/>
          <w:bCs/>
          <w:color w:val="1F3864"/>
          <w:sz w:val="24"/>
          <w:szCs w:val="24"/>
        </w:rPr>
        <w:t xml:space="preserve">5.2 Supplementary Retirement Savings</w:t>
      </w:r>
    </w:p>
    <w:p>
      <w:pPr>
        <w:spacing w:after="160" w:line="276"/>
      </w:pPr>
      <w:r>
        <w:rPr>
          <w:sz w:val="21"/>
          <w:szCs w:val="21"/>
        </w:rPr>
        <w:t xml:space="preserve">Employees with 3 or more years of continuous service are eligible to participate in the company's supplementary retirement savings program, under which SkyJet matches employee voluntary contributions up to 3% of base salary. Enrollment is managed through HR and may be adjusted once per calendar year during the open enrollment period described in Section 9.</w:t>
      </w:r>
    </w:p>
    <w:p>
      <w:pPr>
        <w:pStyle w:val="Heading1"/>
        <w:spacing w:after="160" w:before="360"/>
      </w:pPr>
      <w:r>
        <w:rPr>
          <w:b/>
          <w:bCs/>
          <w:color w:val="1F3864"/>
          <w:sz w:val="30"/>
          <w:szCs w:val="30"/>
        </w:rPr>
        <w:t xml:space="preserve">6. Bonuses</w:t>
      </w:r>
    </w:p>
    <w:p>
      <w:pPr>
        <w:spacing w:after="160" w:line="276"/>
      </w:pPr>
      <w:r>
        <w:rPr>
          <w:sz w:val="21"/>
          <w:szCs w:val="21"/>
        </w:rPr>
        <w:t xml:space="preserve">Performance-based bonuses are awarded annually following the review cycle described in the Performance Review Guide (Document ID SJL-HR-005). Bonus amounts are determined by individual performance rating, department performance against targets, and overall company results, and are paid out in the first payroll cycle following the annual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val="clear"/>
            <w:tcMar>
              <w:top w:type="dxa" w:w="60"/>
              <w:left w:type="dxa" w:w="100"/>
              <w:bottom w:type="dxa" w:w="60"/>
              <w:right w:type="dxa" w:w="100"/>
            </w:tcMar>
            <w:vAlign w:val="center"/>
          </w:tcPr>
          <w:p>
            <w:r>
              <w:rPr>
                <w:b/>
                <w:bCs/>
                <w:color w:val="FFFFFF"/>
                <w:sz w:val="19"/>
                <w:szCs w:val="19"/>
              </w:rPr>
              <w:t xml:space="preserve">Performance Rating</w:t>
            </w:r>
          </w:p>
        </w:tc>
        <w:tc>
          <w:tcPr>
            <w:tcW w:type="dxa" w:w="4819"/>
            <w:shd w:fill="1F3864" w:val="clear"/>
            <w:tcMar>
              <w:top w:type="dxa" w:w="60"/>
              <w:left w:type="dxa" w:w="100"/>
              <w:bottom w:type="dxa" w:w="60"/>
              <w:right w:type="dxa" w:w="100"/>
            </w:tcMar>
            <w:vAlign w:val="center"/>
          </w:tcPr>
          <w:p>
            <w:r>
              <w:rPr>
                <w:b/>
                <w:bCs/>
                <w:color w:val="FFFFFF"/>
                <w:sz w:val="19"/>
                <w:szCs w:val="19"/>
              </w:rPr>
              <w:t xml:space="preserve">Indicative Bonus (% of Base Salary)</w:t>
            </w:r>
          </w:p>
        </w:tc>
      </w:tr>
      <w:tr>
        <w:tc>
          <w:tcPr>
            <w:tcW w:type="dxa" w:w="4819"/>
            <w:tcMar>
              <w:top w:type="dxa" w:w="60"/>
              <w:left w:type="dxa" w:w="100"/>
              <w:bottom w:type="dxa" w:w="60"/>
              <w:right w:type="dxa" w:w="100"/>
            </w:tcMar>
            <w:vAlign w:val="center"/>
          </w:tcPr>
          <w:p>
            <w:r>
              <w:rPr>
                <w:b w:val="false"/>
                <w:bCs w:val="false"/>
                <w:color w:val="000000"/>
                <w:sz w:val="19"/>
                <w:szCs w:val="19"/>
              </w:rPr>
              <w:t xml:space="preserve">Exceeds Expectations</w:t>
            </w:r>
          </w:p>
        </w:tc>
        <w:tc>
          <w:tcPr>
            <w:tcW w:type="dxa" w:w="4819"/>
            <w:tcMar>
              <w:top w:type="dxa" w:w="60"/>
              <w:left w:type="dxa" w:w="100"/>
              <w:bottom w:type="dxa" w:w="60"/>
              <w:right w:type="dxa" w:w="100"/>
            </w:tcMar>
            <w:vAlign w:val="center"/>
          </w:tcPr>
          <w:p>
            <w:r>
              <w:rPr>
                <w:b w:val="false"/>
                <w:bCs w:val="false"/>
                <w:color w:val="000000"/>
                <w:sz w:val="19"/>
                <w:szCs w:val="19"/>
              </w:rPr>
              <w:t xml:space="preserve">8-12%</w:t>
            </w:r>
          </w:p>
        </w:tc>
      </w:tr>
      <w:tr>
        <w:tc>
          <w:tcPr>
            <w:tcW w:type="dxa" w:w="4819"/>
            <w:tcMar>
              <w:top w:type="dxa" w:w="60"/>
              <w:left w:type="dxa" w:w="100"/>
              <w:bottom w:type="dxa" w:w="60"/>
              <w:right w:type="dxa" w:w="100"/>
            </w:tcMar>
            <w:vAlign w:val="center"/>
          </w:tcPr>
          <w:p>
            <w:r>
              <w:rPr>
                <w:b w:val="false"/>
                <w:bCs w:val="false"/>
                <w:color w:val="000000"/>
                <w:sz w:val="19"/>
                <w:szCs w:val="19"/>
              </w:rPr>
              <w:t xml:space="preserve">Meets Expectations</w:t>
            </w:r>
          </w:p>
        </w:tc>
        <w:tc>
          <w:tcPr>
            <w:tcW w:type="dxa" w:w="4819"/>
            <w:tcMar>
              <w:top w:type="dxa" w:w="60"/>
              <w:left w:type="dxa" w:w="100"/>
              <w:bottom w:type="dxa" w:w="60"/>
              <w:right w:type="dxa" w:w="100"/>
            </w:tcMar>
            <w:vAlign w:val="center"/>
          </w:tcPr>
          <w:p>
            <w:r>
              <w:rPr>
                <w:b w:val="false"/>
                <w:bCs w:val="false"/>
                <w:color w:val="000000"/>
                <w:sz w:val="19"/>
                <w:szCs w:val="19"/>
              </w:rPr>
              <w:t xml:space="preserve">4-6%</w:t>
            </w:r>
          </w:p>
        </w:tc>
      </w:tr>
      <w:tr>
        <w:tc>
          <w:tcPr>
            <w:tcW w:type="dxa" w:w="4819"/>
            <w:tcMar>
              <w:top w:type="dxa" w:w="60"/>
              <w:left w:type="dxa" w:w="100"/>
              <w:bottom w:type="dxa" w:w="60"/>
              <w:right w:type="dxa" w:w="100"/>
            </w:tcMar>
            <w:vAlign w:val="center"/>
          </w:tcPr>
          <w:p>
            <w:r>
              <w:rPr>
                <w:b w:val="false"/>
                <w:bCs w:val="false"/>
                <w:color w:val="000000"/>
                <w:sz w:val="19"/>
                <w:szCs w:val="19"/>
              </w:rPr>
              <w:t xml:space="preserve">Partially Meets Expectations</w:t>
            </w:r>
          </w:p>
        </w:tc>
        <w:tc>
          <w:tcPr>
            <w:tcW w:type="dxa" w:w="4819"/>
            <w:tcMar>
              <w:top w:type="dxa" w:w="60"/>
              <w:left w:type="dxa" w:w="100"/>
              <w:bottom w:type="dxa" w:w="60"/>
              <w:right w:type="dxa" w:w="100"/>
            </w:tcMar>
            <w:vAlign w:val="center"/>
          </w:tcPr>
          <w:p>
            <w:r>
              <w:rPr>
                <w:b w:val="false"/>
                <w:bCs w:val="false"/>
                <w:color w:val="000000"/>
                <w:sz w:val="19"/>
                <w:szCs w:val="19"/>
              </w:rPr>
              <w:t xml:space="preserve">0-2%</w:t>
            </w:r>
          </w:p>
        </w:tc>
      </w:tr>
      <w:tr>
        <w:tc>
          <w:tcPr>
            <w:tcW w:type="dxa" w:w="4819"/>
            <w:tcMar>
              <w:top w:type="dxa" w:w="60"/>
              <w:left w:type="dxa" w:w="100"/>
              <w:bottom w:type="dxa" w:w="60"/>
              <w:right w:type="dxa" w:w="100"/>
            </w:tcMar>
            <w:vAlign w:val="center"/>
          </w:tcPr>
          <w:p>
            <w:r>
              <w:rPr>
                <w:b w:val="false"/>
                <w:bCs w:val="false"/>
                <w:color w:val="000000"/>
                <w:sz w:val="19"/>
                <w:szCs w:val="19"/>
              </w:rPr>
              <w:t xml:space="preserve">Does Not Meet Expectations</w:t>
            </w:r>
          </w:p>
        </w:tc>
        <w:tc>
          <w:tcPr>
            <w:tcW w:type="dxa" w:w="4819"/>
            <w:tcMar>
              <w:top w:type="dxa" w:w="60"/>
              <w:left w:type="dxa" w:w="100"/>
              <w:bottom w:type="dxa" w:w="60"/>
              <w:right w:type="dxa" w:w="100"/>
            </w:tcMar>
            <w:vAlign w:val="center"/>
          </w:tcPr>
          <w:p>
            <w:r>
              <w:rPr>
                <w:b w:val="false"/>
                <w:bCs w:val="false"/>
                <w:color w:val="000000"/>
                <w:sz w:val="19"/>
                <w:szCs w:val="19"/>
              </w:rPr>
              <w:t xml:space="preserve">0%</w:t>
            </w:r>
          </w:p>
        </w:tc>
      </w:tr>
    </w:tbl>
    <w:p>
      <w:pPr>
        <w:spacing w:after="160" w:line="276"/>
      </w:pPr>
      <w:r>
        <w:rPr>
          <w:sz w:val="21"/>
          <w:szCs w:val="21"/>
        </w:rPr>
        <w:t xml:space="preserve">Bonus figures shown are indicative ranges and are subject to final approval by the Executive Office based on company financial performance for the relevant fiscal year.</w:t>
      </w:r>
    </w:p>
    <w:p>
      <w:pPr>
        <w:pStyle w:val="Heading1"/>
        <w:spacing w:after="160" w:before="360"/>
      </w:pPr>
      <w:r>
        <w:rPr>
          <w:b/>
          <w:bCs/>
          <w:color w:val="1F3864"/>
          <w:sz w:val="30"/>
          <w:szCs w:val="30"/>
        </w:rPr>
        <w:t xml:space="preserve">7. Transportation Allowance</w:t>
      </w:r>
    </w:p>
    <w:p>
      <w:pPr>
        <w:spacing w:after="160" w:line="276"/>
      </w:pPr>
      <w:r>
        <w:rPr>
          <w:sz w:val="21"/>
          <w:szCs w:val="21"/>
        </w:rPr>
        <w:t xml:space="preserve">Employees whose regular commute exceeds 15 kilometers from their assigned branch are eligible for a monthly transportation allowance of JOD 40, paid alongside base salary. Employees who use a company-provided vehicle, such as certain Logistics and Fleet roles, are not eligible for this allowance; see the Fleet Management Policy (Document ID SJL-LOG-004) for vehicle assignment criteria.</w:t>
      </w:r>
    </w:p>
    <w:p>
      <w:pPr>
        <w:pStyle w:val="Heading1"/>
        <w:spacing w:after="160" w:before="360"/>
      </w:pPr>
      <w:r>
        <w:rPr>
          <w:b/>
          <w:bCs/>
          <w:color w:val="1F3864"/>
          <w:sz w:val="30"/>
          <w:szCs w:val="30"/>
        </w:rPr>
        <w:t xml:space="preserve">8. Gym Membership</w:t>
      </w:r>
    </w:p>
    <w:p>
      <w:pPr>
        <w:spacing w:after="160" w:line="276"/>
      </w:pPr>
      <w:r>
        <w:rPr>
          <w:sz w:val="21"/>
          <w:szCs w:val="21"/>
        </w:rPr>
        <w:t xml:space="preserve">SkyJet Logistics Ltd. subsidizes 50% of monthly membership fees, up to JOD 25/month, at partner fitness facilities in Amman, Aqaba, Irbid, and Zarqa. Employees must submit a valid membership receipt to HR monthly to receive the reimbursement, which is processed alongside the regular payroll cycle.</w:t>
      </w:r>
    </w:p>
    <w:p>
      <w:pPr>
        <w:pStyle w:val="Heading1"/>
        <w:spacing w:after="160" w:before="360"/>
      </w:pPr>
      <w:r>
        <w:rPr>
          <w:b/>
          <w:bCs/>
          <w:color w:val="1F3864"/>
          <w:sz w:val="30"/>
          <w:szCs w:val="30"/>
        </w:rPr>
        <w:t xml:space="preserve">9. Employee Discounts</w:t>
      </w:r>
    </w:p>
    <w:p>
      <w:pPr>
        <w:spacing w:after="160" w:line="276"/>
      </w:pPr>
      <w:r>
        <w:rPr>
          <w:sz w:val="21"/>
          <w:szCs w:val="21"/>
        </w:rPr>
        <w:t xml:space="preserve">Employees receive a 15% discount on shipping and warehousing services booked for personal use, subject to standard capacity availability and Customer Support booking procedures. This benefit may not be used for commercial resale or on behalf of a third-party business.</w:t>
      </w:r>
    </w:p>
    <w:p>
      <w:pPr>
        <w:pStyle w:val="Heading1"/>
        <w:spacing w:after="160" w:before="360"/>
      </w:pPr>
      <w:r>
        <w:rPr>
          <w:b/>
          <w:bCs/>
          <w:color w:val="1F3864"/>
          <w:sz w:val="30"/>
          <w:szCs w:val="30"/>
        </w:rPr>
        <w:t xml:space="preserve">10. Enrollment and Life Events</w:t>
      </w:r>
    </w:p>
    <w:p>
      <w:pPr>
        <w:pStyle w:val="Heading2"/>
        <w:spacing w:after="120" w:before="260"/>
      </w:pPr>
      <w:r>
        <w:rPr>
          <w:b/>
          <w:bCs/>
          <w:color w:val="1F3864"/>
          <w:sz w:val="24"/>
          <w:szCs w:val="24"/>
        </w:rPr>
        <w:t xml:space="preserve">10.1 Initial Enrollment</w:t>
      </w:r>
    </w:p>
    <w:p>
      <w:pPr>
        <w:spacing w:after="160" w:line="276"/>
      </w:pPr>
      <w:r>
        <w:rPr>
          <w:sz w:val="21"/>
          <w:szCs w:val="21"/>
        </w:rPr>
        <w:t xml:space="preserve">New employees are enrolled in default benefit tiers upon completion of probation. Employees who wish to select a different coverage tier, such as upgrading from Individual to Family coverage, must submit the relevant form to HR within 30 days of eligibility confirmation.</w:t>
      </w:r>
    </w:p>
    <w:p>
      <w:pPr>
        <w:pStyle w:val="Heading2"/>
        <w:spacing w:after="120" w:before="260"/>
      </w:pPr>
      <w:r>
        <w:rPr>
          <w:b/>
          <w:bCs/>
          <w:color w:val="1F3864"/>
          <w:sz w:val="24"/>
          <w:szCs w:val="24"/>
        </w:rPr>
        <w:t xml:space="preserve">10.2 Life Event Changes</w:t>
      </w:r>
    </w:p>
    <w:p>
      <w:pPr>
        <w:spacing w:after="160" w:line="276"/>
      </w:pPr>
      <w:r>
        <w:rPr>
          <w:sz w:val="21"/>
          <w:szCs w:val="21"/>
        </w:rPr>
        <w:t xml:space="preserve">Marriage, birth of a child, or divorce constitute qualifying life events that permit mid-year benefit tier changes outside the standard annual open enrollment window. Life event changes must be submitted to HR within 30 days of the event, accompanied by relevant supporting documentation.</w:t>
      </w:r>
    </w:p>
    <w:p>
      <w:pPr>
        <w:pStyle w:val="Heading2"/>
        <w:spacing w:after="120" w:before="260"/>
      </w:pPr>
      <w:r>
        <w:rPr>
          <w:b/>
          <w:bCs/>
          <w:color w:val="1F3864"/>
          <w:sz w:val="24"/>
          <w:szCs w:val="24"/>
        </w:rPr>
        <w:t xml:space="preserve">10.3 Annual Open Enrollment</w:t>
      </w:r>
    </w:p>
    <w:p>
      <w:pPr>
        <w:spacing w:after="160" w:line="276"/>
      </w:pPr>
      <w:r>
        <w:rPr>
          <w:sz w:val="21"/>
          <w:szCs w:val="21"/>
        </w:rPr>
        <w:t xml:space="preserve">Open enrollment occurs each November, during which employees may adjust their medical insurance tier, dental add-on, and supplementary retirement contribution rate for the following calendar year. Changes made during open enrollment take effect on 1 January.</w:t>
      </w:r>
    </w:p>
    <w:p>
      <w:pPr>
        <w:pStyle w:val="Heading1"/>
        <w:spacing w:after="160" w:before="360"/>
      </w:pPr>
      <w:r>
        <w:rPr>
          <w:b/>
          <w:bCs/>
          <w:color w:val="1F3864"/>
          <w:sz w:val="30"/>
          <w:szCs w:val="30"/>
        </w:rPr>
        <w:t xml:space="preserve">11. Frequently Asked Questions</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Are benefits available during probation?</w:t>
      </w:r>
    </w:p>
    <w:p>
      <w:pPr>
        <w:spacing w:after="160" w:line="276"/>
      </w:pPr>
      <w:r>
        <w:rPr>
          <w:sz w:val="21"/>
          <w:szCs w:val="21"/>
        </w:rPr>
        <w:t xml:space="preserve">A: Medical insurance and retirement contributions begin upon successful completion of probation. Transportation allowance and gym subsidy are available from the first day of employment.</w:t>
      </w:r>
    </w:p>
    <w:p>
      <w:pPr>
        <w:spacing w:after="40" w:before="120"/>
      </w:pPr>
      <w:r>
        <w:rPr>
          <w:b/>
          <w:bCs/>
          <w:i/>
          <w:iCs/>
          <w:sz w:val="21"/>
          <w:szCs w:val="21"/>
        </w:rPr>
        <w:t xml:space="preserve">Q: What happens to my benefits if I transfer branches?</w:t>
      </w:r>
    </w:p>
    <w:p>
      <w:pPr>
        <w:spacing w:after="160" w:line="276"/>
      </w:pPr>
      <w:r>
        <w:rPr>
          <w:sz w:val="21"/>
          <w:szCs w:val="21"/>
        </w:rPr>
        <w:t xml:space="preserve">A: Benefits are tied to your employment record, not your branch, and continue uninterrupted following an internal transfer.</w:t>
      </w:r>
    </w:p>
    <w:p>
      <w:pPr>
        <w:spacing w:after="40" w:before="120"/>
      </w:pPr>
      <w:r>
        <w:rPr>
          <w:b/>
          <w:bCs/>
          <w:i/>
          <w:iCs/>
          <w:sz w:val="21"/>
          <w:szCs w:val="21"/>
        </w:rPr>
        <w:t xml:space="preserve">Q: Can I use the employee shipping discount for a family member's business?</w:t>
      </w:r>
    </w:p>
    <w:p>
      <w:pPr>
        <w:spacing w:after="160" w:line="276"/>
      </w:pPr>
      <w:r>
        <w:rPr>
          <w:sz w:val="21"/>
          <w:szCs w:val="21"/>
        </w:rPr>
        <w:t xml:space="preserve">A: No. The discount is restricted to personal, non-commercial use as described in Section 9.</w:t>
      </w:r>
    </w:p>
    <w:p>
      <w:pPr>
        <w:spacing w:after="40" w:before="120"/>
      </w:pPr>
      <w:r>
        <w:rPr>
          <w:b/>
          <w:bCs/>
          <w:i/>
          <w:iCs/>
          <w:sz w:val="21"/>
          <w:szCs w:val="21"/>
        </w:rPr>
        <w:t xml:space="preserve">Q: Who do I contact with a claims question for medical insurance?</w:t>
      </w:r>
    </w:p>
    <w:p>
      <w:pPr>
        <w:spacing w:after="160" w:line="276"/>
      </w:pPr>
      <w:r>
        <w:rPr>
          <w:sz w:val="21"/>
          <w:szCs w:val="21"/>
        </w:rPr>
        <w:t xml:space="preserve">A: The insurance provider's dedicated SkyJet claims line, listed on the HR portal, or your branch HR representative.</w:t>
      </w:r>
    </w:p>
    <w:p>
      <w:r>
        <w:br w:type="page"/>
      </w:r>
    </w:p>
    <w:p>
      <w:pPr>
        <w:pStyle w:val="Heading1"/>
        <w:spacing w:after="160" w:before="360"/>
      </w:pPr>
      <w:r>
        <w:rPr>
          <w:b/>
          <w:bCs/>
          <w:color w:val="1F3864"/>
          <w:sz w:val="30"/>
          <w:szCs w:val="30"/>
        </w:rP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Prepared By</w:t>
            </w:r>
          </w:p>
        </w:tc>
        <w:tc>
          <w:tcPr>
            <w:tcW w:type="dxa" w:w="7238"/>
            <w:tcMar>
              <w:top w:type="dxa" w:w="80"/>
              <w:left w:type="dxa" w:w="100"/>
              <w:bottom w:type="dxa" w:w="80"/>
              <w:right w:type="dxa" w:w="100"/>
            </w:tcMar>
            <w:vAlign w:val="center"/>
          </w:tcPr>
          <w:p>
            <w:r>
              <w:rPr>
                <w:sz w:val="19"/>
                <w:szCs w:val="19"/>
              </w:rPr>
              <w:t xml:space="preserve">R. Qassem, HR Director</w:t>
            </w:r>
          </w:p>
        </w:tc>
      </w:tr>
      <w:tr>
        <w:tc>
          <w:tcPr>
            <w:tcW w:type="dxa" w:w="2400"/>
            <w:shd w:fill="F2F2F2" w:val="clear"/>
            <w:tcMar>
              <w:top w:type="dxa" w:w="80"/>
              <w:left w:type="dxa" w:w="100"/>
              <w:bottom w:type="dxa" w:w="80"/>
              <w:right w:type="dxa" w:w="100"/>
            </w:tcMar>
            <w:vAlign w:val="center"/>
          </w:tcPr>
          <w:p>
            <w:r>
              <w:rPr>
                <w:b/>
                <w:bCs/>
                <w:sz w:val="19"/>
                <w:szCs w:val="19"/>
              </w:rPr>
              <w:t xml:space="preserve">Reviewed By</w:t>
            </w:r>
          </w:p>
        </w:tc>
        <w:tc>
          <w:tcPr>
            <w:tcW w:type="dxa" w:w="7238"/>
            <w:tcMar>
              <w:top w:type="dxa" w:w="80"/>
              <w:left w:type="dxa" w:w="100"/>
              <w:bottom w:type="dxa" w:w="80"/>
              <w:right w:type="dxa" w:w="100"/>
            </w:tcMar>
            <w:vAlign w:val="center"/>
          </w:tcPr>
          <w:p>
            <w:r>
              <w:rPr>
                <w:sz w:val="19"/>
                <w:szCs w:val="19"/>
              </w:rPr>
              <w:t xml:space="preserve">Chief Financial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Approved By</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Approval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Next Scheduled Review</w:t>
            </w:r>
          </w:p>
        </w:tc>
        <w:tc>
          <w:tcPr>
            <w:tcW w:type="dxa" w:w="7238"/>
            <w:tcMar>
              <w:top w:type="dxa" w:w="80"/>
              <w:left w:type="dxa" w:w="100"/>
              <w:bottom w:type="dxa" w:w="80"/>
              <w:right w:type="dxa" w:w="100"/>
            </w:tcMar>
            <w:vAlign w:val="center"/>
          </w:tcPr>
          <w:p>
            <w:r>
              <w:rPr>
                <w:sz w:val="19"/>
                <w:szCs w:val="19"/>
              </w:rPr>
              <w:t xml:space="preserve">06 July 2027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Use Only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color w:val="595959"/>
        <w:sz w:val="16"/>
        <w:szCs w:val="16"/>
      </w:rPr>
      <w:t xml:space="preserve">SkyJet Logistics Ltd. — Benefits Guide</w:t>
    </w:r>
    <w:r>
      <w:tab/>
    </w:r>
    <w:r>
      <w:rPr>
        <w:color w:val="595959"/>
        <w:sz w:val="16"/>
        <w:szCs w:val="16"/>
      </w:rPr>
      <w:t xml:space="preserve">SJL-HR-003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2026-07-08T12:10:32.316Z</dcterms:created>
  <dcterms:modified xsi:type="dcterms:W3CDTF">2026-07-08T12:10:32.317Z</dcterms:modified>
</cp:coreProperties>
</file>

<file path=docProps/custom.xml><?xml version="1.0" encoding="utf-8"?>
<Properties xmlns="http://schemas.openxmlformats.org/officeDocument/2006/custom-properties" xmlns:vt="http://schemas.openxmlformats.org/officeDocument/2006/docPropsVTypes"/>
</file>