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0"/>
          <w:szCs w:val="40"/>
        </w:rPr>
        <w:t xml:space="preserve">SKYJET LOGISTICS LTD.</w:t>
      </w:r>
    </w:p>
    <w:p>
      <w:pPr>
        <w:spacing w:after="800" w:before="200"/>
        <w:jc w:val="center"/>
      </w:pPr>
      <w:r>
        <w:rPr>
          <w:color w:val="595959"/>
          <w:sz w:val="32"/>
          <w:szCs w:val="32"/>
        </w:rPr>
        <w:t xml:space="preserve">Employee Handbook</w:t>
      </w:r>
    </w:p>
    <w:p/>
    <w:p>
      <w:pPr>
        <w:spacing w:before="16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Document ID</w:t>
            </w:r>
          </w:p>
        </w:tc>
        <w:tc>
          <w:tcPr>
            <w:tcW w:type="dxa" w:w="7238"/>
            <w:tcMar>
              <w:top w:type="dxa" w:w="80"/>
              <w:left w:type="dxa" w:w="100"/>
              <w:bottom w:type="dxa" w:w="80"/>
              <w:right w:type="dxa" w:w="100"/>
            </w:tcMar>
            <w:vAlign w:val="center"/>
          </w:tcPr>
          <w:p>
            <w:r>
              <w:rPr>
                <w:sz w:val="19"/>
                <w:szCs w:val="19"/>
              </w:rPr>
              <w:t xml:space="preserve">SJL-HR-001</w:t>
            </w:r>
          </w:p>
        </w:tc>
      </w:tr>
      <w:tr>
        <w:tc>
          <w:tcPr>
            <w:tcW w:type="dxa" w:w="2400"/>
            <w:shd w:fill="F2F2F2" w:val="clear"/>
            <w:tcMar>
              <w:top w:type="dxa" w:w="80"/>
              <w:left w:type="dxa" w:w="100"/>
              <w:bottom w:type="dxa" w:w="80"/>
              <w:right w:type="dxa" w:w="100"/>
            </w:tcMar>
            <w:vAlign w:val="center"/>
          </w:tcPr>
          <w:p>
            <w:r>
              <w:rPr>
                <w:b/>
                <w:bCs/>
                <w:sz w:val="19"/>
                <w:szCs w:val="19"/>
              </w:rPr>
              <w:t xml:space="preserve">Version</w:t>
            </w:r>
          </w:p>
        </w:tc>
        <w:tc>
          <w:tcPr>
            <w:tcW w:type="dxa" w:w="7238"/>
            <w:tcMar>
              <w:top w:type="dxa" w:w="80"/>
              <w:left w:type="dxa" w:w="100"/>
              <w:bottom w:type="dxa" w:w="80"/>
              <w:right w:type="dxa" w:w="100"/>
            </w:tcMar>
            <w:vAlign w:val="center"/>
          </w:tcPr>
          <w:p>
            <w:r>
              <w:rPr>
                <w:sz w:val="19"/>
                <w:szCs w:val="19"/>
              </w:rPr>
              <w:t xml:space="preserve">1.0</w:t>
            </w:r>
          </w:p>
        </w:tc>
      </w:tr>
      <w:tr>
        <w:tc>
          <w:tcPr>
            <w:tcW w:type="dxa" w:w="2400"/>
            <w:shd w:fill="F2F2F2" w:val="clear"/>
            <w:tcMar>
              <w:top w:type="dxa" w:w="80"/>
              <w:left w:type="dxa" w:w="100"/>
              <w:bottom w:type="dxa" w:w="80"/>
              <w:right w:type="dxa" w:w="100"/>
            </w:tcMar>
            <w:vAlign w:val="center"/>
          </w:tcPr>
          <w:p>
            <w:r>
              <w:rPr>
                <w:b/>
                <w:bCs/>
                <w:sz w:val="19"/>
                <w:szCs w:val="19"/>
              </w:rPr>
              <w:t xml:space="preserve">Revision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Department</w:t>
            </w:r>
          </w:p>
        </w:tc>
        <w:tc>
          <w:tcPr>
            <w:tcW w:type="dxa" w:w="7238"/>
            <w:tcMar>
              <w:top w:type="dxa" w:w="80"/>
              <w:left w:type="dxa" w:w="100"/>
              <w:bottom w:type="dxa" w:w="80"/>
              <w:right w:type="dxa" w:w="100"/>
            </w:tcMar>
            <w:vAlign w:val="center"/>
          </w:tcPr>
          <w:p>
            <w:r>
              <w:rPr>
                <w:sz w:val="19"/>
                <w:szCs w:val="19"/>
              </w:rPr>
              <w:t xml:space="preserve">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Owner</w:t>
            </w:r>
          </w:p>
        </w:tc>
        <w:tc>
          <w:tcPr>
            <w:tcW w:type="dxa" w:w="7238"/>
            <w:tcMar>
              <w:top w:type="dxa" w:w="80"/>
              <w:left w:type="dxa" w:w="100"/>
              <w:bottom w:type="dxa" w:w="80"/>
              <w:right w:type="dxa" w:w="100"/>
            </w:tcMar>
            <w:vAlign w:val="center"/>
          </w:tcPr>
          <w:p>
            <w:r>
              <w:rPr>
                <w:sz w:val="19"/>
                <w:szCs w:val="19"/>
              </w:rPr>
              <w:t xml:space="preserve">Director of Human Resources</w:t>
            </w:r>
          </w:p>
        </w:tc>
      </w:tr>
      <w:tr>
        <w:tc>
          <w:tcPr>
            <w:tcW w:type="dxa" w:w="2400"/>
            <w:shd w:fill="F2F2F2" w:val="clear"/>
            <w:tcMar>
              <w:top w:type="dxa" w:w="80"/>
              <w:left w:type="dxa" w:w="100"/>
              <w:bottom w:type="dxa" w:w="80"/>
              <w:right w:type="dxa" w:w="100"/>
            </w:tcMar>
            <w:vAlign w:val="center"/>
          </w:tcPr>
          <w:p>
            <w:r>
              <w:rPr>
                <w:b/>
                <w:bCs/>
                <w:sz w:val="19"/>
                <w:szCs w:val="19"/>
              </w:rPr>
              <w:t xml:space="preserve">Approver</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Classification</w:t>
            </w:r>
          </w:p>
        </w:tc>
        <w:tc>
          <w:tcPr>
            <w:tcW w:type="dxa" w:w="7238"/>
            <w:tcMar>
              <w:top w:type="dxa" w:w="80"/>
              <w:left w:type="dxa" w:w="100"/>
              <w:bottom w:type="dxa" w:w="80"/>
              <w:right w:type="dxa" w:w="100"/>
            </w:tcMar>
            <w:vAlign w:val="center"/>
          </w:tcPr>
          <w:p>
            <w:r>
              <w:rPr>
                <w:sz w:val="19"/>
                <w:szCs w:val="19"/>
              </w:rPr>
              <w:t xml:space="preserve">Internal Use Only</w:t>
            </w:r>
          </w:p>
        </w:tc>
      </w:tr>
      <w:tr>
        <w:tc>
          <w:tcPr>
            <w:tcW w:type="dxa" w:w="2400"/>
            <w:shd w:fill="F2F2F2" w:val="clear"/>
            <w:tcMar>
              <w:top w:type="dxa" w:w="80"/>
              <w:left w:type="dxa" w:w="100"/>
              <w:bottom w:type="dxa" w:w="80"/>
              <w:right w:type="dxa" w:w="100"/>
            </w:tcMar>
            <w:vAlign w:val="center"/>
          </w:tcPr>
          <w:p>
            <w:r>
              <w:rPr>
                <w:b/>
                <w:bCs/>
                <w:sz w:val="19"/>
                <w:szCs w:val="19"/>
              </w:rPr>
              <w:t xml:space="preserve">Review Cycle</w:t>
            </w:r>
          </w:p>
        </w:tc>
        <w:tc>
          <w:tcPr>
            <w:tcW w:type="dxa" w:w="7238"/>
            <w:tcMar>
              <w:top w:type="dxa" w:w="80"/>
              <w:left w:type="dxa" w:w="100"/>
              <w:bottom w:type="dxa" w:w="80"/>
              <w:right w:type="dxa" w:w="100"/>
            </w:tcMar>
            <w:vAlign w:val="center"/>
          </w:tcPr>
          <w:p>
            <w:r>
              <w:rPr>
                <w:sz w:val="19"/>
                <w:szCs w:val="19"/>
              </w:rPr>
              <w:t xml:space="preserve">Annual</w:t>
            </w:r>
          </w:p>
        </w:tc>
      </w:tr>
    </w:tbl>
    <w:p>
      <w:r>
        <w:br w:type="page"/>
      </w:r>
    </w:p>
    <w:p>
      <w:pPr>
        <w:pStyle w:val="Heading1"/>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3238"/>
      </w:tblGrid>
      <w:tr>
        <w:trPr>
          <w:tblHeader/>
        </w:trPr>
        <w:tc>
          <w:tcPr>
            <w:tcW w:type="dxa" w:w="1400"/>
            <w:shd w:fill="1F3864" w:val="clear"/>
            <w:tcMar>
              <w:top w:type="dxa" w:w="60"/>
              <w:left w:type="dxa" w:w="100"/>
              <w:bottom w:type="dxa" w:w="60"/>
              <w:right w:type="dxa" w:w="100"/>
            </w:tcMar>
            <w:vAlign w:val="center"/>
          </w:tcPr>
          <w:p>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r>
              <w:rPr>
                <w:b/>
                <w:bCs/>
                <w:color w:val="FFFFFF"/>
                <w:sz w:val="19"/>
                <w:szCs w:val="19"/>
              </w:rPr>
              <w:t xml:space="preserve">Author</w:t>
            </w:r>
          </w:p>
        </w:tc>
        <w:tc>
          <w:tcPr>
            <w:tcW w:type="dxa" w:w="3238"/>
            <w:shd w:fill="1F3864" w:val="clear"/>
            <w:tcMar>
              <w:top w:type="dxa" w:w="60"/>
              <w:left w:type="dxa" w:w="100"/>
              <w:bottom w:type="dxa" w:w="60"/>
              <w:right w:type="dxa" w:w="100"/>
            </w:tcMar>
            <w:vAlign w:val="center"/>
          </w:tcPr>
          <w:p>
            <w:r>
              <w:rPr>
                <w:b/>
                <w:bCs/>
                <w:color w:val="FFFFFF"/>
                <w:sz w:val="19"/>
                <w:szCs w:val="19"/>
              </w:rPr>
              <w:t xml:space="preserve">Summary of Changes</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0.1</w:t>
            </w:r>
          </w:p>
        </w:tc>
        <w:tc>
          <w:tcPr>
            <w:tcW w:type="dxa" w:w="1800"/>
            <w:tcMar>
              <w:top w:type="dxa" w:w="60"/>
              <w:left w:type="dxa" w:w="100"/>
              <w:bottom w:type="dxa" w:w="60"/>
              <w:right w:type="dxa" w:w="100"/>
            </w:tcMar>
            <w:vAlign w:val="center"/>
          </w:tcPr>
          <w:p>
            <w:r>
              <w:rPr>
                <w:b w:val="false"/>
                <w:bCs w:val="false"/>
                <w:color w:val="000000"/>
                <w:sz w:val="19"/>
                <w:szCs w:val="19"/>
              </w:rPr>
              <w:t xml:space="preserve">22 May 2026</w:t>
            </w:r>
          </w:p>
        </w:tc>
        <w:tc>
          <w:tcPr>
            <w:tcW w:type="dxa" w:w="3200"/>
            <w:tcMar>
              <w:top w:type="dxa" w:w="60"/>
              <w:left w:type="dxa" w:w="100"/>
              <w:bottom w:type="dxa" w:w="60"/>
              <w:right w:type="dxa" w:w="100"/>
            </w:tcMar>
            <w:vAlign w:val="center"/>
          </w:tcPr>
          <w:p>
            <w:r>
              <w:rPr>
                <w:b w:val="false"/>
                <w:bCs w:val="false"/>
                <w:color w:val="000000"/>
                <w:sz w:val="19"/>
                <w:szCs w:val="19"/>
              </w:rPr>
              <w:t xml:space="preserve">T. Haddad, HR Coordinator</w:t>
            </w:r>
          </w:p>
        </w:tc>
        <w:tc>
          <w:tcPr>
            <w:tcW w:type="dxa" w:w="3238"/>
            <w:tcMar>
              <w:top w:type="dxa" w:w="60"/>
              <w:left w:type="dxa" w:w="100"/>
              <w:bottom w:type="dxa" w:w="60"/>
              <w:right w:type="dxa" w:w="100"/>
            </w:tcMar>
            <w:vAlign w:val="center"/>
          </w:tcPr>
          <w:p>
            <w:r>
              <w:rPr>
                <w:b w:val="false"/>
                <w:bCs w:val="false"/>
                <w:color w:val="000000"/>
                <w:sz w:val="19"/>
                <w:szCs w:val="19"/>
              </w:rPr>
              <w:t xml:space="preserve">Initial draft outline</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0.5</w:t>
            </w:r>
          </w:p>
        </w:tc>
        <w:tc>
          <w:tcPr>
            <w:tcW w:type="dxa" w:w="1800"/>
            <w:tcMar>
              <w:top w:type="dxa" w:w="60"/>
              <w:left w:type="dxa" w:w="100"/>
              <w:bottom w:type="dxa" w:w="60"/>
              <w:right w:type="dxa" w:w="100"/>
            </w:tcMar>
            <w:vAlign w:val="center"/>
          </w:tcPr>
          <w:p>
            <w:r>
              <w:rPr>
                <w:b w:val="false"/>
                <w:bCs w:val="false"/>
                <w:color w:val="000000"/>
                <w:sz w:val="19"/>
                <w:szCs w:val="19"/>
              </w:rPr>
              <w:t xml:space="preserve">14 June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Added Leave Policy and Code of Conduct sections</w:t>
            </w:r>
          </w:p>
        </w:tc>
      </w:tr>
      <w:tr>
        <w:tc>
          <w:tcPr>
            <w:tcW w:type="dxa" w:w="1400"/>
            <w:tcMar>
              <w:top w:type="dxa" w:w="60"/>
              <w:left w:type="dxa" w:w="100"/>
              <w:bottom w:type="dxa" w:w="60"/>
              <w:right w:type="dxa" w:w="100"/>
            </w:tcMar>
            <w:vAlign w:val="center"/>
          </w:tcPr>
          <w:p>
            <w:r>
              <w:rPr>
                <w:b w:val="false"/>
                <w:bCs w:val="false"/>
                <w:color w:val="000000"/>
                <w:sz w:val="19"/>
                <w:szCs w:val="19"/>
              </w:rPr>
              <w:t xml:space="preserve">1.0</w:t>
            </w:r>
          </w:p>
        </w:tc>
        <w:tc>
          <w:tcPr>
            <w:tcW w:type="dxa" w:w="1800"/>
            <w:tcMar>
              <w:top w:type="dxa" w:w="60"/>
              <w:left w:type="dxa" w:w="100"/>
              <w:bottom w:type="dxa" w:w="60"/>
              <w:right w:type="dxa" w:w="100"/>
            </w:tcMar>
            <w:vAlign w:val="center"/>
          </w:tcPr>
          <w:p>
            <w:r>
              <w:rPr>
                <w:b w:val="false"/>
                <w:bCs w:val="false"/>
                <w:color w:val="000000"/>
                <w:sz w:val="19"/>
                <w:szCs w:val="19"/>
              </w:rPr>
              <w:t xml:space="preserve">06 July 2026</w:t>
            </w:r>
          </w:p>
        </w:tc>
        <w:tc>
          <w:tcPr>
            <w:tcW w:type="dxa" w:w="3200"/>
            <w:tcMar>
              <w:top w:type="dxa" w:w="60"/>
              <w:left w:type="dxa" w:w="100"/>
              <w:bottom w:type="dxa" w:w="60"/>
              <w:right w:type="dxa" w:w="100"/>
            </w:tcMar>
            <w:vAlign w:val="center"/>
          </w:tcPr>
          <w:p>
            <w:r>
              <w:rPr>
                <w:b w:val="false"/>
                <w:bCs w:val="false"/>
                <w:color w:val="000000"/>
                <w:sz w:val="19"/>
                <w:szCs w:val="19"/>
              </w:rPr>
              <w:t xml:space="preserve">R. Qassem, HR Director</w:t>
            </w:r>
          </w:p>
        </w:tc>
        <w:tc>
          <w:tcPr>
            <w:tcW w:type="dxa" w:w="3238"/>
            <w:tcMar>
              <w:top w:type="dxa" w:w="60"/>
              <w:left w:type="dxa" w:w="100"/>
              <w:bottom w:type="dxa" w:w="60"/>
              <w:right w:type="dxa" w:w="100"/>
            </w:tcMar>
            <w:vAlign w:val="center"/>
          </w:tcPr>
          <w:p>
            <w:r>
              <w:rPr>
                <w:b w:val="false"/>
                <w:bCs w:val="false"/>
                <w:color w:val="000000"/>
                <w:sz w:val="19"/>
                <w:szCs w:val="19"/>
              </w:rPr>
              <w:t xml:space="preserve">Full version approved for company-wide distribution</w:t>
            </w:r>
          </w:p>
        </w:tc>
      </w:tr>
    </w:tbl>
    <w:p>
      <w:r>
        <w:br w:type="page"/>
      </w:r>
    </w:p>
    <w:p>
      <w:pPr>
        <w:pStyle w:val="Heading1"/>
        <w:spacing w:after="160" w:before="360"/>
      </w:pPr>
      <w:r>
        <w:rPr>
          <w:b/>
          <w:bCs/>
          <w:color w:val="1F3864"/>
          <w:sz w:val="30"/>
          <w:szCs w:val="30"/>
        </w:rPr>
        <w:t xml:space="preserve">1. Welcome</w:t>
      </w:r>
    </w:p>
    <w:p>
      <w:pPr>
        <w:spacing w:after="160" w:line="276"/>
      </w:pPr>
      <w:r>
        <w:rPr>
          <w:sz w:val="21"/>
          <w:szCs w:val="21"/>
        </w:rPr>
        <w:t xml:space="preserve">Welcome to SkyJet Logistics Ltd. This handbook introduces you to our company, our policies, and the standards we hold ourselves to as a team. Whether you have just joined us at our Amman headquarters or one of our branch offices in Aqaba, Irbid, or Zarqa, this document is your primary reference for day-to-day employment matters.</w:t>
      </w:r>
    </w:p>
    <w:p>
      <w:pPr>
        <w:spacing w:after="160" w:line="276"/>
      </w:pPr>
      <w:r>
        <w:rPr>
          <w:sz w:val="21"/>
          <w:szCs w:val="21"/>
        </w:rPr>
        <w:t xml:space="preserve">This handbook is issued to every employee upon hire and is updated periodically. It is your responsibility to remain familiar with its current version, which is always available through the Human Resources shared drive under Document ID SJL-HR-001. Printed copies may not reflect the most recent revisions; always confirm the version number against the HR portal before relying on a printed edition.</w:t>
      </w:r>
    </w:p>
    <w:p>
      <w:pPr>
        <w:spacing w:after="160" w:line="276"/>
      </w:pPr>
      <w:r>
        <w:rPr>
          <w:sz w:val="21"/>
          <w:szCs w:val="21"/>
        </w:rPr>
        <w:t xml:space="preserve">Nothing in this handbook constitutes an employment contract. Where this handbook and an individual employment contract differ, the terms of the individual contract take precedence, except where doing so would violate applicable Jordanian labor law, in which case the law prevails.</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Is this handbook legally binding?</w:t>
      </w:r>
    </w:p>
    <w:p>
      <w:pPr>
        <w:spacing w:after="160" w:line="276"/>
      </w:pPr>
      <w:r>
        <w:rPr>
          <w:sz w:val="21"/>
          <w:szCs w:val="21"/>
        </w:rPr>
        <w:t xml:space="preserve">A: No. It summarizes company policy and practice. Your signed employment contract is the binding legal document, supplemented by applicable labor law.</w:t>
      </w:r>
    </w:p>
    <w:p>
      <w:pPr>
        <w:spacing w:after="40" w:before="120"/>
      </w:pPr>
      <w:r>
        <w:rPr>
          <w:b/>
          <w:bCs/>
          <w:i/>
          <w:iCs/>
          <w:sz w:val="21"/>
          <w:szCs w:val="21"/>
        </w:rPr>
        <w:t xml:space="preserve">Q: How often is the handbook updated?</w:t>
      </w:r>
    </w:p>
    <w:p>
      <w:pPr>
        <w:spacing w:after="160" w:line="276"/>
      </w:pPr>
      <w:r>
        <w:rPr>
          <w:sz w:val="21"/>
          <w:szCs w:val="21"/>
        </w:rPr>
        <w:t xml:space="preserve">A: At minimum annually, and whenever a material policy change is approved by the Executive Office.</w:t>
      </w:r>
    </w:p>
    <w:p>
      <w:pPr>
        <w:pStyle w:val="Heading1"/>
        <w:spacing w:after="160" w:before="360"/>
      </w:pPr>
      <w:r>
        <w:rPr>
          <w:b/>
          <w:bCs/>
          <w:color w:val="1F3864"/>
          <w:sz w:val="30"/>
          <w:szCs w:val="30"/>
        </w:rPr>
        <w:t xml:space="preserve">2. Company History</w:t>
      </w:r>
    </w:p>
    <w:p>
      <w:pPr>
        <w:spacing w:after="160" w:line="276"/>
      </w:pPr>
      <w:r>
        <w:rPr>
          <w:sz w:val="21"/>
          <w:szCs w:val="21"/>
        </w:rPr>
        <w:t xml:space="preserve">SkyJet Logistics Ltd. was founded in Amman with a small fleet of delivery vehicles serving local businesses across the capital. In its early years, the company focused on same-day parcel delivery for retail clients in the Amman metropolitan area.</w:t>
      </w:r>
    </w:p>
    <w:p>
      <w:pPr>
        <w:spacing w:after="160" w:line="276"/>
      </w:pPr>
      <w:r>
        <w:rPr>
          <w:sz w:val="21"/>
          <w:szCs w:val="21"/>
        </w:rPr>
        <w:t xml:space="preserve">As demand grew, SkyJet expanded operations to Aqaba to support port-based freight handling, taking advantage of Aqaba's position as Jordan's principal maritime gateway. This allowed the company to move into freight forwarding and customs coordination services for importers and exporters.</w:t>
      </w:r>
    </w:p>
    <w:p>
      <w:pPr>
        <w:spacing w:after="160" w:line="276"/>
      </w:pPr>
      <w:r>
        <w:rPr>
          <w:sz w:val="21"/>
          <w:szCs w:val="21"/>
        </w:rPr>
        <w:t xml:space="preserve">Recognizing opportunities in Jordan's northern industrial corridor, SkyJet subsequently opened branches in Irbid and Zarqa, extending warehousing and distribution capacity to serve manufacturing clients and regional wholesalers.</w:t>
      </w:r>
    </w:p>
    <w:p>
      <w:pPr>
        <w:spacing w:after="160" w:line="276"/>
      </w:pPr>
      <w:r>
        <w:rPr>
          <w:sz w:val="21"/>
          <w:szCs w:val="21"/>
        </w:rPr>
        <w:t xml:space="preserve">Today, SkyJet Logistics Ltd. employs approximately 550 people across four branches and operates in warehousing, freight forwarding, last-mile delivery, and supply chain consulting for clients throughout the Levant region. The company's growth has been guided consistently by its founding commitment to reliability and operational discipline.</w:t>
      </w:r>
    </w:p>
    <w:p>
      <w:pPr>
        <w:pStyle w:val="Heading1"/>
        <w:spacing w:after="160" w:before="360"/>
      </w:pPr>
      <w:r>
        <w:rPr>
          <w:b/>
          <w:bCs/>
          <w:color w:val="1F3864"/>
          <w:sz w:val="30"/>
          <w:szCs w:val="30"/>
        </w:rPr>
        <w:t xml:space="preserve">3. Mission, Vision, and Core Values</w:t>
      </w:r>
    </w:p>
    <w:p>
      <w:pPr>
        <w:pStyle w:val="Heading2"/>
        <w:spacing w:after="120" w:before="260"/>
      </w:pPr>
      <w:r>
        <w:rPr>
          <w:b/>
          <w:bCs/>
          <w:color w:val="1F3864"/>
          <w:sz w:val="24"/>
          <w:szCs w:val="24"/>
        </w:rPr>
        <w:t xml:space="preserve">3.1 Mission</w:t>
      </w:r>
    </w:p>
    <w:p>
      <w:pPr>
        <w:spacing w:after="160" w:line="276"/>
      </w:pPr>
      <w:r>
        <w:rPr>
          <w:sz w:val="21"/>
          <w:szCs w:val="21"/>
        </w:rPr>
        <w:t xml:space="preserve">To move goods reliably, safely, and efficiently, enabling our clients to serve their own customers with confidence.</w:t>
      </w:r>
    </w:p>
    <w:p>
      <w:pPr>
        <w:pStyle w:val="Heading2"/>
        <w:spacing w:after="120" w:before="260"/>
      </w:pPr>
      <w:r>
        <w:rPr>
          <w:b/>
          <w:bCs/>
          <w:color w:val="1F3864"/>
          <w:sz w:val="24"/>
          <w:szCs w:val="24"/>
        </w:rPr>
        <w:t xml:space="preserve">3.2 Vision</w:t>
      </w:r>
    </w:p>
    <w:p>
      <w:pPr>
        <w:spacing w:after="160" w:line="276"/>
      </w:pPr>
      <w:r>
        <w:rPr>
          <w:sz w:val="21"/>
          <w:szCs w:val="21"/>
        </w:rPr>
        <w:t xml:space="preserve">To be the most trusted logistics partner in the region, recognized for operational excellence and the integrity of our people.</w:t>
      </w:r>
    </w:p>
    <w:p>
      <w:pPr>
        <w:pStyle w:val="Heading2"/>
        <w:spacing w:after="120" w:before="260"/>
      </w:pPr>
      <w:r>
        <w:rPr>
          <w:b/>
          <w:bCs/>
          <w:color w:val="1F3864"/>
          <w:sz w:val="24"/>
          <w:szCs w:val="24"/>
        </w:rPr>
        <w:t xml:space="preserve">3.3 Core Values</w:t>
      </w:r>
    </w:p>
    <w:p>
      <w:pPr>
        <w:spacing w:after="160" w:line="276"/>
      </w:pPr>
      <w:r>
        <w:rPr>
          <w:sz w:val="21"/>
          <w:szCs w:val="21"/>
        </w:rPr>
        <w:t xml:space="preserve">SkyJet's core values guide decision-making at every level of the organization, from warehouse floor operations to executive strategy. Employees are evaluated in part against these values during performance reviews, as described in Section 18.</w:t>
      </w:r>
    </w:p>
    <w:p>
      <w:pPr>
        <w:pStyle w:val="ListParagraph"/>
        <w:numPr>
          <w:ilvl w:val="0"/>
          <w:numId w:val="2"/>
        </w:numPr>
        <w:spacing w:after="80"/>
      </w:pPr>
      <w:r>
        <w:rPr>
          <w:sz w:val="21"/>
          <w:szCs w:val="21"/>
        </w:rPr>
        <w:t xml:space="preserve">Reliability — we do what we say we will do, and we communicate proactively when circumstances change.</w:t>
      </w:r>
    </w:p>
    <w:p>
      <w:pPr>
        <w:pStyle w:val="ListParagraph"/>
        <w:numPr>
          <w:ilvl w:val="0"/>
          <w:numId w:val="2"/>
        </w:numPr>
        <w:spacing w:after="80"/>
      </w:pPr>
      <w:r>
        <w:rPr>
          <w:sz w:val="21"/>
          <w:szCs w:val="21"/>
        </w:rPr>
        <w:t xml:space="preserve">Safety — the wellbeing of our people, our partners, and the public comes before speed or cost.</w:t>
      </w:r>
    </w:p>
    <w:p>
      <w:pPr>
        <w:pStyle w:val="ListParagraph"/>
        <w:numPr>
          <w:ilvl w:val="0"/>
          <w:numId w:val="2"/>
        </w:numPr>
        <w:spacing w:after="80"/>
      </w:pPr>
      <w:r>
        <w:rPr>
          <w:sz w:val="21"/>
          <w:szCs w:val="21"/>
        </w:rPr>
        <w:t xml:space="preserve">Integrity — we act honestly, even when no one is watching, and we hold ourselves accountable for mistakes.</w:t>
      </w:r>
    </w:p>
    <w:p>
      <w:pPr>
        <w:pStyle w:val="ListParagraph"/>
        <w:numPr>
          <w:ilvl w:val="0"/>
          <w:numId w:val="2"/>
        </w:numPr>
        <w:spacing w:after="80"/>
      </w:pPr>
      <w:r>
        <w:rPr>
          <w:sz w:val="21"/>
          <w:szCs w:val="21"/>
        </w:rPr>
        <w:t xml:space="preserve">Ownership — every employee is accountable for outcomes, not just tasks assigned to them.</w:t>
      </w:r>
    </w:p>
    <w:p>
      <w:pPr>
        <w:pStyle w:val="ListParagraph"/>
        <w:numPr>
          <w:ilvl w:val="0"/>
          <w:numId w:val="2"/>
        </w:numPr>
        <w:spacing w:after="80"/>
      </w:pPr>
      <w:r>
        <w:rPr>
          <w:sz w:val="21"/>
          <w:szCs w:val="21"/>
        </w:rPr>
        <w:t xml:space="preserve">Continuous Improvement — we look for a better way to do things every day, and we welcome feedback that helps us improve.</w:t>
      </w:r>
    </w:p>
    <w:p>
      <w:pPr>
        <w:pStyle w:val="ListParagraph"/>
        <w:numPr>
          <w:ilvl w:val="0"/>
          <w:numId w:val="2"/>
        </w:numPr>
        <w:spacing w:after="80"/>
      </w:pPr>
      <w:r>
        <w:rPr>
          <w:sz w:val="21"/>
          <w:szCs w:val="21"/>
        </w:rPr>
        <w:t xml:space="preserve">Respect — we treat colleagues, clients, and partners with courtesy regardless of role, background, or seniority.</w:t>
      </w:r>
    </w:p>
    <w:p>
      <w:pPr>
        <w:pStyle w:val="Heading1"/>
        <w:spacing w:after="160" w:before="360"/>
      </w:pPr>
      <w:r>
        <w:rPr>
          <w:b/>
          <w:bCs/>
          <w:color w:val="1F3864"/>
          <w:sz w:val="30"/>
          <w:szCs w:val="30"/>
        </w:rPr>
        <w:t xml:space="preserve">4. Organization Structure</w:t>
      </w:r>
    </w:p>
    <w:p>
      <w:pPr>
        <w:spacing w:after="160" w:line="276"/>
      </w:pPr>
      <w:r>
        <w:rPr>
          <w:sz w:val="21"/>
          <w:szCs w:val="21"/>
        </w:rPr>
        <w:t xml:space="preserve">SkyJet Logistics Ltd. is organized into seven departments: Human Resources, Information Technology, Finance, Logistics, Procurement, Customer Support, and the Executive Office. Each department is led by a Director who reports to the Chief Executive Officer.</w:t>
      </w:r>
    </w:p>
    <w:p>
      <w:pPr>
        <w:pStyle w:val="Heading2"/>
        <w:spacing w:after="120" w:before="260"/>
      </w:pPr>
      <w:r>
        <w:rPr>
          <w:b/>
          <w:bCs/>
          <w:color w:val="1F3864"/>
          <w:sz w:val="24"/>
          <w:szCs w:val="24"/>
        </w:rPr>
        <w:t xml:space="preserve">4.1 Department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tblHeader/>
        </w:trPr>
        <w:tc>
          <w:tcPr>
            <w:tcW w:type="dxa" w:w="2200"/>
            <w:shd w:fill="1F3864" w:val="clear"/>
            <w:tcMar>
              <w:top w:type="dxa" w:w="60"/>
              <w:left w:type="dxa" w:w="100"/>
              <w:bottom w:type="dxa" w:w="60"/>
              <w:right w:type="dxa" w:w="100"/>
            </w:tcMar>
            <w:vAlign w:val="center"/>
          </w:tcPr>
          <w:p>
            <w:r>
              <w:rPr>
                <w:b/>
                <w:bCs/>
                <w:color w:val="FFFFFF"/>
                <w:sz w:val="19"/>
                <w:szCs w:val="19"/>
              </w:rPr>
              <w:t xml:space="preserve">Department</w:t>
            </w:r>
          </w:p>
        </w:tc>
        <w:tc>
          <w:tcPr>
            <w:tcW w:type="dxa" w:w="4838"/>
            <w:shd w:fill="1F3864" w:val="clear"/>
            <w:tcMar>
              <w:top w:type="dxa" w:w="60"/>
              <w:left w:type="dxa" w:w="100"/>
              <w:bottom w:type="dxa" w:w="60"/>
              <w:right w:type="dxa" w:w="100"/>
            </w:tcMar>
            <w:vAlign w:val="center"/>
          </w:tcPr>
          <w:p>
            <w:r>
              <w:rPr>
                <w:b/>
                <w:bCs/>
                <w:color w:val="FFFFFF"/>
                <w:sz w:val="19"/>
                <w:szCs w:val="19"/>
              </w:rPr>
              <w:t xml:space="preserve">Primary Responsibilities</w:t>
            </w:r>
          </w:p>
        </w:tc>
        <w:tc>
          <w:tcPr>
            <w:tcW w:type="dxa" w:w="2600"/>
            <w:shd w:fill="1F3864" w:val="clear"/>
            <w:tcMar>
              <w:top w:type="dxa" w:w="60"/>
              <w:left w:type="dxa" w:w="100"/>
              <w:bottom w:type="dxa" w:w="60"/>
              <w:right w:type="dxa" w:w="100"/>
            </w:tcMar>
            <w:vAlign w:val="center"/>
          </w:tcPr>
          <w:p>
            <w:r>
              <w:rPr>
                <w:b/>
                <w:bCs/>
                <w:color w:val="FFFFFF"/>
                <w:sz w:val="19"/>
                <w:szCs w:val="19"/>
              </w:rPr>
              <w:t xml:space="preserve">Location(s)</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Human Resources</w:t>
            </w:r>
          </w:p>
        </w:tc>
        <w:tc>
          <w:tcPr>
            <w:tcW w:type="dxa" w:w="4838"/>
            <w:tcMar>
              <w:top w:type="dxa" w:w="60"/>
              <w:left w:type="dxa" w:w="100"/>
              <w:bottom w:type="dxa" w:w="60"/>
              <w:right w:type="dxa" w:w="100"/>
            </w:tcMar>
            <w:vAlign w:val="center"/>
          </w:tcPr>
          <w:p>
            <w:r>
              <w:rPr>
                <w:b w:val="false"/>
                <w:bCs w:val="false"/>
                <w:color w:val="000000"/>
                <w:sz w:val="19"/>
                <w:szCs w:val="19"/>
              </w:rPr>
              <w:t xml:space="preserve">Recruitment, employee relations, payroll coordination, training</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 with representatives at each branch</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Information Technology</w:t>
            </w:r>
          </w:p>
        </w:tc>
        <w:tc>
          <w:tcPr>
            <w:tcW w:type="dxa" w:w="4838"/>
            <w:tcMar>
              <w:top w:type="dxa" w:w="60"/>
              <w:left w:type="dxa" w:w="100"/>
              <w:bottom w:type="dxa" w:w="60"/>
              <w:right w:type="dxa" w:w="100"/>
            </w:tcMar>
            <w:vAlign w:val="center"/>
          </w:tcPr>
          <w:p>
            <w:r>
              <w:rPr>
                <w:b w:val="false"/>
                <w:bCs w:val="false"/>
                <w:color w:val="000000"/>
                <w:sz w:val="19"/>
                <w:szCs w:val="19"/>
              </w:rPr>
              <w:t xml:space="preserve">Infrastructure, cybersecurity, systems support</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Finance</w:t>
            </w:r>
          </w:p>
        </w:tc>
        <w:tc>
          <w:tcPr>
            <w:tcW w:type="dxa" w:w="4838"/>
            <w:tcMar>
              <w:top w:type="dxa" w:w="60"/>
              <w:left w:type="dxa" w:w="100"/>
              <w:bottom w:type="dxa" w:w="60"/>
              <w:right w:type="dxa" w:w="100"/>
            </w:tcMar>
            <w:vAlign w:val="center"/>
          </w:tcPr>
          <w:p>
            <w:r>
              <w:rPr>
                <w:b w:val="false"/>
                <w:bCs w:val="false"/>
                <w:color w:val="000000"/>
                <w:sz w:val="19"/>
                <w:szCs w:val="19"/>
              </w:rPr>
              <w:t xml:space="preserve">Accounting, budgeting, payroll, procurement finance</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Logistics</w:t>
            </w:r>
          </w:p>
        </w:tc>
        <w:tc>
          <w:tcPr>
            <w:tcW w:type="dxa" w:w="4838"/>
            <w:tcMar>
              <w:top w:type="dxa" w:w="60"/>
              <w:left w:type="dxa" w:w="100"/>
              <w:bottom w:type="dxa" w:w="60"/>
              <w:right w:type="dxa" w:w="100"/>
            </w:tcMar>
            <w:vAlign w:val="center"/>
          </w:tcPr>
          <w:p>
            <w:r>
              <w:rPr>
                <w:b w:val="false"/>
                <w:bCs w:val="false"/>
                <w:color w:val="000000"/>
                <w:sz w:val="19"/>
                <w:szCs w:val="19"/>
              </w:rPr>
              <w:t xml:space="preserve">Warehousing, fleet, shipping, inventory</w:t>
            </w:r>
          </w:p>
        </w:tc>
        <w:tc>
          <w:tcPr>
            <w:tcW w:type="dxa" w:w="2600"/>
            <w:tcMar>
              <w:top w:type="dxa" w:w="60"/>
              <w:left w:type="dxa" w:w="100"/>
              <w:bottom w:type="dxa" w:w="60"/>
              <w:right w:type="dxa" w:w="100"/>
            </w:tcMar>
            <w:vAlign w:val="center"/>
          </w:tcPr>
          <w:p>
            <w:r>
              <w:rPr>
                <w:b w:val="false"/>
                <w:bCs w:val="false"/>
                <w:color w:val="000000"/>
                <w:sz w:val="19"/>
                <w:szCs w:val="19"/>
              </w:rPr>
              <w:t xml:space="preserve">All branches</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Procurement</w:t>
            </w:r>
          </w:p>
        </w:tc>
        <w:tc>
          <w:tcPr>
            <w:tcW w:type="dxa" w:w="4838"/>
            <w:tcMar>
              <w:top w:type="dxa" w:w="60"/>
              <w:left w:type="dxa" w:w="100"/>
              <w:bottom w:type="dxa" w:w="60"/>
              <w:right w:type="dxa" w:w="100"/>
            </w:tcMar>
            <w:vAlign w:val="center"/>
          </w:tcPr>
          <w:p>
            <w:r>
              <w:rPr>
                <w:b w:val="false"/>
                <w:bCs w:val="false"/>
                <w:color w:val="000000"/>
                <w:sz w:val="19"/>
                <w:szCs w:val="19"/>
              </w:rPr>
              <w:t xml:space="preserve">Vendor management, purchasing, contracts</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Customer Support</w:t>
            </w:r>
          </w:p>
        </w:tc>
        <w:tc>
          <w:tcPr>
            <w:tcW w:type="dxa" w:w="4838"/>
            <w:tcMar>
              <w:top w:type="dxa" w:w="60"/>
              <w:left w:type="dxa" w:w="100"/>
              <w:bottom w:type="dxa" w:w="60"/>
              <w:right w:type="dxa" w:w="100"/>
            </w:tcMar>
            <w:vAlign w:val="center"/>
          </w:tcPr>
          <w:p>
            <w:r>
              <w:rPr>
                <w:b w:val="false"/>
                <w:bCs w:val="false"/>
                <w:color w:val="000000"/>
                <w:sz w:val="19"/>
                <w:szCs w:val="19"/>
              </w:rPr>
              <w:t xml:space="preserve">Client service, tracking inquiries, complaint resolution</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 Aqaba</w:t>
            </w:r>
          </w:p>
        </w:tc>
      </w:tr>
      <w:tr>
        <w:tc>
          <w:tcPr>
            <w:tcW w:type="dxa" w:w="2200"/>
            <w:tcMar>
              <w:top w:type="dxa" w:w="60"/>
              <w:left w:type="dxa" w:w="100"/>
              <w:bottom w:type="dxa" w:w="60"/>
              <w:right w:type="dxa" w:w="100"/>
            </w:tcMar>
            <w:vAlign w:val="center"/>
          </w:tcPr>
          <w:p>
            <w:r>
              <w:rPr>
                <w:b w:val="false"/>
                <w:bCs w:val="false"/>
                <w:color w:val="000000"/>
                <w:sz w:val="19"/>
                <w:szCs w:val="19"/>
              </w:rPr>
              <w:t xml:space="preserve">Executive Office</w:t>
            </w:r>
          </w:p>
        </w:tc>
        <w:tc>
          <w:tcPr>
            <w:tcW w:type="dxa" w:w="4838"/>
            <w:tcMar>
              <w:top w:type="dxa" w:w="60"/>
              <w:left w:type="dxa" w:w="100"/>
              <w:bottom w:type="dxa" w:w="60"/>
              <w:right w:type="dxa" w:w="100"/>
            </w:tcMar>
            <w:vAlign w:val="center"/>
          </w:tcPr>
          <w:p>
            <w:r>
              <w:rPr>
                <w:b w:val="false"/>
                <w:bCs w:val="false"/>
                <w:color w:val="000000"/>
                <w:sz w:val="19"/>
                <w:szCs w:val="19"/>
              </w:rPr>
              <w:t xml:space="preserve">Strategy, governance, executive decision-making</w:t>
            </w:r>
          </w:p>
        </w:tc>
        <w:tc>
          <w:tcPr>
            <w:tcW w:type="dxa" w:w="2600"/>
            <w:tcMar>
              <w:top w:type="dxa" w:w="60"/>
              <w:left w:type="dxa" w:w="100"/>
              <w:bottom w:type="dxa" w:w="60"/>
              <w:right w:type="dxa" w:w="100"/>
            </w:tcMar>
            <w:vAlign w:val="center"/>
          </w:tcPr>
          <w:p>
            <w:r>
              <w:rPr>
                <w:b w:val="false"/>
                <w:bCs w:val="false"/>
                <w:color w:val="000000"/>
                <w:sz w:val="19"/>
                <w:szCs w:val="19"/>
              </w:rPr>
              <w:t xml:space="preserve">Amman HQ</w:t>
            </w:r>
          </w:p>
        </w:tc>
      </w:tr>
    </w:tbl>
    <w:p>
      <w:pPr>
        <w:spacing w:after="160" w:line="276"/>
      </w:pPr>
      <w:r>
        <w:rPr>
          <w:sz w:val="21"/>
          <w:szCs w:val="21"/>
        </w:rPr>
        <w:t xml:space="preserve">A full organization chart showing current reporting lines and named role holders is maintained separately; see the Organization Chart (Document ID SJL-SHR-004) for the most current version, as this handbook is not updated each time a personnel change occurs.</w:t>
      </w:r>
    </w:p>
    <w:p>
      <w:pPr>
        <w:pStyle w:val="Heading2"/>
        <w:spacing w:after="120" w:before="260"/>
      </w:pPr>
      <w:r>
        <w:rPr>
          <w:b/>
          <w:bCs/>
          <w:color w:val="1F3864"/>
          <w:sz w:val="24"/>
          <w:szCs w:val="24"/>
        </w:rPr>
        <w:t xml:space="preserve">4.2 Branch Offices</w:t>
      </w:r>
    </w:p>
    <w:p>
      <w:pPr>
        <w:spacing w:after="160" w:line="276"/>
      </w:pPr>
      <w:r>
        <w:rPr>
          <w:sz w:val="21"/>
          <w:szCs w:val="21"/>
        </w:rPr>
        <w:t xml:space="preserve">SkyJet operates from four physical locations. The Amman headquarters houses the Executive Office and most corporate departments. The Aqaba branch is oriented around port logistics and international freight. The Irbid and Zarqa branches primarily support warehousing and regional distribution for northern industrial clients.</w:t>
      </w:r>
    </w:p>
    <w:p>
      <w:pPr>
        <w:pStyle w:val="Heading1"/>
        <w:spacing w:after="160" w:before="360"/>
      </w:pPr>
      <w:r>
        <w:rPr>
          <w:b/>
          <w:bCs/>
          <w:color w:val="1F3864"/>
          <w:sz w:val="30"/>
          <w:szCs w:val="30"/>
        </w:rPr>
        <w:t xml:space="preserve">5. Employment Types</w:t>
      </w:r>
    </w:p>
    <w:p>
      <w:pPr>
        <w:spacing w:after="160" w:line="276"/>
      </w:pPr>
      <w:r>
        <w:rPr>
          <w:sz w:val="21"/>
          <w:szCs w:val="21"/>
        </w:rPr>
        <w:t xml:space="preserve">SkyJet Logistics Ltd. engages employees under several categories, each carrying different entitlements. Your specific employment type is stated in your employment contract and confirmed in your offer letter, as described in the Recruitment Manual (Document ID SJL-HR-004).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38"/>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Employment Type</w:t>
            </w:r>
          </w:p>
        </w:tc>
        <w:tc>
          <w:tcPr>
            <w:tcW w:type="dxa" w:w="4000"/>
            <w:shd w:fill="1F3864" w:val="clear"/>
            <w:tcMar>
              <w:top w:type="dxa" w:w="60"/>
              <w:left w:type="dxa" w:w="100"/>
              <w:bottom w:type="dxa" w:w="60"/>
              <w:right w:type="dxa" w:w="100"/>
            </w:tcMar>
            <w:vAlign w:val="center"/>
          </w:tcPr>
          <w:p>
            <w:r>
              <w:rPr>
                <w:b/>
                <w:bCs/>
                <w:color w:val="FFFFFF"/>
                <w:sz w:val="19"/>
                <w:szCs w:val="19"/>
              </w:rPr>
              <w:t xml:space="preserve">Description</w:t>
            </w:r>
          </w:p>
        </w:tc>
        <w:tc>
          <w:tcPr>
            <w:tcW w:type="dxa" w:w="3238"/>
            <w:shd w:fill="1F3864" w:val="clear"/>
            <w:tcMar>
              <w:top w:type="dxa" w:w="60"/>
              <w:left w:type="dxa" w:w="100"/>
              <w:bottom w:type="dxa" w:w="60"/>
              <w:right w:type="dxa" w:w="100"/>
            </w:tcMar>
            <w:vAlign w:val="center"/>
          </w:tcPr>
          <w:p>
            <w:r>
              <w:rPr>
                <w:b/>
                <w:bCs/>
                <w:color w:val="FFFFFF"/>
                <w:sz w:val="19"/>
                <w:szCs w:val="19"/>
              </w:rPr>
              <w:t xml:space="preserve">Benefits Eligibility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Full-Time Permanent</w:t>
            </w:r>
          </w:p>
        </w:tc>
        <w:tc>
          <w:tcPr>
            <w:tcW w:type="dxa" w:w="4000"/>
            <w:tcMar>
              <w:top w:type="dxa" w:w="60"/>
              <w:left w:type="dxa" w:w="100"/>
              <w:bottom w:type="dxa" w:w="60"/>
              <w:right w:type="dxa" w:w="100"/>
            </w:tcMar>
            <w:vAlign w:val="center"/>
          </w:tcPr>
          <w:p>
            <w:r>
              <w:rPr>
                <w:b w:val="false"/>
                <w:bCs w:val="false"/>
                <w:color w:val="000000"/>
                <w:sz w:val="19"/>
                <w:szCs w:val="19"/>
              </w:rPr>
              <w:t xml:space="preserve">Minimum 40 hours/week, indefinite contract</w:t>
            </w:r>
          </w:p>
        </w:tc>
        <w:tc>
          <w:tcPr>
            <w:tcW w:type="dxa" w:w="3238"/>
            <w:tcMar>
              <w:top w:type="dxa" w:w="60"/>
              <w:left w:type="dxa" w:w="100"/>
              <w:bottom w:type="dxa" w:w="60"/>
              <w:right w:type="dxa" w:w="100"/>
            </w:tcMar>
            <w:vAlign w:val="center"/>
          </w:tcPr>
          <w:p>
            <w:r>
              <w:rPr>
                <w:b w:val="false"/>
                <w:bCs w:val="false"/>
                <w:color w:val="000000"/>
                <w:sz w:val="19"/>
                <w:szCs w:val="19"/>
              </w:rPr>
              <w:t xml:space="preserve">Full benefits after probation</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Full-Time Fixed-Term</w:t>
            </w:r>
          </w:p>
        </w:tc>
        <w:tc>
          <w:tcPr>
            <w:tcW w:type="dxa" w:w="4000"/>
            <w:tcMar>
              <w:top w:type="dxa" w:w="60"/>
              <w:left w:type="dxa" w:w="100"/>
              <w:bottom w:type="dxa" w:w="60"/>
              <w:right w:type="dxa" w:w="100"/>
            </w:tcMar>
            <w:vAlign w:val="center"/>
          </w:tcPr>
          <w:p>
            <w:r>
              <w:rPr>
                <w:b w:val="false"/>
                <w:bCs w:val="false"/>
                <w:color w:val="000000"/>
                <w:sz w:val="19"/>
                <w:szCs w:val="19"/>
              </w:rPr>
              <w:t xml:space="preserve">40 hours/week, defined end date</w:t>
            </w:r>
          </w:p>
        </w:tc>
        <w:tc>
          <w:tcPr>
            <w:tcW w:type="dxa" w:w="3238"/>
            <w:tcMar>
              <w:top w:type="dxa" w:w="60"/>
              <w:left w:type="dxa" w:w="100"/>
              <w:bottom w:type="dxa" w:w="60"/>
              <w:right w:type="dxa" w:w="100"/>
            </w:tcMar>
            <w:vAlign w:val="center"/>
          </w:tcPr>
          <w:p>
            <w:r>
              <w:rPr>
                <w:b w:val="false"/>
                <w:bCs w:val="false"/>
                <w:color w:val="000000"/>
                <w:sz w:val="19"/>
                <w:szCs w:val="19"/>
              </w:rPr>
              <w:t xml:space="preserve">Full benefits, pro-rated to contract length</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Part-Time</w:t>
            </w:r>
          </w:p>
        </w:tc>
        <w:tc>
          <w:tcPr>
            <w:tcW w:type="dxa" w:w="4000"/>
            <w:tcMar>
              <w:top w:type="dxa" w:w="60"/>
              <w:left w:type="dxa" w:w="100"/>
              <w:bottom w:type="dxa" w:w="60"/>
              <w:right w:type="dxa" w:w="100"/>
            </w:tcMar>
            <w:vAlign w:val="center"/>
          </w:tcPr>
          <w:p>
            <w:r>
              <w:rPr>
                <w:b w:val="false"/>
                <w:bCs w:val="false"/>
                <w:color w:val="000000"/>
                <w:sz w:val="19"/>
                <w:szCs w:val="19"/>
              </w:rPr>
              <w:t xml:space="preserve">Below 30 hours/week</w:t>
            </w:r>
          </w:p>
        </w:tc>
        <w:tc>
          <w:tcPr>
            <w:tcW w:type="dxa" w:w="3238"/>
            <w:tcMar>
              <w:top w:type="dxa" w:w="60"/>
              <w:left w:type="dxa" w:w="100"/>
              <w:bottom w:type="dxa" w:w="60"/>
              <w:right w:type="dxa" w:w="100"/>
            </w:tcMar>
            <w:vAlign w:val="center"/>
          </w:tcPr>
          <w:p>
            <w:r>
              <w:rPr>
                <w:b w:val="false"/>
                <w:bCs w:val="false"/>
                <w:color w:val="000000"/>
                <w:sz w:val="19"/>
                <w:szCs w:val="19"/>
              </w:rPr>
              <w:t xml:space="preserve">Limited benefits; see Benefits Guide</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Temporary/Seasonal</w:t>
            </w:r>
          </w:p>
        </w:tc>
        <w:tc>
          <w:tcPr>
            <w:tcW w:type="dxa" w:w="4000"/>
            <w:tcMar>
              <w:top w:type="dxa" w:w="60"/>
              <w:left w:type="dxa" w:w="100"/>
              <w:bottom w:type="dxa" w:w="60"/>
              <w:right w:type="dxa" w:w="100"/>
            </w:tcMar>
            <w:vAlign w:val="center"/>
          </w:tcPr>
          <w:p>
            <w:r>
              <w:rPr>
                <w:b w:val="false"/>
                <w:bCs w:val="false"/>
                <w:color w:val="000000"/>
                <w:sz w:val="19"/>
                <w:szCs w:val="19"/>
              </w:rPr>
              <w:t xml:space="preserve">Warehouse peak-season support, typically 1-4 months</w:t>
            </w:r>
          </w:p>
        </w:tc>
        <w:tc>
          <w:tcPr>
            <w:tcW w:type="dxa" w:w="3238"/>
            <w:tcMar>
              <w:top w:type="dxa" w:w="60"/>
              <w:left w:type="dxa" w:w="100"/>
              <w:bottom w:type="dxa" w:w="60"/>
              <w:right w:type="dxa" w:w="100"/>
            </w:tcMar>
            <w:vAlign w:val="center"/>
          </w:tcPr>
          <w:p>
            <w:r>
              <w:rPr>
                <w:b w:val="false"/>
                <w:bCs w:val="false"/>
                <w:color w:val="000000"/>
                <w:sz w:val="19"/>
                <w:szCs w:val="19"/>
              </w:rPr>
              <w:t xml:space="preserve">Statutory benefits only</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Contractor/Consultant</w:t>
            </w:r>
          </w:p>
        </w:tc>
        <w:tc>
          <w:tcPr>
            <w:tcW w:type="dxa" w:w="4000"/>
            <w:tcMar>
              <w:top w:type="dxa" w:w="60"/>
              <w:left w:type="dxa" w:w="100"/>
              <w:bottom w:type="dxa" w:w="60"/>
              <w:right w:type="dxa" w:w="100"/>
            </w:tcMar>
            <w:vAlign w:val="center"/>
          </w:tcPr>
          <w:p>
            <w:r>
              <w:rPr>
                <w:b w:val="false"/>
                <w:bCs w:val="false"/>
                <w:color w:val="000000"/>
                <w:sz w:val="19"/>
                <w:szCs w:val="19"/>
              </w:rPr>
              <w:t xml:space="preserve">Engaged via Procurement for defined deliverables</w:t>
            </w:r>
          </w:p>
        </w:tc>
        <w:tc>
          <w:tcPr>
            <w:tcW w:type="dxa" w:w="3238"/>
            <w:tcMar>
              <w:top w:type="dxa" w:w="60"/>
              <w:left w:type="dxa" w:w="100"/>
              <w:bottom w:type="dxa" w:w="60"/>
              <w:right w:type="dxa" w:w="100"/>
            </w:tcMar>
            <w:vAlign w:val="center"/>
          </w:tcPr>
          <w:p>
            <w:r>
              <w:rPr>
                <w:b w:val="false"/>
                <w:bCs w:val="false"/>
                <w:color w:val="000000"/>
                <w:sz w:val="19"/>
                <w:szCs w:val="19"/>
              </w:rPr>
              <w:t xml:space="preserve">Not eligible; governed by service agreement</w:t>
            </w:r>
          </w:p>
        </w:tc>
      </w:tr>
    </w:tbl>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Can a temporary contract convert to permanent?</w:t>
      </w:r>
    </w:p>
    <w:p>
      <w:pPr>
        <w:spacing w:after="160" w:line="276"/>
      </w:pPr>
      <w:r>
        <w:rPr>
          <w:sz w:val="21"/>
          <w:szCs w:val="21"/>
        </w:rPr>
        <w:t xml:space="preserve">A: Yes, subject to a role opening and manager recommendation. HR will initiate a new offer process rather than automatically converting the existing contract.</w:t>
      </w:r>
    </w:p>
    <w:p>
      <w:pPr>
        <w:spacing w:after="40" w:before="120"/>
      </w:pPr>
      <w:r>
        <w:rPr>
          <w:b/>
          <w:bCs/>
          <w:i/>
          <w:iCs/>
          <w:sz w:val="21"/>
          <w:szCs w:val="21"/>
        </w:rPr>
        <w:t xml:space="preserve">Q: Do part-time employees accrue annual leave?</w:t>
      </w:r>
    </w:p>
    <w:p>
      <w:pPr>
        <w:spacing w:after="160" w:line="276"/>
      </w:pPr>
      <w:r>
        <w:rPr>
          <w:sz w:val="21"/>
          <w:szCs w:val="21"/>
        </w:rPr>
        <w:t xml:space="preserve">A: Yes, on a pro-rated basis proportional to contracted hours. See the Leave Policy (SJL-HR-002) for calculation examples.</w:t>
      </w:r>
    </w:p>
    <w:p>
      <w:pPr>
        <w:pStyle w:val="Heading1"/>
        <w:spacing w:after="160" w:before="360"/>
      </w:pPr>
      <w:r>
        <w:rPr>
          <w:b/>
          <w:bCs/>
          <w:color w:val="1F3864"/>
          <w:sz w:val="30"/>
          <w:szCs w:val="30"/>
        </w:rPr>
        <w:t xml:space="preserve">6. Working Hours and Attendance</w:t>
      </w:r>
    </w:p>
    <w:p>
      <w:pPr>
        <w:pStyle w:val="Heading2"/>
        <w:spacing w:after="120" w:before="260"/>
      </w:pPr>
      <w:r>
        <w:rPr>
          <w:b/>
          <w:bCs/>
          <w:color w:val="1F3864"/>
          <w:sz w:val="24"/>
          <w:szCs w:val="24"/>
        </w:rPr>
        <w:t xml:space="preserve">6.1 Standard Hours</w:t>
      </w:r>
    </w:p>
    <w:p>
      <w:pPr>
        <w:spacing w:after="160" w:line="276"/>
      </w:pPr>
      <w:r>
        <w:rPr>
          <w:sz w:val="21"/>
          <w:szCs w:val="21"/>
        </w:rPr>
        <w:t xml:space="preserve">Standard office working hours are Sunday through Thursday, 8:30 AM to 4:30 PM, with a one-hour unpaid lunch break. Warehouse and logistics staff follow shift schedules published by their branch Logistics Manager, which may include weekend rotations to support delivery operations, in line with the Warehouse SOP (Document ID SJL-LOG-001).</w:t>
      </w:r>
    </w:p>
    <w:p>
      <w:pPr>
        <w:pStyle w:val="Heading2"/>
        <w:spacing w:after="120" w:before="260"/>
      </w:pPr>
      <w:r>
        <w:rPr>
          <w:b/>
          <w:bCs/>
          <w:color w:val="1F3864"/>
          <w:sz w:val="24"/>
          <w:szCs w:val="24"/>
        </w:rPr>
        <w:t xml:space="preserve">6.2 Attendance Recording</w:t>
      </w:r>
    </w:p>
    <w:p>
      <w:pPr>
        <w:spacing w:after="160" w:line="276"/>
      </w:pPr>
      <w:r>
        <w:rPr>
          <w:sz w:val="21"/>
          <w:szCs w:val="21"/>
        </w:rPr>
        <w:t xml:space="preserve">Employees are expected to record attendance through the SkyJet timekeeping system at the start and end of each shift, including breaks where applicable. Attendance records are used for payroll calculation and are reviewed monthly by department managers.</w:t>
      </w:r>
    </w:p>
    <w:p>
      <w:pPr>
        <w:pStyle w:val="Heading2"/>
        <w:spacing w:after="120" w:before="260"/>
      </w:pPr>
      <w:r>
        <w:rPr>
          <w:b/>
          <w:bCs/>
          <w:color w:val="1F3864"/>
          <w:sz w:val="24"/>
          <w:szCs w:val="24"/>
        </w:rPr>
        <w:t xml:space="preserve">6.3 Lateness and Absence</w:t>
      </w:r>
    </w:p>
    <w:p>
      <w:pPr>
        <w:spacing w:after="160" w:line="276"/>
      </w:pPr>
      <w:r>
        <w:rPr>
          <w:sz w:val="21"/>
          <w:szCs w:val="21"/>
        </w:rPr>
        <w:t xml:space="preserve">Employees who expect to be late or absent must notify their direct manager before the start of their shift wherever possible. Repeated unrecorded attendance or unexplained absence may be treated as a Code of Conduct matter under Section 8 and may result in disciplinary action up to and including termination.</w:t>
      </w:r>
    </w:p>
    <w:p>
      <w:pPr>
        <w:pStyle w:val="Heading2"/>
        <w:spacing w:after="120" w:before="260"/>
      </w:pPr>
      <w:r>
        <w:rPr>
          <w:b/>
          <w:bCs/>
          <w:color w:val="1F3864"/>
          <w:sz w:val="24"/>
          <w:szCs w:val="24"/>
        </w:rPr>
        <w:t xml:space="preserve">6.4 Overtime</w:t>
      </w:r>
    </w:p>
    <w:p>
      <w:pPr>
        <w:spacing w:after="160" w:line="276"/>
      </w:pPr>
      <w:r>
        <w:rPr>
          <w:sz w:val="21"/>
          <w:szCs w:val="21"/>
        </w:rPr>
        <w:t xml:space="preserve">Overtime must be pre-approved by a direct manager and is compensated in accordance with Jordanian labor law and the Payroll Policy (Document ID SJL-FIN-004). Unapproved overtime will not be compensated.</w:t>
      </w:r>
    </w:p>
    <w:p>
      <w:pPr>
        <w:pStyle w:val="Heading1"/>
        <w:spacing w:after="160" w:before="360"/>
      </w:pPr>
      <w:r>
        <w:rPr>
          <w:b/>
          <w:bCs/>
          <w:color w:val="1F3864"/>
          <w:sz w:val="30"/>
          <w:szCs w:val="30"/>
        </w:rPr>
        <w:t xml:space="preserve">7. Dress Code</w:t>
      </w:r>
    </w:p>
    <w:p>
      <w:pPr>
        <w:spacing w:after="160" w:line="276"/>
      </w:pPr>
      <w:r>
        <w:rPr>
          <w:sz w:val="21"/>
          <w:szCs w:val="21"/>
        </w:rPr>
        <w:t xml:space="preserve">Office-based employees are expected to maintain business casual attire during regular working hours and business formal attire when meeting clients or attending executive presentations.</w:t>
      </w:r>
    </w:p>
    <w:p>
      <w:pPr>
        <w:spacing w:after="160" w:line="276"/>
      </w:pPr>
      <w:r>
        <w:rPr>
          <w:sz w:val="21"/>
          <w:szCs w:val="21"/>
        </w:rPr>
        <w:t xml:space="preserve">Warehouse and driving staff must wear the safety and branded uniform issued by their branch, including high-visibility vests, closed-toe safety footwear, and any additional protective equipment required for their specific work area, in accordance with the Warehouse SOP (Document ID SJL-LOG-001). Failure to wear required safety equipment may result in restricted access to warehouse zones.</w:t>
      </w:r>
    </w:p>
    <w:p>
      <w:pPr>
        <w:pStyle w:val="Heading1"/>
        <w:spacing w:after="160" w:before="360"/>
      </w:pPr>
      <w:r>
        <w:rPr>
          <w:b/>
          <w:bCs/>
          <w:color w:val="1F3864"/>
          <w:sz w:val="30"/>
          <w:szCs w:val="30"/>
        </w:rPr>
        <w:t xml:space="preserve">8. Code of Conduct</w:t>
      </w:r>
    </w:p>
    <w:p>
      <w:pPr>
        <w:spacing w:after="160" w:line="276"/>
      </w:pPr>
      <w:r>
        <w:rPr>
          <w:sz w:val="21"/>
          <w:szCs w:val="21"/>
        </w:rPr>
        <w:t xml:space="preserve">All employees are expected to act with honesty, respect, and professionalism in every interaction, whether with colleagues, clients, vendors, or members of the public.</w:t>
      </w:r>
    </w:p>
    <w:p>
      <w:pPr>
        <w:pStyle w:val="Heading2"/>
        <w:spacing w:after="120" w:before="260"/>
      </w:pPr>
      <w:r>
        <w:rPr>
          <w:b/>
          <w:bCs/>
          <w:color w:val="1F3864"/>
          <w:sz w:val="24"/>
          <w:szCs w:val="24"/>
        </w:rPr>
        <w:t xml:space="preserve">8.1 Prohibited Conduct</w:t>
      </w:r>
    </w:p>
    <w:p>
      <w:pPr>
        <w:pStyle w:val="ListParagraph"/>
        <w:numPr>
          <w:ilvl w:val="0"/>
          <w:numId w:val="2"/>
        </w:numPr>
        <w:spacing w:after="80"/>
      </w:pPr>
      <w:r>
        <w:rPr>
          <w:sz w:val="21"/>
          <w:szCs w:val="21"/>
        </w:rPr>
        <w:t xml:space="preserve">Harassment, discrimination, or retaliation of any kind based on gender, religion, nationality, disability, or any other protected characteristic.</w:t>
      </w:r>
    </w:p>
    <w:p>
      <w:pPr>
        <w:pStyle w:val="ListParagraph"/>
        <w:numPr>
          <w:ilvl w:val="0"/>
          <w:numId w:val="2"/>
        </w:numPr>
        <w:spacing w:after="80"/>
      </w:pPr>
      <w:r>
        <w:rPr>
          <w:sz w:val="21"/>
          <w:szCs w:val="21"/>
        </w:rPr>
        <w:t xml:space="preserve">Falsification of company records, including timesheets, expense reports, or safety inspection logs.</w:t>
      </w:r>
    </w:p>
    <w:p>
      <w:pPr>
        <w:pStyle w:val="ListParagraph"/>
        <w:numPr>
          <w:ilvl w:val="0"/>
          <w:numId w:val="2"/>
        </w:numPr>
        <w:spacing w:after="80"/>
      </w:pPr>
      <w:r>
        <w:rPr>
          <w:sz w:val="21"/>
          <w:szCs w:val="21"/>
        </w:rPr>
        <w:t xml:space="preserve">Use of company assets for personal financial gain without authorization.</w:t>
      </w:r>
    </w:p>
    <w:p>
      <w:pPr>
        <w:pStyle w:val="ListParagraph"/>
        <w:numPr>
          <w:ilvl w:val="0"/>
          <w:numId w:val="2"/>
        </w:numPr>
        <w:spacing w:after="80"/>
      </w:pPr>
      <w:r>
        <w:rPr>
          <w:sz w:val="21"/>
          <w:szCs w:val="21"/>
        </w:rPr>
        <w:t xml:space="preserve">Acceptance of gifts or favors from vendors or clients that could reasonably be seen to influence business decisions; see the Procurement &amp; Purchasing Guide (SJL-FIN-005) for gift thresholds.</w:t>
      </w:r>
    </w:p>
    <w:p>
      <w:pPr>
        <w:pStyle w:val="Heading2"/>
        <w:spacing w:after="120" w:before="260"/>
      </w:pPr>
      <w:r>
        <w:rPr>
          <w:b/>
          <w:bCs/>
          <w:color w:val="1F3864"/>
          <w:sz w:val="24"/>
          <w:szCs w:val="24"/>
        </w:rPr>
        <w:t xml:space="preserve">8.2 Reporting Violations</w:t>
      </w:r>
    </w:p>
    <w:p>
      <w:pPr>
        <w:spacing w:after="160" w:line="276"/>
      </w:pPr>
      <w:r>
        <w:rPr>
          <w:sz w:val="21"/>
          <w:szCs w:val="21"/>
        </w:rPr>
        <w:t xml:space="preserve">Employees who witness or experience a violation of this Code of Conduct should report it through the Grievance Process described in Section 15, or, for matters involving suspected fraud or serious ethical breaches, directly to the Compliance Officer. This Code of Conduct operates alongside the Code of Ethics (Document ID SJL-SHR-009) and the IT Acceptable Use Policy (Document ID SJL-IT-003).</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Can I report a violation anonymously?</w:t>
      </w:r>
    </w:p>
    <w:p>
      <w:pPr>
        <w:spacing w:after="160" w:line="276"/>
      </w:pPr>
      <w:r>
        <w:rPr>
          <w:sz w:val="21"/>
          <w:szCs w:val="21"/>
        </w:rPr>
        <w:t xml:space="preserve">A: Yes. Reports may be submitted anonymously through the channel described in the Code of Ethics (SJL-SHR-009). Anonymous reports are still investigated, though follow-up questions may be limited.</w:t>
      </w:r>
    </w:p>
    <w:p>
      <w:pPr>
        <w:pStyle w:val="Heading1"/>
        <w:spacing w:after="160" w:before="360"/>
      </w:pPr>
      <w:r>
        <w:rPr>
          <w:b/>
          <w:bCs/>
          <w:color w:val="1F3864"/>
          <w:sz w:val="30"/>
          <w:szCs w:val="30"/>
        </w:rPr>
        <w:t xml:space="preserve">9. Leave Policy Overview</w:t>
      </w:r>
    </w:p>
    <w:p>
      <w:pPr>
        <w:spacing w:after="160" w:line="276"/>
      </w:pPr>
      <w:r>
        <w:rPr>
          <w:sz w:val="21"/>
          <w:szCs w:val="21"/>
        </w:rPr>
        <w:t xml:space="preserve">SkyJet Logistics Ltd. provides several categories of leave to support employee wellbeing and family obligations. This section summarizes leave entitlements; complete procedures, approval workflows, and worked examples are provided in the standalone Leave Policy (Document ID SJL-HR-002), which should be read alongside this handbook.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shd w:fill="1F3864" w:val="clear"/>
            <w:tcMar>
              <w:top w:type="dxa" w:w="60"/>
              <w:left w:type="dxa" w:w="100"/>
              <w:bottom w:type="dxa" w:w="60"/>
              <w:right w:type="dxa" w:w="100"/>
            </w:tcMar>
            <w:vAlign w:val="center"/>
          </w:tcPr>
          <w:p>
            <w:r>
              <w:rPr>
                <w:b/>
                <w:bCs/>
                <w:color w:val="FFFFFF"/>
                <w:sz w:val="19"/>
                <w:szCs w:val="19"/>
              </w:rPr>
              <w:t xml:space="preserve">Leave Type</w:t>
            </w:r>
          </w:p>
        </w:tc>
        <w:tc>
          <w:tcPr>
            <w:tcW w:type="dxa" w:w="3600"/>
            <w:shd w:fill="1F3864" w:val="clear"/>
            <w:tcMar>
              <w:top w:type="dxa" w:w="60"/>
              <w:left w:type="dxa" w:w="100"/>
              <w:bottom w:type="dxa" w:w="60"/>
              <w:right w:type="dxa" w:w="100"/>
            </w:tcMar>
            <w:vAlign w:val="center"/>
          </w:tcPr>
          <w:p>
            <w:r>
              <w:rPr>
                <w:b/>
                <w:bCs/>
                <w:color w:val="FFFFFF"/>
                <w:sz w:val="19"/>
                <w:szCs w:val="19"/>
              </w:rPr>
              <w:t xml:space="preserve">Annual Entitlement</w:t>
            </w:r>
          </w:p>
        </w:tc>
        <w:tc>
          <w:tcPr>
            <w:tcW w:type="dxa" w:w="3638"/>
            <w:shd w:fill="1F3864" w:val="clear"/>
            <w:tcMar>
              <w:top w:type="dxa" w:w="60"/>
              <w:left w:type="dxa" w:w="100"/>
              <w:bottom w:type="dxa" w:w="60"/>
              <w:right w:type="dxa" w:w="100"/>
            </w:tcMar>
            <w:vAlign w:val="center"/>
          </w:tcPr>
          <w:p>
            <w:r>
              <w:rPr>
                <w:b/>
                <w:bCs/>
                <w:color w:val="FFFFFF"/>
                <w:sz w:val="19"/>
                <w:szCs w:val="19"/>
              </w:rPr>
              <w:t xml:space="preserve">Approval Required From</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Annual Leave</w:t>
            </w:r>
          </w:p>
        </w:tc>
        <w:tc>
          <w:tcPr>
            <w:tcW w:type="dxa" w:w="3600"/>
            <w:tcMar>
              <w:top w:type="dxa" w:w="60"/>
              <w:left w:type="dxa" w:w="100"/>
              <w:bottom w:type="dxa" w:w="60"/>
              <w:right w:type="dxa" w:w="100"/>
            </w:tcMar>
            <w:vAlign w:val="center"/>
          </w:tcPr>
          <w:p>
            <w:r>
              <w:rPr>
                <w:b w:val="false"/>
                <w:bCs w:val="false"/>
                <w:color w:val="000000"/>
                <w:sz w:val="19"/>
                <w:szCs w:val="19"/>
              </w:rPr>
              <w:t xml:space="preserve">21 working days</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Emergency Leave</w:t>
            </w:r>
          </w:p>
        </w:tc>
        <w:tc>
          <w:tcPr>
            <w:tcW w:type="dxa" w:w="3600"/>
            <w:tcMar>
              <w:top w:type="dxa" w:w="60"/>
              <w:left w:type="dxa" w:w="100"/>
              <w:bottom w:type="dxa" w:w="60"/>
              <w:right w:type="dxa" w:w="100"/>
            </w:tcMar>
            <w:vAlign w:val="center"/>
          </w:tcPr>
          <w:p>
            <w:r>
              <w:rPr>
                <w:b w:val="false"/>
                <w:bCs w:val="false"/>
                <w:color w:val="000000"/>
                <w:sz w:val="19"/>
                <w:szCs w:val="19"/>
              </w:rPr>
              <w:t xml:space="preserve">3 days paid per year</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Sick Leave</w:t>
            </w:r>
          </w:p>
        </w:tc>
        <w:tc>
          <w:tcPr>
            <w:tcW w:type="dxa" w:w="3600"/>
            <w:tcMar>
              <w:top w:type="dxa" w:w="60"/>
              <w:left w:type="dxa" w:w="100"/>
              <w:bottom w:type="dxa" w:w="60"/>
              <w:right w:type="dxa" w:w="100"/>
            </w:tcMar>
            <w:vAlign w:val="center"/>
          </w:tcPr>
          <w:p>
            <w:r>
              <w:rPr>
                <w:b w:val="false"/>
                <w:bCs w:val="false"/>
                <w:color w:val="000000"/>
                <w:sz w:val="19"/>
                <w:szCs w:val="19"/>
              </w:rPr>
              <w:t xml:space="preserve">14 days paid, medical note after 2 consecutive days</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 + HR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Maternity Leave</w:t>
            </w:r>
          </w:p>
        </w:tc>
        <w:tc>
          <w:tcPr>
            <w:tcW w:type="dxa" w:w="3600"/>
            <w:tcMar>
              <w:top w:type="dxa" w:w="60"/>
              <w:left w:type="dxa" w:w="100"/>
              <w:bottom w:type="dxa" w:w="60"/>
              <w:right w:type="dxa" w:w="100"/>
            </w:tcMar>
            <w:vAlign w:val="center"/>
          </w:tcPr>
          <w:p>
            <w:r>
              <w:rPr>
                <w:b w:val="false"/>
                <w:bCs w:val="false"/>
                <w:color w:val="000000"/>
                <w:sz w:val="19"/>
                <w:szCs w:val="19"/>
              </w:rPr>
              <w:t xml:space="preserve">70 calendar days paid</w:t>
            </w:r>
          </w:p>
        </w:tc>
        <w:tc>
          <w:tcPr>
            <w:tcW w:type="dxa" w:w="3638"/>
            <w:tcMar>
              <w:top w:type="dxa" w:w="60"/>
              <w:left w:type="dxa" w:w="100"/>
              <w:bottom w:type="dxa" w:w="60"/>
              <w:right w:type="dxa" w:w="100"/>
            </w:tcMar>
            <w:vAlign w:val="center"/>
          </w:tcPr>
          <w:p>
            <w:r>
              <w:rPr>
                <w:b w:val="false"/>
                <w:bCs w:val="false"/>
                <w:color w:val="000000"/>
                <w:sz w:val="19"/>
                <w:szCs w:val="19"/>
              </w:rPr>
              <w:t xml:space="preserve">HR Director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Paternity Leave</w:t>
            </w:r>
          </w:p>
        </w:tc>
        <w:tc>
          <w:tcPr>
            <w:tcW w:type="dxa" w:w="3600"/>
            <w:tcMar>
              <w:top w:type="dxa" w:w="60"/>
              <w:left w:type="dxa" w:w="100"/>
              <w:bottom w:type="dxa" w:w="60"/>
              <w:right w:type="dxa" w:w="100"/>
            </w:tcMar>
            <w:vAlign w:val="center"/>
          </w:tcPr>
          <w:p>
            <w:r>
              <w:rPr>
                <w:b w:val="false"/>
                <w:bCs w:val="false"/>
                <w:color w:val="000000"/>
                <w:sz w:val="19"/>
                <w:szCs w:val="19"/>
              </w:rPr>
              <w:t xml:space="preserve">3 working days paid</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Bereavement Leave</w:t>
            </w:r>
          </w:p>
        </w:tc>
        <w:tc>
          <w:tcPr>
            <w:tcW w:type="dxa" w:w="3600"/>
            <w:tcMar>
              <w:top w:type="dxa" w:w="60"/>
              <w:left w:type="dxa" w:w="100"/>
              <w:bottom w:type="dxa" w:w="60"/>
              <w:right w:type="dxa" w:w="100"/>
            </w:tcMar>
            <w:vAlign w:val="center"/>
          </w:tcPr>
          <w:p>
            <w:r>
              <w:rPr>
                <w:b w:val="false"/>
                <w:bCs w:val="false"/>
                <w:color w:val="000000"/>
                <w:sz w:val="19"/>
                <w:szCs w:val="19"/>
              </w:rPr>
              <w:t xml:space="preserve">3 working days (immediate family)</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w:t>
            </w:r>
          </w:p>
        </w:tc>
      </w:tr>
      <w:tr>
        <w:tc>
          <w:tcPr>
            <w:tcW w:type="dxa" w:w="2400"/>
            <w:tcMar>
              <w:top w:type="dxa" w:w="60"/>
              <w:left w:type="dxa" w:w="100"/>
              <w:bottom w:type="dxa" w:w="60"/>
              <w:right w:type="dxa" w:w="100"/>
            </w:tcMar>
            <w:vAlign w:val="center"/>
          </w:tcPr>
          <w:p>
            <w:r>
              <w:rPr>
                <w:b w:val="false"/>
                <w:bCs w:val="false"/>
                <w:color w:val="000000"/>
                <w:sz w:val="19"/>
                <w:szCs w:val="19"/>
              </w:rPr>
              <w:t xml:space="preserve">Marriage Leave</w:t>
            </w:r>
          </w:p>
        </w:tc>
        <w:tc>
          <w:tcPr>
            <w:tcW w:type="dxa" w:w="3600"/>
            <w:tcMar>
              <w:top w:type="dxa" w:w="60"/>
              <w:left w:type="dxa" w:w="100"/>
              <w:bottom w:type="dxa" w:w="60"/>
              <w:right w:type="dxa" w:w="100"/>
            </w:tcMar>
            <w:vAlign w:val="center"/>
          </w:tcPr>
          <w:p>
            <w:r>
              <w:rPr>
                <w:b w:val="false"/>
                <w:bCs w:val="false"/>
                <w:color w:val="000000"/>
                <w:sz w:val="19"/>
                <w:szCs w:val="19"/>
              </w:rPr>
              <w:t xml:space="preserve">3 working days, once per employment</w:t>
            </w:r>
          </w:p>
        </w:tc>
        <w:tc>
          <w:tcPr>
            <w:tcW w:type="dxa" w:w="3638"/>
            <w:tcMar>
              <w:top w:type="dxa" w:w="60"/>
              <w:left w:type="dxa" w:w="100"/>
              <w:bottom w:type="dxa" w:w="60"/>
              <w:right w:type="dxa" w:w="100"/>
            </w:tcMar>
            <w:vAlign w:val="center"/>
          </w:tcPr>
          <w:p>
            <w:r>
              <w:rPr>
                <w:b w:val="false"/>
                <w:bCs w:val="false"/>
                <w:color w:val="000000"/>
                <w:sz w:val="19"/>
                <w:szCs w:val="19"/>
              </w:rPr>
              <w:t xml:space="preserve">Direct Manager</w:t>
            </w:r>
          </w:p>
        </w:tc>
      </w:tr>
    </w:tbl>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Can unused annual leave be carried over to the next year?</w:t>
      </w:r>
    </w:p>
    <w:p>
      <w:pPr>
        <w:spacing w:after="160" w:line="276"/>
      </w:pPr>
      <w:r>
        <w:rPr>
          <w:sz w:val="21"/>
          <w:szCs w:val="21"/>
        </w:rPr>
        <w:t xml:space="preserve">A: Up to 5 days may be carried over with manager approval; remaining balances are forfeited unless local labor law requires otherwise.</w:t>
      </w:r>
    </w:p>
    <w:p>
      <w:pPr>
        <w:spacing w:after="40" w:before="120"/>
      </w:pPr>
      <w:r>
        <w:rPr>
          <w:b/>
          <w:bCs/>
          <w:i/>
          <w:iCs/>
          <w:sz w:val="21"/>
          <w:szCs w:val="21"/>
        </w:rPr>
        <w:t xml:space="preserve">Q: Who do I contact if I disagree with a leave decision?</w:t>
      </w:r>
    </w:p>
    <w:p>
      <w:pPr>
        <w:spacing w:after="160" w:line="276"/>
      </w:pPr>
      <w:r>
        <w:rPr>
          <w:sz w:val="21"/>
          <w:szCs w:val="21"/>
        </w:rPr>
        <w:t xml:space="preserve">A: You may escalate to HR following the Grievance Process outlined in Section 15 of this handbook.</w:t>
      </w:r>
    </w:p>
    <w:p>
      <w:pPr>
        <w:pStyle w:val="Heading1"/>
        <w:spacing w:after="160" w:before="360"/>
      </w:pPr>
      <w:r>
        <w:rPr>
          <w:b/>
          <w:bCs/>
          <w:color w:val="1F3864"/>
          <w:sz w:val="30"/>
          <w:szCs w:val="30"/>
        </w:rPr>
        <w:t xml:space="preserve">10. Sick Leave</w:t>
      </w:r>
    </w:p>
    <w:p>
      <w:pPr>
        <w:spacing w:after="160" w:line="276"/>
      </w:pPr>
      <w:r>
        <w:rPr>
          <w:sz w:val="21"/>
          <w:szCs w:val="21"/>
        </w:rPr>
        <w:t xml:space="preserve">Employees who are unable to work due to illness must notify their direct manager as early as possible on the day of absence. A medical certificate from a licensed physician is required for absences exceeding two consecutive working days and must be submitted to HR within five working days of return.</w:t>
      </w:r>
    </w:p>
    <w:p>
      <w:pPr>
        <w:spacing w:after="160" w:line="276"/>
      </w:pPr>
      <w:r>
        <w:rPr>
          <w:sz w:val="21"/>
          <w:szCs w:val="21"/>
        </w:rPr>
        <w:t xml:space="preserve">Sick leave is distinct from Annual Leave and does not draw down the annual leave balance. Excessive or suspicious patterns of sick leave use may be reviewed by HR in coordination with the direct manager.</w:t>
      </w:r>
    </w:p>
    <w:p>
      <w:pPr>
        <w:pStyle w:val="Heading1"/>
        <w:spacing w:after="160" w:before="360"/>
      </w:pPr>
      <w:r>
        <w:rPr>
          <w:b/>
          <w:bCs/>
          <w:color w:val="1F3864"/>
          <w:sz w:val="30"/>
          <w:szCs w:val="30"/>
        </w:rPr>
        <w:t xml:space="preserve">11. Maternity Leave</w:t>
      </w:r>
    </w:p>
    <w:p>
      <w:pPr>
        <w:spacing w:after="160" w:line="276"/>
      </w:pPr>
      <w:r>
        <w:rPr>
          <w:sz w:val="21"/>
          <w:szCs w:val="21"/>
        </w:rPr>
        <w:t xml:space="preserve">Female employees are entitled to 70 calendar days of paid maternity leave, in accordance with Jordanian labor law, which may begin up to 10 days before the expected delivery date. Employees intending to take maternity leave should notify HR at least one month in advance where possible, to allow for workload transition planning.</w:t>
      </w:r>
    </w:p>
    <w:p>
      <w:pPr>
        <w:spacing w:after="160" w:line="276"/>
      </w:pPr>
      <w:r>
        <w:rPr>
          <w:sz w:val="21"/>
          <w:szCs w:val="21"/>
        </w:rPr>
        <w:t xml:space="preserve">Employees returning from maternity leave are guaranteed reinstatement to their previous position or an equivalent role at the same level of compensation. Nursing mothers are entitled to paid nursing breaks for one year following return to work, as described in the Leave Policy (SJL-HR-002).</w:t>
      </w:r>
    </w:p>
    <w:p>
      <w:pPr>
        <w:pStyle w:val="Heading1"/>
        <w:spacing w:after="160" w:before="360"/>
      </w:pPr>
      <w:r>
        <w:rPr>
          <w:b/>
          <w:bCs/>
          <w:color w:val="1F3864"/>
          <w:sz w:val="30"/>
          <w:szCs w:val="30"/>
        </w:rPr>
        <w:t xml:space="preserve">12. Paternity Leave</w:t>
      </w:r>
    </w:p>
    <w:p>
      <w:pPr>
        <w:spacing w:after="160" w:line="276"/>
      </w:pPr>
      <w:r>
        <w:rPr>
          <w:sz w:val="21"/>
          <w:szCs w:val="21"/>
        </w:rPr>
        <w:t xml:space="preserve">Male employees are entitled to 3 working days of paid paternity leave following the birth of a child. This leave must be taken within one month of the birth and requires only direct manager approval.</w:t>
      </w:r>
    </w:p>
    <w:p>
      <w:pPr>
        <w:pStyle w:val="Heading1"/>
        <w:spacing w:after="160" w:before="360"/>
      </w:pPr>
      <w:r>
        <w:rPr>
          <w:b/>
          <w:bCs/>
          <w:color w:val="1F3864"/>
          <w:sz w:val="30"/>
          <w:szCs w:val="30"/>
        </w:rPr>
        <w:t xml:space="preserve">13. Remote Work</w:t>
      </w:r>
    </w:p>
    <w:p>
      <w:pPr>
        <w:spacing w:after="160" w:line="276"/>
      </w:pPr>
      <w:r>
        <w:rPr>
          <w:sz w:val="21"/>
          <w:szCs w:val="21"/>
        </w:rPr>
        <w:t xml:space="preserve">Remote work arrangements are available to eligible office-based roles subject to manager approval and are not available to warehouse, driving, or customer-facing branch staff whose duties require physical presence.</w:t>
      </w:r>
    </w:p>
    <w:p>
      <w:pPr>
        <w:spacing w:after="160" w:line="276"/>
      </w:pPr>
      <w:r>
        <w:rPr>
          <w:sz w:val="21"/>
          <w:szCs w:val="21"/>
        </w:rPr>
        <w:t xml:space="preserve">Employees approved for remote work remain bound by the IT Security Policy (Document ID SJL-IT-001), including mandatory VPN use for access to internal systems, and must ensure a private and secure working environment when handling confidential company or client information.</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How many remote days are typically approved?</w:t>
      </w:r>
    </w:p>
    <w:p>
      <w:pPr>
        <w:spacing w:after="160" w:line="276"/>
      </w:pPr>
      <w:r>
        <w:rPr>
          <w:sz w:val="21"/>
          <w:szCs w:val="21"/>
        </w:rPr>
        <w:t xml:space="preserve">A: This varies by department. Office-based roles commonly receive up to 2 remote days per week, subject to manager discretion and business needs.</w:t>
      </w:r>
    </w:p>
    <w:p>
      <w:pPr>
        <w:spacing w:after="40" w:before="120"/>
      </w:pPr>
      <w:r>
        <w:rPr>
          <w:b/>
          <w:bCs/>
          <w:i/>
          <w:iCs/>
          <w:sz w:val="21"/>
          <w:szCs w:val="21"/>
        </w:rPr>
        <w:t xml:space="preserve">Q: Can I work remotely from outside Jordan?</w:t>
      </w:r>
    </w:p>
    <w:p>
      <w:pPr>
        <w:spacing w:after="160" w:line="276"/>
      </w:pPr>
      <w:r>
        <w:rPr>
          <w:sz w:val="21"/>
          <w:szCs w:val="21"/>
        </w:rPr>
        <w:t xml:space="preserve">A: Only with prior written approval from both your Department Director and IT Security, due to data protection and network access considerations.</w:t>
      </w:r>
    </w:p>
    <w:p>
      <w:pPr>
        <w:pStyle w:val="Heading1"/>
        <w:spacing w:after="160" w:before="360"/>
      </w:pPr>
      <w:r>
        <w:rPr>
          <w:b/>
          <w:bCs/>
          <w:color w:val="1F3864"/>
          <w:sz w:val="30"/>
          <w:szCs w:val="30"/>
        </w:rPr>
        <w:t xml:space="preserve">14. Performance Reviews and Promotions</w:t>
      </w:r>
    </w:p>
    <w:p>
      <w:pPr>
        <w:spacing w:after="160" w:line="276"/>
      </w:pPr>
      <w:r>
        <w:rPr>
          <w:sz w:val="21"/>
          <w:szCs w:val="21"/>
        </w:rPr>
        <w:t xml:space="preserve">Performance is reviewed twice annually using department-specific Key Performance Indicators (KPIs) agreed between the employee and their manager at the start of each review cycle. Full evaluation criteria, rating scales, and the promotion matrix are maintained in the Performance Review Guide (Document ID SJL-HR-005).</w:t>
      </w:r>
    </w:p>
    <w:p>
      <w:pPr>
        <w:spacing w:after="160" w:line="276"/>
      </w:pPr>
      <w:r>
        <w:rPr>
          <w:sz w:val="21"/>
          <w:szCs w:val="21"/>
        </w:rPr>
        <w:t xml:space="preserve">Promotions are considered during the annual review cycle and require Department Director approval. Employees may also be considered for promotion on an off-cycle basis in cases of significant role expansion, subject to Executive Office approval.</w:t>
      </w:r>
    </w:p>
    <w:p>
      <w:pPr>
        <w:pStyle w:val="Heading1"/>
        <w:spacing w:after="160" w:before="360"/>
      </w:pPr>
      <w:r>
        <w:rPr>
          <w:b/>
          <w:bCs/>
          <w:color w:val="1F3864"/>
          <w:sz w:val="30"/>
          <w:szCs w:val="30"/>
        </w:rPr>
        <w:t xml:space="preserve">15. Training</w:t>
      </w:r>
    </w:p>
    <w:p>
      <w:pPr>
        <w:spacing w:after="160" w:line="276"/>
      </w:pPr>
      <w:r>
        <w:rPr>
          <w:sz w:val="21"/>
          <w:szCs w:val="21"/>
        </w:rPr>
        <w:t xml:space="preserve">New employees complete a mandatory onboarding training program within their first 30 days, including modules on IT security awareness (see Document ID SJL-IT-001), warehouse safety where applicable, and the Code of Ethics (SJL-SHR-009).</w:t>
      </w:r>
    </w:p>
    <w:p>
      <w:pPr>
        <w:spacing w:after="160" w:line="276"/>
      </w:pPr>
      <w:r>
        <w:rPr>
          <w:sz w:val="21"/>
          <w:szCs w:val="21"/>
        </w:rPr>
        <w:t xml:space="preserve">Ongoing professional development is supported through department-specific training budgets. Employees may request approval for external courses or certifications relevant to their role through their direct manager.</w:t>
      </w:r>
    </w:p>
    <w:p>
      <w:pPr>
        <w:pStyle w:val="Heading1"/>
        <w:spacing w:after="160" w:before="360"/>
      </w:pPr>
      <w:r>
        <w:rPr>
          <w:b/>
          <w:bCs/>
          <w:color w:val="1F3864"/>
          <w:sz w:val="30"/>
          <w:szCs w:val="30"/>
        </w:rPr>
        <w:t xml:space="preserve">16. Benefits</w:t>
      </w:r>
    </w:p>
    <w:p>
      <w:pPr>
        <w:spacing w:after="160" w:line="276"/>
      </w:pPr>
      <w:r>
        <w:rPr>
          <w:sz w:val="21"/>
          <w:szCs w:val="21"/>
        </w:rPr>
        <w:t xml:space="preserve">SkyJet Logistics Ltd. offers medical insurance, transportation allowances, retirement contributions, and performance bonuses to eligible employees. Full details of coverage tiers, eligibility windows, and enrollment procedures are provided in the Benefits Guide (Document ID SJL-HR-003).</w:t>
      </w:r>
    </w:p>
    <w:p>
      <w:pPr>
        <w:pStyle w:val="Heading1"/>
        <w:spacing w:after="160" w:before="360"/>
      </w:pPr>
      <w:r>
        <w:rPr>
          <w:b/>
          <w:bCs/>
          <w:color w:val="1F3864"/>
          <w:sz w:val="30"/>
          <w:szCs w:val="30"/>
        </w:rPr>
        <w:t xml:space="preserve">17. Compensation</w:t>
      </w:r>
    </w:p>
    <w:p>
      <w:pPr>
        <w:spacing w:after="160" w:line="276"/>
      </w:pPr>
      <w:r>
        <w:rPr>
          <w:sz w:val="21"/>
          <w:szCs w:val="21"/>
        </w:rPr>
        <w:t xml:space="preserve">Compensation is determined by role, experience, and internal salary bands reviewed annually by the Finance and HR departments. Salaries are paid monthly via bank transfer in accordance with the Payroll Policy (Document ID SJL-FIN-004). Any discrepancies in pay should be reported to HR within 10 working days of the affected pay cycle.</w:t>
      </w:r>
    </w:p>
    <w:p>
      <w:pPr>
        <w:pStyle w:val="Heading1"/>
        <w:spacing w:after="160" w:before="360"/>
      </w:pPr>
      <w:r>
        <w:rPr>
          <w:b/>
          <w:bCs/>
          <w:color w:val="1F3864"/>
          <w:sz w:val="30"/>
          <w:szCs w:val="30"/>
        </w:rPr>
        <w:t xml:space="preserve">18. Grievance Process</w:t>
      </w:r>
    </w:p>
    <w:p>
      <w:pPr>
        <w:spacing w:after="160" w:line="276"/>
      </w:pPr>
      <w:r>
        <w:rPr>
          <w:sz w:val="21"/>
          <w:szCs w:val="21"/>
        </w:rPr>
        <w:t xml:space="preserve">Employees who wish to raise a concern about treatment, policy application, or workplace conditions should first raise the matter with their direct manager, either verbally or in writing.</w:t>
      </w:r>
    </w:p>
    <w:p>
      <w:pPr>
        <w:spacing w:after="160" w:line="276"/>
      </w:pPr>
      <w:r>
        <w:rPr>
          <w:sz w:val="21"/>
          <w:szCs w:val="21"/>
        </w:rPr>
        <w:t xml:space="preserve">If the matter is unresolved within 10 working days, or if the concern involves the direct manager, the employee may escalate in writing to the HR Director. HR will acknowledge receipt within 3 working days and aim to resolve the matter within 20 working days, involving the Compliance Officer where the matter concerns a potential Code of Conduct violation.</w:t>
      </w:r>
    </w:p>
    <w:p>
      <w:pPr>
        <w:pStyle w:val="Heading1"/>
        <w:spacing w:after="160" w:before="360"/>
      </w:pPr>
      <w:r>
        <w:rPr>
          <w:b/>
          <w:bCs/>
          <w:color w:val="1F3864"/>
          <w:sz w:val="30"/>
          <w:szCs w:val="30"/>
        </w:rPr>
        <w:t xml:space="preserve">19. Resignation</w:t>
      </w:r>
    </w:p>
    <w:p>
      <w:pPr>
        <w:spacing w:after="160" w:line="276"/>
      </w:pPr>
      <w:r>
        <w:rPr>
          <w:sz w:val="21"/>
          <w:szCs w:val="21"/>
        </w:rPr>
        <w:t xml:space="preserve">Employees wishing to resign must provide written notice in accordance with their employment contract, typically 30 calendar days for permanent staff and as specified in the contract for fixed-term staff. Notice should be submitted to the direct manager and copied to HR.</w:t>
      </w:r>
    </w:p>
    <w:p>
      <w:pPr>
        <w:spacing w:after="160" w:line="276"/>
      </w:pPr>
      <w:r>
        <w:rPr>
          <w:sz w:val="21"/>
          <w:szCs w:val="21"/>
        </w:rPr>
        <w:t xml:space="preserve">During the notice period, employees are expected to support a smooth handover of responsibilities. Final settlement, including any outstanding leave payout, will be processed in accordance with the Payroll Policy (SJL-FIN-004).</w:t>
      </w:r>
    </w:p>
    <w:p>
      <w:pPr>
        <w:pStyle w:val="Heading1"/>
        <w:spacing w:after="160" w:before="360"/>
      </w:pPr>
      <w:r>
        <w:rPr>
          <w:b/>
          <w:bCs/>
          <w:color w:val="1F3864"/>
          <w:sz w:val="30"/>
          <w:szCs w:val="30"/>
        </w:rPr>
        <w:t xml:space="preserve">20. Termination</w:t>
      </w:r>
    </w:p>
    <w:p>
      <w:pPr>
        <w:spacing w:after="160" w:line="276"/>
      </w:pPr>
      <w:r>
        <w:rPr>
          <w:sz w:val="21"/>
          <w:szCs w:val="21"/>
        </w:rPr>
        <w:t xml:space="preserve">SkyJet Logistics Ltd. may terminate employment for cause, including serious Code of Conduct violations, or as part of a broader restructuring, in accordance with Jordanian labor law. Termination decisions are made in coordination with the HR Director and, where relevant, the Compliance Officer, and require Executive Office sign-off for cause-based terminations.</w:t>
      </w:r>
    </w:p>
    <w:p>
      <w:pPr>
        <w:spacing w:after="160" w:line="276"/>
      </w:pPr>
      <w:r>
        <w:rPr>
          <w:sz w:val="21"/>
          <w:szCs w:val="21"/>
        </w:rPr>
        <w:t xml:space="preserve">Employees terminated for cause forfeit eligibility for rehire. Employees affected by restructuring-related termination will receive severance in accordance with statutory requirements and any applicable contractual terms.</w:t>
      </w:r>
    </w:p>
    <w:p>
      <w:pPr>
        <w:pStyle w:val="Heading1"/>
        <w:spacing w:after="160" w:before="360"/>
      </w:pPr>
      <w:r>
        <w:rPr>
          <w:b/>
          <w:bCs/>
          <w:color w:val="1F3864"/>
          <w:sz w:val="30"/>
          <w:szCs w:val="30"/>
        </w:rPr>
        <w:t xml:space="preserve">21. Frequently Asked Questions</w:t>
      </w:r>
    </w:p>
    <w:p>
      <w:pPr>
        <w:pStyle w:val="Heading3"/>
        <w:spacing w:after="100" w:before="200"/>
      </w:pPr>
      <w:r>
        <w:rPr>
          <w:b/>
          <w:bCs/>
          <w:color w:val="595959"/>
          <w:sz w:val="22"/>
          <w:szCs w:val="22"/>
        </w:rPr>
        <w:t xml:space="preserve">Frequently Asked Questions</w:t>
      </w:r>
    </w:p>
    <w:p>
      <w:pPr>
        <w:spacing w:after="40" w:before="120"/>
      </w:pPr>
      <w:r>
        <w:rPr>
          <w:b/>
          <w:bCs/>
          <w:i/>
          <w:iCs/>
          <w:sz w:val="21"/>
          <w:szCs w:val="21"/>
        </w:rPr>
        <w:t xml:space="preserve">Q: Where can I find the full Leave Policy document?</w:t>
      </w:r>
    </w:p>
    <w:p>
      <w:pPr>
        <w:spacing w:after="160" w:line="276"/>
      </w:pPr>
      <w:r>
        <w:rPr>
          <w:sz w:val="21"/>
          <w:szCs w:val="21"/>
        </w:rPr>
        <w:t xml:space="preserve">A: The complete Leave Policy is Document ID SJL-HR-002, available on the HR shared drive.</w:t>
      </w:r>
    </w:p>
    <w:p>
      <w:pPr>
        <w:spacing w:after="40" w:before="120"/>
      </w:pPr>
      <w:r>
        <w:rPr>
          <w:b/>
          <w:bCs/>
          <w:i/>
          <w:iCs/>
          <w:sz w:val="21"/>
          <w:szCs w:val="21"/>
        </w:rPr>
        <w:t xml:space="preserve">Q: Who approves remote work requests?</w:t>
      </w:r>
    </w:p>
    <w:p>
      <w:pPr>
        <w:spacing w:after="160" w:line="276"/>
      </w:pPr>
      <w:r>
        <w:rPr>
          <w:sz w:val="21"/>
          <w:szCs w:val="21"/>
        </w:rPr>
        <w:t xml:space="preserve">A: Your direct manager, in consultation with your Department Director.</w:t>
      </w:r>
    </w:p>
    <w:p>
      <w:pPr>
        <w:spacing w:after="40" w:before="120"/>
      </w:pPr>
      <w:r>
        <w:rPr>
          <w:b/>
          <w:bCs/>
          <w:i/>
          <w:iCs/>
          <w:sz w:val="21"/>
          <w:szCs w:val="21"/>
        </w:rPr>
        <w:t xml:space="preserve">Q: What happens if I lose my company ID badge?</w:t>
      </w:r>
    </w:p>
    <w:p>
      <w:pPr>
        <w:spacing w:after="160" w:line="276"/>
      </w:pPr>
      <w:r>
        <w:rPr>
          <w:sz w:val="21"/>
          <w:szCs w:val="21"/>
        </w:rPr>
        <w:t xml:space="preserve">A: Report the loss immediately to IT Security and your branch office manager; see the Acceptable Use Policy (SJL-IT-003) for device and access-card procedures.</w:t>
      </w:r>
    </w:p>
    <w:p>
      <w:pPr>
        <w:spacing w:after="40" w:before="120"/>
      </w:pPr>
      <w:r>
        <w:rPr>
          <w:b/>
          <w:bCs/>
          <w:i/>
          <w:iCs/>
          <w:sz w:val="21"/>
          <w:szCs w:val="21"/>
        </w:rPr>
        <w:t xml:space="preserve">Q: How do I update my bank details for payroll?</w:t>
      </w:r>
    </w:p>
    <w:p>
      <w:pPr>
        <w:spacing w:after="160" w:line="276"/>
      </w:pPr>
      <w:r>
        <w:rPr>
          <w:sz w:val="21"/>
          <w:szCs w:val="21"/>
        </w:rPr>
        <w:t xml:space="preserve">A: Submit an updated bank details form to HR, available on the HR portal, at least 5 working days before the next pay run.</w:t>
      </w:r>
    </w:p>
    <w:p>
      <w:pPr>
        <w:spacing w:after="40" w:before="120"/>
      </w:pPr>
      <w:r>
        <w:rPr>
          <w:b/>
          <w:bCs/>
          <w:i/>
          <w:iCs/>
          <w:sz w:val="21"/>
          <w:szCs w:val="21"/>
        </w:rPr>
        <w:t xml:space="preserve">Q: Can I transfer between branches?</w:t>
      </w:r>
    </w:p>
    <w:p>
      <w:pPr>
        <w:spacing w:after="160" w:line="276"/>
      </w:pPr>
      <w:r>
        <w:rPr>
          <w:sz w:val="21"/>
          <w:szCs w:val="21"/>
        </w:rPr>
        <w:t xml:space="preserve">A: Internal transfers are possible subject to a role opening at the destination branch and approval from both Department Directors involved.</w:t>
      </w:r>
    </w:p>
    <w:p>
      <w:pPr>
        <w:spacing w:after="40" w:before="120"/>
      </w:pPr>
      <w:r>
        <w:rPr>
          <w:b/>
          <w:bCs/>
          <w:i/>
          <w:iCs/>
          <w:sz w:val="21"/>
          <w:szCs w:val="21"/>
        </w:rPr>
        <w:t xml:space="preserve">Q: Who do I contact for questions not covered in this handbook?</w:t>
      </w:r>
    </w:p>
    <w:p>
      <w:pPr>
        <w:spacing w:after="160" w:line="276"/>
      </w:pPr>
      <w:r>
        <w:rPr>
          <w:sz w:val="21"/>
          <w:szCs w:val="21"/>
        </w:rPr>
        <w:t xml:space="preserve">A: Your direct manager or the HR Department at hr@skyjetlogistics.example.</w:t>
      </w:r>
    </w:p>
    <w:p>
      <w:r>
        <w:br w:type="page"/>
      </w:r>
    </w:p>
    <w:p>
      <w:pPr>
        <w:pStyle w:val="Heading1"/>
        <w:spacing w:after="160" w:before="360"/>
      </w:pPr>
      <w:r>
        <w:rPr>
          <w:b/>
          <w:bCs/>
          <w:color w:val="1F3864"/>
          <w:sz w:val="30"/>
          <w:szCs w:val="30"/>
        </w:rPr>
        <w:t xml:space="preserve">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2F2F2" w:val="clear"/>
            <w:tcMar>
              <w:top w:type="dxa" w:w="80"/>
              <w:left w:type="dxa" w:w="100"/>
              <w:bottom w:type="dxa" w:w="80"/>
              <w:right w:type="dxa" w:w="100"/>
            </w:tcMar>
            <w:vAlign w:val="center"/>
          </w:tcPr>
          <w:p>
            <w:r>
              <w:rPr>
                <w:b/>
                <w:bCs/>
                <w:sz w:val="19"/>
                <w:szCs w:val="19"/>
              </w:rPr>
              <w:t xml:space="preserve">Prepared By</w:t>
            </w:r>
          </w:p>
        </w:tc>
        <w:tc>
          <w:tcPr>
            <w:tcW w:type="dxa" w:w="7238"/>
            <w:tcMar>
              <w:top w:type="dxa" w:w="80"/>
              <w:left w:type="dxa" w:w="100"/>
              <w:bottom w:type="dxa" w:w="80"/>
              <w:right w:type="dxa" w:w="100"/>
            </w:tcMar>
            <w:vAlign w:val="center"/>
          </w:tcPr>
          <w:p>
            <w:r>
              <w:rPr>
                <w:sz w:val="19"/>
                <w:szCs w:val="19"/>
              </w:rPr>
              <w:t xml:space="preserve">R. Qassem, HR Director</w:t>
            </w:r>
          </w:p>
        </w:tc>
      </w:tr>
      <w:tr>
        <w:tc>
          <w:tcPr>
            <w:tcW w:type="dxa" w:w="2400"/>
            <w:shd w:fill="F2F2F2" w:val="clear"/>
            <w:tcMar>
              <w:top w:type="dxa" w:w="80"/>
              <w:left w:type="dxa" w:w="100"/>
              <w:bottom w:type="dxa" w:w="80"/>
              <w:right w:type="dxa" w:w="100"/>
            </w:tcMar>
            <w:vAlign w:val="center"/>
          </w:tcPr>
          <w:p>
            <w:r>
              <w:rPr>
                <w:b/>
                <w:bCs/>
                <w:sz w:val="19"/>
                <w:szCs w:val="19"/>
              </w:rPr>
              <w:t xml:space="preserve">Reviewed By</w:t>
            </w:r>
          </w:p>
        </w:tc>
        <w:tc>
          <w:tcPr>
            <w:tcW w:type="dxa" w:w="7238"/>
            <w:tcMar>
              <w:top w:type="dxa" w:w="80"/>
              <w:left w:type="dxa" w:w="100"/>
              <w:bottom w:type="dxa" w:w="80"/>
              <w:right w:type="dxa" w:w="100"/>
            </w:tcMar>
            <w:vAlign w:val="center"/>
          </w:tcPr>
          <w:p>
            <w:r>
              <w:rPr>
                <w:sz w:val="19"/>
                <w:szCs w:val="19"/>
              </w:rPr>
              <w:t xml:space="preserve">N. Sarayrah, Compliance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Approved By</w:t>
            </w:r>
          </w:p>
        </w:tc>
        <w:tc>
          <w:tcPr>
            <w:tcW w:type="dxa" w:w="7238"/>
            <w:tcMar>
              <w:top w:type="dxa" w:w="80"/>
              <w:left w:type="dxa" w:w="100"/>
              <w:bottom w:type="dxa" w:w="80"/>
              <w:right w:type="dxa" w:w="100"/>
            </w:tcMar>
            <w:vAlign w:val="center"/>
          </w:tcPr>
          <w:p>
            <w:r>
              <w:rPr>
                <w:sz w:val="19"/>
                <w:szCs w:val="19"/>
              </w:rPr>
              <w:t xml:space="preserve">Chief Executive Officer</w:t>
            </w:r>
          </w:p>
        </w:tc>
      </w:tr>
      <w:tr>
        <w:tc>
          <w:tcPr>
            <w:tcW w:type="dxa" w:w="2400"/>
            <w:shd w:fill="F2F2F2" w:val="clear"/>
            <w:tcMar>
              <w:top w:type="dxa" w:w="80"/>
              <w:left w:type="dxa" w:w="100"/>
              <w:bottom w:type="dxa" w:w="80"/>
              <w:right w:type="dxa" w:w="100"/>
            </w:tcMar>
            <w:vAlign w:val="center"/>
          </w:tcPr>
          <w:p>
            <w:r>
              <w:rPr>
                <w:b/>
                <w:bCs/>
                <w:sz w:val="19"/>
                <w:szCs w:val="19"/>
              </w:rPr>
              <w:t xml:space="preserve">Approval Date</w:t>
            </w:r>
          </w:p>
        </w:tc>
        <w:tc>
          <w:tcPr>
            <w:tcW w:type="dxa" w:w="7238"/>
            <w:tcMar>
              <w:top w:type="dxa" w:w="80"/>
              <w:left w:type="dxa" w:w="100"/>
              <w:bottom w:type="dxa" w:w="80"/>
              <w:right w:type="dxa" w:w="100"/>
            </w:tcMar>
            <w:vAlign w:val="center"/>
          </w:tcPr>
          <w:p>
            <w:r>
              <w:rPr>
                <w:sz w:val="19"/>
                <w:szCs w:val="19"/>
              </w:rPr>
              <w:t xml:space="preserve">06 July 2026</w:t>
            </w:r>
          </w:p>
        </w:tc>
      </w:tr>
      <w:tr>
        <w:tc>
          <w:tcPr>
            <w:tcW w:type="dxa" w:w="2400"/>
            <w:shd w:fill="F2F2F2" w:val="clear"/>
            <w:tcMar>
              <w:top w:type="dxa" w:w="80"/>
              <w:left w:type="dxa" w:w="100"/>
              <w:bottom w:type="dxa" w:w="80"/>
              <w:right w:type="dxa" w:w="100"/>
            </w:tcMar>
            <w:vAlign w:val="center"/>
          </w:tcPr>
          <w:p>
            <w:r>
              <w:rPr>
                <w:b/>
                <w:bCs/>
                <w:sz w:val="19"/>
                <w:szCs w:val="19"/>
              </w:rPr>
              <w:t xml:space="preserve">Next Scheduled Review</w:t>
            </w:r>
          </w:p>
        </w:tc>
        <w:tc>
          <w:tcPr>
            <w:tcW w:type="dxa" w:w="7238"/>
            <w:tcMar>
              <w:top w:type="dxa" w:w="80"/>
              <w:left w:type="dxa" w:w="100"/>
              <w:bottom w:type="dxa" w:w="80"/>
              <w:right w:type="dxa" w:w="100"/>
            </w:tcMar>
            <w:vAlign w:val="center"/>
          </w:tcPr>
          <w:p>
            <w:r>
              <w:rPr>
                <w:sz w:val="19"/>
                <w:szCs w:val="19"/>
              </w:rPr>
              <w:t xml:space="preserve">06 July 2027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Internal Use Only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638"/>
      </w:tabs>
    </w:pPr>
    <w:r>
      <w:rPr>
        <w:color w:val="595959"/>
        <w:sz w:val="16"/>
        <w:szCs w:val="16"/>
      </w:rPr>
      <w:t xml:space="preserve">SkyJet Logistics Ltd. — Employee Handbook</w:t>
    </w:r>
    <w:r>
      <w:tab/>
    </w:r>
    <w:r>
      <w:rPr>
        <w:color w:val="595959"/>
        <w:sz w:val="16"/>
        <w:szCs w:val="16"/>
      </w:rPr>
      <w:t xml:space="preserve">SJL-HR-001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2026-07-06T15:38:25.912Z</dcterms:created>
  <dcterms:modified xsi:type="dcterms:W3CDTF">2026-07-06T15:38:25.925Z</dcterms:modified>
</cp:coreProperties>
</file>

<file path=docProps/custom.xml><?xml version="1.0" encoding="utf-8"?>
<Properties xmlns="http://schemas.openxmlformats.org/officeDocument/2006/custom-properties" xmlns:vt="http://schemas.openxmlformats.org/officeDocument/2006/docPropsVTypes"/>
</file>