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SKYJET LOGISTICS LTD.</w:t>
      </w:r>
    </w:p>
    <w:p>
      <w:pPr>
        <w:spacing w:after="800" w:before="200"/>
        <w:jc w:val="center"/>
      </w:pPr>
      <w:r>
        <w:rPr>
          <w:color w:val="595959"/>
          <w:sz w:val="32"/>
          <w:szCs w:val="32"/>
        </w:rPr>
        <w:t xml:space="preserve">Performance Review Guide</w:t>
      </w:r>
    </w:p>
    <w:p/>
    <w:p>
      <w:pPr>
        <w:spacing w:before="16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Document ID</w:t>
            </w:r>
          </w:p>
        </w:tc>
        <w:tc>
          <w:tcPr>
            <w:tcW w:type="dxa" w:w="7238"/>
            <w:tcMar>
              <w:top w:type="dxa" w:w="80"/>
              <w:left w:type="dxa" w:w="100"/>
              <w:bottom w:type="dxa" w:w="80"/>
              <w:right w:type="dxa" w:w="100"/>
            </w:tcMar>
            <w:vAlign w:val="center"/>
          </w:tcPr>
          <w:p>
            <w:r>
              <w:rPr>
                <w:sz w:val="19"/>
                <w:szCs w:val="19"/>
              </w:rPr>
              <w:t xml:space="preserve">SJL-HR-005</w:t>
            </w:r>
          </w:p>
        </w:tc>
      </w:tr>
      <w:tr>
        <w:tc>
          <w:tcPr>
            <w:tcW w:type="dxa" w:w="2400"/>
            <w:shd w:fill="F2F2F2" w:val="clear"/>
            <w:tcMar>
              <w:top w:type="dxa" w:w="80"/>
              <w:left w:type="dxa" w:w="100"/>
              <w:bottom w:type="dxa" w:w="80"/>
              <w:right w:type="dxa" w:w="100"/>
            </w:tcMar>
            <w:vAlign w:val="center"/>
          </w:tcPr>
          <w:p>
            <w:r>
              <w:rPr>
                <w:b/>
                <w:bCs/>
                <w:sz w:val="19"/>
                <w:szCs w:val="19"/>
              </w:rPr>
              <w:t xml:space="preserve">Version</w:t>
            </w:r>
          </w:p>
        </w:tc>
        <w:tc>
          <w:tcPr>
            <w:tcW w:type="dxa" w:w="7238"/>
            <w:tcMar>
              <w:top w:type="dxa" w:w="80"/>
              <w:left w:type="dxa" w:w="100"/>
              <w:bottom w:type="dxa" w:w="80"/>
              <w:right w:type="dxa" w:w="100"/>
            </w:tcMar>
            <w:vAlign w:val="center"/>
          </w:tcPr>
          <w:p>
            <w:r>
              <w:rPr>
                <w:sz w:val="19"/>
                <w:szCs w:val="19"/>
              </w:rPr>
              <w:t xml:space="preserve">1.0</w:t>
            </w:r>
          </w:p>
        </w:tc>
      </w:tr>
      <w:tr>
        <w:tc>
          <w:tcPr>
            <w:tcW w:type="dxa" w:w="2400"/>
            <w:shd w:fill="F2F2F2" w:val="clear"/>
            <w:tcMar>
              <w:top w:type="dxa" w:w="80"/>
              <w:left w:type="dxa" w:w="100"/>
              <w:bottom w:type="dxa" w:w="80"/>
              <w:right w:type="dxa" w:w="100"/>
            </w:tcMar>
            <w:vAlign w:val="center"/>
          </w:tcPr>
          <w:p>
            <w:r>
              <w:rPr>
                <w:b/>
                <w:bCs/>
                <w:sz w:val="19"/>
                <w:szCs w:val="19"/>
              </w:rPr>
              <w:t xml:space="preserve">Revision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Department</w:t>
            </w:r>
          </w:p>
        </w:tc>
        <w:tc>
          <w:tcPr>
            <w:tcW w:type="dxa" w:w="7238"/>
            <w:tcMar>
              <w:top w:type="dxa" w:w="80"/>
              <w:left w:type="dxa" w:w="100"/>
              <w:bottom w:type="dxa" w:w="80"/>
              <w:right w:type="dxa" w:w="100"/>
            </w:tcMar>
            <w:vAlign w:val="center"/>
          </w:tcPr>
          <w:p>
            <w:r>
              <w:rPr>
                <w:sz w:val="19"/>
                <w:szCs w:val="19"/>
              </w:rPr>
              <w:t xml:space="preserve">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Owner</w:t>
            </w:r>
          </w:p>
        </w:tc>
        <w:tc>
          <w:tcPr>
            <w:tcW w:type="dxa" w:w="7238"/>
            <w:tcMar>
              <w:top w:type="dxa" w:w="80"/>
              <w:left w:type="dxa" w:w="100"/>
              <w:bottom w:type="dxa" w:w="80"/>
              <w:right w:type="dxa" w:w="100"/>
            </w:tcMar>
            <w:vAlign w:val="center"/>
          </w:tcPr>
          <w:p>
            <w:r>
              <w:rPr>
                <w:sz w:val="19"/>
                <w:szCs w:val="19"/>
              </w:rPr>
              <w:t xml:space="preserve">Director of 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Approver</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Classification</w:t>
            </w:r>
          </w:p>
        </w:tc>
        <w:tc>
          <w:tcPr>
            <w:tcW w:type="dxa" w:w="7238"/>
            <w:tcMar>
              <w:top w:type="dxa" w:w="80"/>
              <w:left w:type="dxa" w:w="100"/>
              <w:bottom w:type="dxa" w:w="80"/>
              <w:right w:type="dxa" w:w="100"/>
            </w:tcMar>
            <w:vAlign w:val="center"/>
          </w:tcPr>
          <w:p>
            <w:r>
              <w:rPr>
                <w:sz w:val="19"/>
                <w:szCs w:val="19"/>
              </w:rPr>
              <w:t xml:space="preserve">Internal Use Only</w:t>
            </w:r>
          </w:p>
        </w:tc>
      </w:tr>
      <w:tr>
        <w:tc>
          <w:tcPr>
            <w:tcW w:type="dxa" w:w="2400"/>
            <w:shd w:fill="F2F2F2" w:val="clear"/>
            <w:tcMar>
              <w:top w:type="dxa" w:w="80"/>
              <w:left w:type="dxa" w:w="100"/>
              <w:bottom w:type="dxa" w:w="80"/>
              <w:right w:type="dxa" w:w="100"/>
            </w:tcMar>
            <w:vAlign w:val="center"/>
          </w:tcPr>
          <w:p>
            <w:r>
              <w:rPr>
                <w:b/>
                <w:bCs/>
                <w:sz w:val="19"/>
                <w:szCs w:val="19"/>
              </w:rPr>
              <w:t xml:space="preserve">Review Cycle</w:t>
            </w:r>
          </w:p>
        </w:tc>
        <w:tc>
          <w:tcPr>
            <w:tcW w:type="dxa" w:w="7238"/>
            <w:tcMar>
              <w:top w:type="dxa" w:w="80"/>
              <w:left w:type="dxa" w:w="100"/>
              <w:bottom w:type="dxa" w:w="80"/>
              <w:right w:type="dxa" w:w="100"/>
            </w:tcMar>
            <w:vAlign w:val="center"/>
          </w:tcPr>
          <w:p>
            <w:r>
              <w:rPr>
                <w:sz w:val="19"/>
                <w:szCs w:val="19"/>
              </w:rPr>
              <w:t xml:space="preserve">Annual</w:t>
            </w:r>
          </w:p>
        </w:tc>
      </w:tr>
    </w:tbl>
    <w:p>
      <w:r>
        <w:br w:type="page"/>
      </w:r>
    </w:p>
    <w:p>
      <w:pPr>
        <w:pStyle w:val="Heading1"/>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238"/>
      </w:tblGrid>
      <w:tr>
        <w:trPr>
          <w:tblHeader/>
        </w:trPr>
        <w:tc>
          <w:tcPr>
            <w:tcW w:type="dxa" w:w="1400"/>
            <w:shd w:fill="1F3864" w:val="clear"/>
            <w:tcMar>
              <w:top w:type="dxa" w:w="60"/>
              <w:left w:type="dxa" w:w="100"/>
              <w:bottom w:type="dxa" w:w="60"/>
              <w:right w:type="dxa" w:w="100"/>
            </w:tcMar>
            <w:vAlign w:val="center"/>
          </w:tcPr>
          <w:p>
            <w:r>
              <w:rPr>
                <w:b/>
                <w:bCs/>
                <w:color w:val="FFFFFF"/>
                <w:sz w:val="19"/>
                <w:szCs w:val="19"/>
              </w:rPr>
              <w:t xml:space="preserve">Version</w:t>
            </w:r>
          </w:p>
        </w:tc>
        <w:tc>
          <w:tcPr>
            <w:tcW w:type="dxa" w:w="1800"/>
            <w:shd w:fill="1F3864" w:val="clear"/>
            <w:tcMar>
              <w:top w:type="dxa" w:w="60"/>
              <w:left w:type="dxa" w:w="100"/>
              <w:bottom w:type="dxa" w:w="60"/>
              <w:right w:type="dxa" w:w="100"/>
            </w:tcMar>
            <w:vAlign w:val="center"/>
          </w:tcPr>
          <w:p>
            <w:r>
              <w:rPr>
                <w:b/>
                <w:bCs/>
                <w:color w:val="FFFFFF"/>
                <w:sz w:val="19"/>
                <w:szCs w:val="19"/>
              </w:rPr>
              <w:t xml:space="preserve">Date</w:t>
            </w:r>
          </w:p>
        </w:tc>
        <w:tc>
          <w:tcPr>
            <w:tcW w:type="dxa" w:w="3200"/>
            <w:shd w:fill="1F3864" w:val="clear"/>
            <w:tcMar>
              <w:top w:type="dxa" w:w="60"/>
              <w:left w:type="dxa" w:w="100"/>
              <w:bottom w:type="dxa" w:w="60"/>
              <w:right w:type="dxa" w:w="100"/>
            </w:tcMar>
            <w:vAlign w:val="center"/>
          </w:tcPr>
          <w:p>
            <w:r>
              <w:rPr>
                <w:b/>
                <w:bCs/>
                <w:color w:val="FFFFFF"/>
                <w:sz w:val="19"/>
                <w:szCs w:val="19"/>
              </w:rPr>
              <w:t xml:space="preserve">Author</w:t>
            </w:r>
          </w:p>
        </w:tc>
        <w:tc>
          <w:tcPr>
            <w:tcW w:type="dxa" w:w="3238"/>
            <w:shd w:fill="1F3864" w:val="clear"/>
            <w:tcMar>
              <w:top w:type="dxa" w:w="60"/>
              <w:left w:type="dxa" w:w="100"/>
              <w:bottom w:type="dxa" w:w="60"/>
              <w:right w:type="dxa" w:w="100"/>
            </w:tcMar>
            <w:vAlign w:val="center"/>
          </w:tcPr>
          <w:p>
            <w:r>
              <w:rPr>
                <w:b/>
                <w:bCs/>
                <w:color w:val="FFFFFF"/>
                <w:sz w:val="19"/>
                <w:szCs w:val="19"/>
              </w:rPr>
              <w:t xml:space="preserve">Summary of Changes</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0.1</w:t>
            </w:r>
          </w:p>
        </w:tc>
        <w:tc>
          <w:tcPr>
            <w:tcW w:type="dxa" w:w="1800"/>
            <w:tcMar>
              <w:top w:type="dxa" w:w="60"/>
              <w:left w:type="dxa" w:w="100"/>
              <w:bottom w:type="dxa" w:w="60"/>
              <w:right w:type="dxa" w:w="100"/>
            </w:tcMar>
            <w:vAlign w:val="center"/>
          </w:tcPr>
          <w:p>
            <w:r>
              <w:rPr>
                <w:b w:val="false"/>
                <w:bCs w:val="false"/>
                <w:color w:val="000000"/>
                <w:sz w:val="19"/>
                <w:szCs w:val="19"/>
              </w:rPr>
              <w:t xml:space="preserve">05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T. Haddad, HR Coordinator</w:t>
            </w:r>
          </w:p>
        </w:tc>
        <w:tc>
          <w:tcPr>
            <w:tcW w:type="dxa" w:w="3238"/>
            <w:tcMar>
              <w:top w:type="dxa" w:w="60"/>
              <w:left w:type="dxa" w:w="100"/>
              <w:bottom w:type="dxa" w:w="60"/>
              <w:right w:type="dxa" w:w="100"/>
            </w:tcMar>
            <w:vAlign w:val="center"/>
          </w:tcPr>
          <w:p>
            <w:r>
              <w:rPr>
                <w:b w:val="false"/>
                <w:bCs w:val="false"/>
                <w:color w:val="000000"/>
                <w:sz w:val="19"/>
                <w:szCs w:val="19"/>
              </w:rPr>
              <w:t xml:space="preserve">Initial draft</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0.6</w:t>
            </w:r>
          </w:p>
        </w:tc>
        <w:tc>
          <w:tcPr>
            <w:tcW w:type="dxa" w:w="1800"/>
            <w:tcMar>
              <w:top w:type="dxa" w:w="60"/>
              <w:left w:type="dxa" w:w="100"/>
              <w:bottom w:type="dxa" w:w="60"/>
              <w:right w:type="dxa" w:w="100"/>
            </w:tcMar>
            <w:vAlign w:val="center"/>
          </w:tcPr>
          <w:p>
            <w:r>
              <w:rPr>
                <w:b w:val="false"/>
                <w:bCs w:val="false"/>
                <w:color w:val="000000"/>
                <w:sz w:val="19"/>
                <w:szCs w:val="19"/>
              </w:rPr>
              <w:t xml:space="preserve">24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Added promotion matrix and evaluation form breakdown</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1.0</w:t>
            </w:r>
          </w:p>
        </w:tc>
        <w:tc>
          <w:tcPr>
            <w:tcW w:type="dxa" w:w="1800"/>
            <w:tcMar>
              <w:top w:type="dxa" w:w="60"/>
              <w:left w:type="dxa" w:w="100"/>
              <w:bottom w:type="dxa" w:w="60"/>
              <w:right w:type="dxa" w:w="100"/>
            </w:tcMar>
            <w:vAlign w:val="center"/>
          </w:tcPr>
          <w:p>
            <w:r>
              <w:rPr>
                <w:b w:val="false"/>
                <w:bCs w:val="false"/>
                <w:color w:val="000000"/>
                <w:sz w:val="19"/>
                <w:szCs w:val="19"/>
              </w:rPr>
              <w:t xml:space="preserve">06 July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Approved for distribution</w:t>
            </w:r>
          </w:p>
        </w:tc>
      </w:tr>
    </w:tbl>
    <w:p>
      <w:r>
        <w:br w:type="page"/>
      </w:r>
    </w:p>
    <w:p>
      <w:pPr>
        <w:pStyle w:val="Heading1"/>
        <w:spacing w:after="160" w:before="360"/>
      </w:pPr>
      <w:r>
        <w:rPr>
          <w:b/>
          <w:bCs/>
          <w:color w:val="1F3864"/>
          <w:sz w:val="30"/>
          <w:szCs w:val="30"/>
        </w:rPr>
        <w:t xml:space="preserve">1. Purpose and Scope</w:t>
      </w:r>
    </w:p>
    <w:p>
      <w:pPr>
        <w:spacing w:after="160" w:line="276"/>
      </w:pPr>
      <w:r>
        <w:rPr>
          <w:sz w:val="21"/>
          <w:szCs w:val="21"/>
        </w:rPr>
        <w:t xml:space="preserve">This Performance Review Guide describes the Key Performance Indicator (KPI) framework, evaluation forms, rating scale, and promotion matrix used across SkyJet Logistics Ltd. It applies to all full-time and fixed-term employees who have completed probation, as described in the Recruitment Manual (Document ID SJL-HR-004).</w:t>
      </w:r>
    </w:p>
    <w:p>
      <w:pPr>
        <w:spacing w:after="160" w:line="276"/>
      </w:pPr>
      <w:r>
        <w:rPr>
          <w:sz w:val="21"/>
          <w:szCs w:val="21"/>
        </w:rPr>
        <w:t xml:space="preserve">This guide should be read alongside the Employee Handbook (Document ID SJL-HR-001), Section 14, and the Benefits Guide (Document ID SJL-HR-003), which describes how performance ratings translate into annual bonus calculations.</w:t>
      </w:r>
    </w:p>
    <w:p>
      <w:pPr>
        <w:pStyle w:val="Heading1"/>
        <w:spacing w:after="160" w:before="360"/>
      </w:pPr>
      <w:r>
        <w:rPr>
          <w:b/>
          <w:bCs/>
          <w:color w:val="1F3864"/>
          <w:sz w:val="30"/>
          <w:szCs w:val="30"/>
        </w:rPr>
        <w:t xml:space="preserve">2. Review Cycle</w:t>
      </w:r>
    </w:p>
    <w:p>
      <w:pPr>
        <w:spacing w:after="160" w:line="276"/>
      </w:pPr>
      <w:r>
        <w:rPr>
          <w:sz w:val="21"/>
          <w:szCs w:val="21"/>
        </w:rPr>
        <w:t xml:space="preserve">Formal performance reviews are conducted twice annually: a mid-year check-in in June and a full annual review in December. The annual review determines bonus eligibility, as described in the Benefits Guide, and is the primary basis for promotion decisions.</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3200"/>
        <w:gridCol w:w="2919"/>
        <w:gridCol w:w="3219"/>
      </w:tblGrid>
      <w:tr>
        <w:trPr>
          <w:tblHeader/>
        </w:trPr>
        <w:tc>
          <w:tcPr>
            <w:tcW w:type="dxa" w:w="3200"/>
            <w:shd w:fill="1F3864" w:val="clear"/>
            <w:tcMar>
              <w:top w:type="dxa" w:w="60"/>
              <w:left w:type="dxa" w:w="100"/>
              <w:bottom w:type="dxa" w:w="60"/>
              <w:right w:type="dxa" w:w="100"/>
            </w:tcMar>
            <w:vAlign w:val="center"/>
          </w:tcPr>
          <w:p>
            <w:r>
              <w:rPr>
                <w:b/>
                <w:bCs/>
                <w:color w:val="FFFFFF"/>
                <w:sz w:val="19"/>
                <w:szCs w:val="19"/>
              </w:rPr>
              <w:t xml:space="preserve">Cycle</w:t>
            </w:r>
          </w:p>
        </w:tc>
        <w:tc>
          <w:tcPr>
            <w:tcW w:type="dxa" w:w="2919"/>
            <w:shd w:fill="1F3864" w:val="clear"/>
            <w:tcMar>
              <w:top w:type="dxa" w:w="60"/>
              <w:left w:type="dxa" w:w="100"/>
              <w:bottom w:type="dxa" w:w="60"/>
              <w:right w:type="dxa" w:w="100"/>
            </w:tcMar>
            <w:vAlign w:val="center"/>
          </w:tcPr>
          <w:p>
            <w:r>
              <w:rPr>
                <w:b/>
                <w:bCs/>
                <w:color w:val="FFFFFF"/>
                <w:sz w:val="19"/>
                <w:szCs w:val="19"/>
              </w:rPr>
              <w:t xml:space="preserve">Timing</w:t>
            </w:r>
          </w:p>
        </w:tc>
        <w:tc>
          <w:tcPr>
            <w:tcW w:type="dxa" w:w="3219"/>
            <w:shd w:fill="1F3864" w:val="clear"/>
            <w:tcMar>
              <w:top w:type="dxa" w:w="60"/>
              <w:left w:type="dxa" w:w="100"/>
              <w:bottom w:type="dxa" w:w="60"/>
              <w:right w:type="dxa" w:w="100"/>
            </w:tcMar>
            <w:vAlign w:val="center"/>
          </w:tcPr>
          <w:p>
            <w:r>
              <w:rPr>
                <w:b/>
                <w:bCs/>
                <w:color w:val="FFFFFF"/>
                <w:sz w:val="19"/>
                <w:szCs w:val="19"/>
              </w:rPr>
              <w:t xml:space="preserve">Purpose</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Mid-Year Check-In</w:t>
            </w:r>
          </w:p>
        </w:tc>
        <w:tc>
          <w:tcPr>
            <w:tcW w:type="dxa" w:w="2919"/>
            <w:tcMar>
              <w:top w:type="dxa" w:w="60"/>
              <w:left w:type="dxa" w:w="100"/>
              <w:bottom w:type="dxa" w:w="60"/>
              <w:right w:type="dxa" w:w="100"/>
            </w:tcMar>
            <w:vAlign w:val="center"/>
          </w:tcPr>
          <w:p>
            <w:r>
              <w:rPr>
                <w:b w:val="false"/>
                <w:bCs w:val="false"/>
                <w:color w:val="000000"/>
                <w:sz w:val="19"/>
                <w:szCs w:val="19"/>
              </w:rPr>
              <w:t xml:space="preserve">June</w:t>
            </w:r>
          </w:p>
        </w:tc>
        <w:tc>
          <w:tcPr>
            <w:tcW w:type="dxa" w:w="3219"/>
            <w:tcMar>
              <w:top w:type="dxa" w:w="60"/>
              <w:left w:type="dxa" w:w="100"/>
              <w:bottom w:type="dxa" w:w="60"/>
              <w:right w:type="dxa" w:w="100"/>
            </w:tcMar>
            <w:vAlign w:val="center"/>
          </w:tcPr>
          <w:p>
            <w:r>
              <w:rPr>
                <w:b w:val="false"/>
                <w:bCs w:val="false"/>
                <w:color w:val="000000"/>
                <w:sz w:val="19"/>
                <w:szCs w:val="19"/>
              </w:rPr>
              <w:t xml:space="preserve">Progress review against KPIs; informal, no formal rating recorded</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Annual Review</w:t>
            </w:r>
          </w:p>
        </w:tc>
        <w:tc>
          <w:tcPr>
            <w:tcW w:type="dxa" w:w="2919"/>
            <w:tcMar>
              <w:top w:type="dxa" w:w="60"/>
              <w:left w:type="dxa" w:w="100"/>
              <w:bottom w:type="dxa" w:w="60"/>
              <w:right w:type="dxa" w:w="100"/>
            </w:tcMar>
            <w:vAlign w:val="center"/>
          </w:tcPr>
          <w:p>
            <w:r>
              <w:rPr>
                <w:b w:val="false"/>
                <w:bCs w:val="false"/>
                <w:color w:val="000000"/>
                <w:sz w:val="19"/>
                <w:szCs w:val="19"/>
              </w:rPr>
              <w:t xml:space="preserve">December</w:t>
            </w:r>
          </w:p>
        </w:tc>
        <w:tc>
          <w:tcPr>
            <w:tcW w:type="dxa" w:w="3219"/>
            <w:tcMar>
              <w:top w:type="dxa" w:w="60"/>
              <w:left w:type="dxa" w:w="100"/>
              <w:bottom w:type="dxa" w:w="60"/>
              <w:right w:type="dxa" w:w="100"/>
            </w:tcMar>
            <w:vAlign w:val="center"/>
          </w:tcPr>
          <w:p>
            <w:r>
              <w:rPr>
                <w:b w:val="false"/>
                <w:bCs w:val="false"/>
                <w:color w:val="000000"/>
                <w:sz w:val="19"/>
                <w:szCs w:val="19"/>
              </w:rPr>
              <w:t xml:space="preserve">Formal rating, bonus determination, promotion consideration</w:t>
            </w:r>
          </w:p>
        </w:tc>
      </w:tr>
    </w:tbl>
    <w:p>
      <w:pPr>
        <w:pStyle w:val="Heading1"/>
        <w:spacing w:after="160" w:before="360"/>
      </w:pPr>
      <w:r>
        <w:rPr>
          <w:b/>
          <w:bCs/>
          <w:color w:val="1F3864"/>
          <w:sz w:val="30"/>
          <w:szCs w:val="30"/>
        </w:rPr>
        <w:t xml:space="preserve">3. Key Performance Indicators (KPIs)</w:t>
      </w:r>
    </w:p>
    <w:p>
      <w:pPr>
        <w:spacing w:after="160" w:line="276"/>
      </w:pPr>
      <w:r>
        <w:rPr>
          <w:sz w:val="21"/>
          <w:szCs w:val="21"/>
        </w:rPr>
        <w:t xml:space="preserve">KPIs are agreed between each employee and their direct manager at the start of the review cycle and are tailored to the employee's role and department. KPIs typically fall into three categories: role-specific output metrics, core values alignment, and developmental goals.</w:t>
      </w:r>
    </w:p>
    <w:p>
      <w:pPr>
        <w:pStyle w:val="Heading2"/>
        <w:spacing w:after="120" w:before="260"/>
      </w:pPr>
      <w:r>
        <w:rPr>
          <w:b/>
          <w:bCs/>
          <w:color w:val="1F3864"/>
          <w:sz w:val="24"/>
          <w:szCs w:val="24"/>
        </w:rPr>
        <w:t xml:space="preserve">3.1 Example KPIs by Department</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3200"/>
        <w:gridCol w:w="6138"/>
      </w:tblGrid>
      <w:tr>
        <w:trPr>
          <w:tblHeader/>
        </w:trPr>
        <w:tc>
          <w:tcPr>
            <w:tcW w:type="dxa" w:w="3200"/>
            <w:shd w:fill="1F3864" w:val="clear"/>
            <w:tcMar>
              <w:top w:type="dxa" w:w="60"/>
              <w:left w:type="dxa" w:w="100"/>
              <w:bottom w:type="dxa" w:w="60"/>
              <w:right w:type="dxa" w:w="100"/>
            </w:tcMar>
            <w:vAlign w:val="center"/>
          </w:tcPr>
          <w:p>
            <w:r>
              <w:rPr>
                <w:b/>
                <w:bCs/>
                <w:color w:val="FFFFFF"/>
                <w:sz w:val="19"/>
                <w:szCs w:val="19"/>
              </w:rPr>
              <w:t xml:space="preserve">Department</w:t>
            </w:r>
          </w:p>
        </w:tc>
        <w:tc>
          <w:tcPr>
            <w:tcW w:type="dxa" w:w="6138"/>
            <w:shd w:fill="1F3864" w:val="clear"/>
            <w:tcMar>
              <w:top w:type="dxa" w:w="60"/>
              <w:left w:type="dxa" w:w="100"/>
              <w:bottom w:type="dxa" w:w="60"/>
              <w:right w:type="dxa" w:w="100"/>
            </w:tcMar>
            <w:vAlign w:val="center"/>
          </w:tcPr>
          <w:p>
            <w:r>
              <w:rPr>
                <w:b/>
                <w:bCs/>
                <w:color w:val="FFFFFF"/>
                <w:sz w:val="19"/>
                <w:szCs w:val="19"/>
              </w:rPr>
              <w:t xml:space="preserve">Example KPI</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Logistics</w:t>
            </w:r>
          </w:p>
        </w:tc>
        <w:tc>
          <w:tcPr>
            <w:tcW w:type="dxa" w:w="6138"/>
            <w:tcMar>
              <w:top w:type="dxa" w:w="60"/>
              <w:left w:type="dxa" w:w="100"/>
              <w:bottom w:type="dxa" w:w="60"/>
              <w:right w:type="dxa" w:w="100"/>
            </w:tcMar>
            <w:vAlign w:val="center"/>
          </w:tcPr>
          <w:p>
            <w:r>
              <w:rPr>
                <w:b w:val="false"/>
                <w:bCs w:val="false"/>
                <w:color w:val="000000"/>
                <w:sz w:val="19"/>
                <w:szCs w:val="19"/>
              </w:rPr>
              <w:t xml:space="preserve">Order fulfillment accuracy rate of 98% or higher</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Customer Support</w:t>
            </w:r>
          </w:p>
        </w:tc>
        <w:tc>
          <w:tcPr>
            <w:tcW w:type="dxa" w:w="6138"/>
            <w:tcMar>
              <w:top w:type="dxa" w:w="60"/>
              <w:left w:type="dxa" w:w="100"/>
              <w:bottom w:type="dxa" w:w="60"/>
              <w:right w:type="dxa" w:w="100"/>
            </w:tcMar>
            <w:vAlign w:val="center"/>
          </w:tcPr>
          <w:p>
            <w:r>
              <w:rPr>
                <w:b w:val="false"/>
                <w:bCs w:val="false"/>
                <w:color w:val="000000"/>
                <w:sz w:val="19"/>
                <w:szCs w:val="19"/>
              </w:rPr>
              <w:t xml:space="preserve">Average client query resolution within 24 hours</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Finance</w:t>
            </w:r>
          </w:p>
        </w:tc>
        <w:tc>
          <w:tcPr>
            <w:tcW w:type="dxa" w:w="6138"/>
            <w:tcMar>
              <w:top w:type="dxa" w:w="60"/>
              <w:left w:type="dxa" w:w="100"/>
              <w:bottom w:type="dxa" w:w="60"/>
              <w:right w:type="dxa" w:w="100"/>
            </w:tcMar>
            <w:vAlign w:val="center"/>
          </w:tcPr>
          <w:p>
            <w:r>
              <w:rPr>
                <w:b w:val="false"/>
                <w:bCs w:val="false"/>
                <w:color w:val="000000"/>
                <w:sz w:val="19"/>
                <w:szCs w:val="19"/>
              </w:rPr>
              <w:t xml:space="preserve">Month-end close completed within 5 working days</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IT</w:t>
            </w:r>
          </w:p>
        </w:tc>
        <w:tc>
          <w:tcPr>
            <w:tcW w:type="dxa" w:w="6138"/>
            <w:tcMar>
              <w:top w:type="dxa" w:w="60"/>
              <w:left w:type="dxa" w:w="100"/>
              <w:bottom w:type="dxa" w:w="60"/>
              <w:right w:type="dxa" w:w="100"/>
            </w:tcMar>
            <w:vAlign w:val="center"/>
          </w:tcPr>
          <w:p>
            <w:r>
              <w:rPr>
                <w:b w:val="false"/>
                <w:bCs w:val="false"/>
                <w:color w:val="000000"/>
                <w:sz w:val="19"/>
                <w:szCs w:val="19"/>
              </w:rPr>
              <w:t xml:space="preserve">System uptime of 99.5% or higher for core platforms</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Procurement</w:t>
            </w:r>
          </w:p>
        </w:tc>
        <w:tc>
          <w:tcPr>
            <w:tcW w:type="dxa" w:w="6138"/>
            <w:tcMar>
              <w:top w:type="dxa" w:w="60"/>
              <w:left w:type="dxa" w:w="100"/>
              <w:bottom w:type="dxa" w:w="60"/>
              <w:right w:type="dxa" w:w="100"/>
            </w:tcMar>
            <w:vAlign w:val="center"/>
          </w:tcPr>
          <w:p>
            <w:r>
              <w:rPr>
                <w:b w:val="false"/>
                <w:bCs w:val="false"/>
                <w:color w:val="000000"/>
                <w:sz w:val="19"/>
                <w:szCs w:val="19"/>
              </w:rPr>
              <w:t xml:space="preserve">Vendor contract renewals processed without lapse in coverage</w:t>
            </w:r>
          </w:p>
        </w:tc>
      </w:tr>
    </w:tbl>
    <w:p>
      <w:pPr>
        <w:spacing w:after="160" w:line="276"/>
      </w:pPr>
      <w:r>
        <w:rPr>
          <w:sz w:val="21"/>
          <w:szCs w:val="21"/>
        </w:rPr>
        <w:t xml:space="preserve">Department Directors are responsible for ensuring KPIs set within their department are measurable, realistic, and aligned with overall company objectives communicated by the Executive Office.</w:t>
      </w:r>
    </w:p>
    <w:p>
      <w:pPr>
        <w:pStyle w:val="Heading1"/>
        <w:spacing w:after="160" w:before="360"/>
      </w:pPr>
      <w:r>
        <w:rPr>
          <w:b/>
          <w:bCs/>
          <w:color w:val="1F3864"/>
          <w:sz w:val="30"/>
          <w:szCs w:val="30"/>
        </w:rPr>
        <w:t xml:space="preserve">4. Evaluation Forms</w:t>
      </w:r>
    </w:p>
    <w:p>
      <w:pPr>
        <w:spacing w:after="160" w:line="276"/>
      </w:pPr>
      <w:r>
        <w:rPr>
          <w:sz w:val="21"/>
          <w:szCs w:val="21"/>
        </w:rPr>
        <w:t xml:space="preserve">All formal reviews are documented using the standard Performance Evaluation Form, available on the HR portal. The form captures KPI achievement, a core values assessment, manager comments, and an overall rating. Employees complete a self-assessment section prior to the review meeting, which the manager considers alongside their own assessment.</w:t>
      </w:r>
    </w:p>
    <w:p>
      <w:pPr>
        <w:pStyle w:val="Heading2"/>
        <w:spacing w:after="120" w:before="260"/>
      </w:pPr>
      <w:r>
        <w:rPr>
          <w:b/>
          <w:bCs/>
          <w:color w:val="1F3864"/>
          <w:sz w:val="24"/>
          <w:szCs w:val="24"/>
        </w:rPr>
        <w:t xml:space="preserve">4.1 Evaluation Form Sections</w:t>
      </w:r>
    </w:p>
    <w:tbl>
      <w:tblPr>
        <w:tblW w:type="dxa" w:w="9519"/>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19"/>
      </w:tblGrid>
      <w:tr>
        <w:trPr>
          <w:tblHeader/>
        </w:trPr>
        <w:tc>
          <w:tcPr>
            <w:tcW w:type="dxa" w:w="2800"/>
            <w:shd w:fill="1F3864" w:val="clear"/>
            <w:tcMar>
              <w:top w:type="dxa" w:w="60"/>
              <w:left w:type="dxa" w:w="100"/>
              <w:bottom w:type="dxa" w:w="60"/>
              <w:right w:type="dxa" w:w="100"/>
            </w:tcMar>
            <w:vAlign w:val="center"/>
          </w:tcPr>
          <w:p>
            <w:r>
              <w:rPr>
                <w:b/>
                <w:bCs/>
                <w:color w:val="FFFFFF"/>
                <w:sz w:val="19"/>
                <w:szCs w:val="19"/>
              </w:rPr>
              <w:t xml:space="preserve">Section</w:t>
            </w:r>
          </w:p>
        </w:tc>
        <w:tc>
          <w:tcPr>
            <w:tcW w:type="dxa" w:w="2200"/>
            <w:shd w:fill="1F3864" w:val="clear"/>
            <w:tcMar>
              <w:top w:type="dxa" w:w="60"/>
              <w:left w:type="dxa" w:w="100"/>
              <w:bottom w:type="dxa" w:w="60"/>
              <w:right w:type="dxa" w:w="100"/>
            </w:tcMar>
            <w:vAlign w:val="center"/>
          </w:tcPr>
          <w:p>
            <w:r>
              <w:rPr>
                <w:b/>
                <w:bCs/>
                <w:color w:val="FFFFFF"/>
                <w:sz w:val="19"/>
                <w:szCs w:val="19"/>
              </w:rPr>
              <w:t xml:space="preserve">Completed By</w:t>
            </w:r>
          </w:p>
        </w:tc>
        <w:tc>
          <w:tcPr>
            <w:tcW w:type="dxa" w:w="4519"/>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Self-Assessment</w:t>
            </w:r>
          </w:p>
        </w:tc>
        <w:tc>
          <w:tcPr>
            <w:tcW w:type="dxa" w:w="2200"/>
            <w:tcMar>
              <w:top w:type="dxa" w:w="60"/>
              <w:left w:type="dxa" w:w="100"/>
              <w:bottom w:type="dxa" w:w="60"/>
              <w:right w:type="dxa" w:w="100"/>
            </w:tcMar>
            <w:vAlign w:val="center"/>
          </w:tcPr>
          <w:p>
            <w:r>
              <w:rPr>
                <w:b w:val="false"/>
                <w:bCs w:val="false"/>
                <w:color w:val="000000"/>
                <w:sz w:val="19"/>
                <w:szCs w:val="19"/>
              </w:rPr>
              <w:t xml:space="preserve">Employee</w:t>
            </w:r>
          </w:p>
        </w:tc>
        <w:tc>
          <w:tcPr>
            <w:tcW w:type="dxa" w:w="4519"/>
            <w:tcMar>
              <w:top w:type="dxa" w:w="60"/>
              <w:left w:type="dxa" w:w="100"/>
              <w:bottom w:type="dxa" w:w="60"/>
              <w:right w:type="dxa" w:w="100"/>
            </w:tcMar>
            <w:vAlign w:val="center"/>
          </w:tcPr>
          <w:p>
            <w:r>
              <w:rPr>
                <w:b w:val="false"/>
                <w:bCs w:val="false"/>
                <w:color w:val="000000"/>
                <w:sz w:val="19"/>
                <w:szCs w:val="19"/>
              </w:rPr>
              <w:t xml:space="preserve">Employee's own view of KPI achievement and key contributions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Manager Assessment</w:t>
            </w:r>
          </w:p>
        </w:tc>
        <w:tc>
          <w:tcPr>
            <w:tcW w:type="dxa" w:w="2200"/>
            <w:tcMar>
              <w:top w:type="dxa" w:w="60"/>
              <w:left w:type="dxa" w:w="100"/>
              <w:bottom w:type="dxa" w:w="60"/>
              <w:right w:type="dxa" w:w="100"/>
            </w:tcMar>
            <w:vAlign w:val="center"/>
          </w:tcPr>
          <w:p>
            <w:r>
              <w:rPr>
                <w:b w:val="false"/>
                <w:bCs w:val="false"/>
                <w:color w:val="000000"/>
                <w:sz w:val="19"/>
                <w:szCs w:val="19"/>
              </w:rPr>
              <w:t xml:space="preserve">Direct Manager</w:t>
            </w:r>
          </w:p>
        </w:tc>
        <w:tc>
          <w:tcPr>
            <w:tcW w:type="dxa" w:w="4519"/>
            <w:tcMar>
              <w:top w:type="dxa" w:w="60"/>
              <w:left w:type="dxa" w:w="100"/>
              <w:bottom w:type="dxa" w:w="60"/>
              <w:right w:type="dxa" w:w="100"/>
            </w:tcMar>
            <w:vAlign w:val="center"/>
          </w:tcPr>
          <w:p>
            <w:r>
              <w:rPr>
                <w:b w:val="false"/>
                <w:bCs w:val="false"/>
                <w:color w:val="000000"/>
                <w:sz w:val="19"/>
                <w:szCs w:val="19"/>
              </w:rPr>
              <w:t xml:space="preserve">Manager's evaluation against agreed KPIs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Core Values Review</w:t>
            </w:r>
          </w:p>
        </w:tc>
        <w:tc>
          <w:tcPr>
            <w:tcW w:type="dxa" w:w="2200"/>
            <w:tcMar>
              <w:top w:type="dxa" w:w="60"/>
              <w:left w:type="dxa" w:w="100"/>
              <w:bottom w:type="dxa" w:w="60"/>
              <w:right w:type="dxa" w:w="100"/>
            </w:tcMar>
            <w:vAlign w:val="center"/>
          </w:tcPr>
          <w:p>
            <w:r>
              <w:rPr>
                <w:b w:val="false"/>
                <w:bCs w:val="false"/>
                <w:color w:val="000000"/>
                <w:sz w:val="19"/>
                <w:szCs w:val="19"/>
              </w:rPr>
              <w:t xml:space="preserve">Direct Manager</w:t>
            </w:r>
          </w:p>
        </w:tc>
        <w:tc>
          <w:tcPr>
            <w:tcW w:type="dxa" w:w="4519"/>
            <w:tcMar>
              <w:top w:type="dxa" w:w="60"/>
              <w:left w:type="dxa" w:w="100"/>
              <w:bottom w:type="dxa" w:w="60"/>
              <w:right w:type="dxa" w:w="100"/>
            </w:tcMar>
            <w:vAlign w:val="center"/>
          </w:tcPr>
          <w:p>
            <w:r>
              <w:rPr>
                <w:b w:val="false"/>
                <w:bCs w:val="false"/>
                <w:color w:val="000000"/>
                <w:sz w:val="19"/>
                <w:szCs w:val="19"/>
              </w:rPr>
              <w:t xml:space="preserve">Assessment against SkyJet core values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Development Plan</w:t>
            </w:r>
          </w:p>
        </w:tc>
        <w:tc>
          <w:tcPr>
            <w:tcW w:type="dxa" w:w="2200"/>
            <w:tcMar>
              <w:top w:type="dxa" w:w="60"/>
              <w:left w:type="dxa" w:w="100"/>
              <w:bottom w:type="dxa" w:w="60"/>
              <w:right w:type="dxa" w:w="100"/>
            </w:tcMar>
            <w:vAlign w:val="center"/>
          </w:tcPr>
          <w:p>
            <w:r>
              <w:rPr>
                <w:b w:val="false"/>
                <w:bCs w:val="false"/>
                <w:color w:val="000000"/>
                <w:sz w:val="19"/>
                <w:szCs w:val="19"/>
              </w:rPr>
              <w:t xml:space="preserve">Employee + Manager, jointly</w:t>
            </w:r>
          </w:p>
        </w:tc>
        <w:tc>
          <w:tcPr>
            <w:tcW w:type="dxa" w:w="4519"/>
            <w:tcMar>
              <w:top w:type="dxa" w:w="60"/>
              <w:left w:type="dxa" w:w="100"/>
              <w:bottom w:type="dxa" w:w="60"/>
              <w:right w:type="dxa" w:w="100"/>
            </w:tcMar>
            <w:vAlign w:val="center"/>
          </w:tcPr>
          <w:p>
            <w:r>
              <w:rPr>
                <w:b w:val="false"/>
                <w:bCs w:val="false"/>
                <w:color w:val="000000"/>
                <w:sz w:val="19"/>
                <w:szCs w:val="19"/>
              </w:rPr>
              <w:t xml:space="preserve">Goals and support needed for the next cycle</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Overall Rating</w:t>
            </w:r>
          </w:p>
        </w:tc>
        <w:tc>
          <w:tcPr>
            <w:tcW w:type="dxa" w:w="2200"/>
            <w:tcMar>
              <w:top w:type="dxa" w:w="60"/>
              <w:left w:type="dxa" w:w="100"/>
              <w:bottom w:type="dxa" w:w="60"/>
              <w:right w:type="dxa" w:w="100"/>
            </w:tcMar>
            <w:vAlign w:val="center"/>
          </w:tcPr>
          <w:p>
            <w:r>
              <w:rPr>
                <w:b w:val="false"/>
                <w:bCs w:val="false"/>
                <w:color w:val="000000"/>
                <w:sz w:val="19"/>
                <w:szCs w:val="19"/>
              </w:rPr>
              <w:t xml:space="preserve">Direct Manager</w:t>
            </w:r>
          </w:p>
        </w:tc>
        <w:tc>
          <w:tcPr>
            <w:tcW w:type="dxa" w:w="4519"/>
            <w:tcMar>
              <w:top w:type="dxa" w:w="60"/>
              <w:left w:type="dxa" w:w="100"/>
              <w:bottom w:type="dxa" w:w="60"/>
              <w:right w:type="dxa" w:w="100"/>
            </w:tcMar>
            <w:vAlign w:val="center"/>
          </w:tcPr>
          <w:p>
            <w:r>
              <w:rPr>
                <w:b w:val="false"/>
                <w:bCs w:val="false"/>
                <w:color w:val="000000"/>
                <w:sz w:val="19"/>
                <w:szCs w:val="19"/>
              </w:rPr>
              <w:t xml:space="preserve">Final rating per the scale in Section 5</w:t>
            </w:r>
          </w:p>
        </w:tc>
      </w:tr>
    </w:tbl>
    <w:p>
      <w:pPr>
        <w:pStyle w:val="Heading1"/>
        <w:spacing w:after="160" w:before="360"/>
      </w:pPr>
      <w:r>
        <w:rPr>
          <w:b/>
          <w:bCs/>
          <w:color w:val="1F3864"/>
          <w:sz w:val="30"/>
          <w:szCs w:val="30"/>
        </w:rPr>
        <w:t xml:space="preserve">5. Rating Scale</w:t>
      </w:r>
    </w:p>
    <w:p>
      <w:pPr>
        <w:spacing w:after="160" w:line="276"/>
      </w:pPr>
      <w:r>
        <w:rPr>
          <w:sz w:val="21"/>
          <w:szCs w:val="21"/>
        </w:rPr>
        <w:t xml:space="preserve">SkyJet uses a four-point rating scale for annual performance reviews, summarized below. Ratings directly inform bonus calculations, described in the Benefits Guide (Document ID SJL-HR-003), Section 6, and are a key input to promotion decisions.</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3200"/>
        <w:gridCol w:w="6138"/>
      </w:tblGrid>
      <w:tr>
        <w:trPr>
          <w:tblHeader/>
        </w:trPr>
        <w:tc>
          <w:tcPr>
            <w:tcW w:type="dxa" w:w="3200"/>
            <w:shd w:fill="1F3864" w:val="clear"/>
            <w:tcMar>
              <w:top w:type="dxa" w:w="60"/>
              <w:left w:type="dxa" w:w="100"/>
              <w:bottom w:type="dxa" w:w="60"/>
              <w:right w:type="dxa" w:w="100"/>
            </w:tcMar>
            <w:vAlign w:val="center"/>
          </w:tcPr>
          <w:p>
            <w:r>
              <w:rPr>
                <w:b/>
                <w:bCs/>
                <w:color w:val="FFFFFF"/>
                <w:sz w:val="19"/>
                <w:szCs w:val="19"/>
              </w:rPr>
              <w:t xml:space="preserve">Rating</w:t>
            </w:r>
          </w:p>
        </w:tc>
        <w:tc>
          <w:tcPr>
            <w:tcW w:type="dxa" w:w="6138"/>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Exceeds Expectations</w:t>
            </w:r>
          </w:p>
        </w:tc>
        <w:tc>
          <w:tcPr>
            <w:tcW w:type="dxa" w:w="6138"/>
            <w:tcMar>
              <w:top w:type="dxa" w:w="60"/>
              <w:left w:type="dxa" w:w="100"/>
              <w:bottom w:type="dxa" w:w="60"/>
              <w:right w:type="dxa" w:w="100"/>
            </w:tcMar>
            <w:vAlign w:val="center"/>
          </w:tcPr>
          <w:p>
            <w:r>
              <w:rPr>
                <w:b w:val="false"/>
                <w:bCs w:val="false"/>
                <w:color w:val="000000"/>
                <w:sz w:val="19"/>
                <w:szCs w:val="19"/>
              </w:rPr>
              <w:t xml:space="preserve">Consistently surpasses agreed KPIs and demonstrates strong values alignment; ready for expanded responsibility</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Meets Expectations</w:t>
            </w:r>
          </w:p>
        </w:tc>
        <w:tc>
          <w:tcPr>
            <w:tcW w:type="dxa" w:w="6138"/>
            <w:tcMar>
              <w:top w:type="dxa" w:w="60"/>
              <w:left w:type="dxa" w:w="100"/>
              <w:bottom w:type="dxa" w:w="60"/>
              <w:right w:type="dxa" w:w="100"/>
            </w:tcMar>
            <w:vAlign w:val="center"/>
          </w:tcPr>
          <w:p>
            <w:r>
              <w:rPr>
                <w:b w:val="false"/>
                <w:bCs w:val="false"/>
                <w:color w:val="000000"/>
                <w:sz w:val="19"/>
                <w:szCs w:val="19"/>
              </w:rPr>
              <w:t xml:space="preserve">Reliably achieves agreed KPIs and demonstrates solid values alignment</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Partially Meets Expectations</w:t>
            </w:r>
          </w:p>
        </w:tc>
        <w:tc>
          <w:tcPr>
            <w:tcW w:type="dxa" w:w="6138"/>
            <w:tcMar>
              <w:top w:type="dxa" w:w="60"/>
              <w:left w:type="dxa" w:w="100"/>
              <w:bottom w:type="dxa" w:w="60"/>
              <w:right w:type="dxa" w:w="100"/>
            </w:tcMar>
            <w:vAlign w:val="center"/>
          </w:tcPr>
          <w:p>
            <w:r>
              <w:rPr>
                <w:b w:val="false"/>
                <w:bCs w:val="false"/>
                <w:color w:val="000000"/>
                <w:sz w:val="19"/>
                <w:szCs w:val="19"/>
              </w:rPr>
              <w:t xml:space="preserve">Achieves some but not all KPIs; improvement plan recommended</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Does Not Meet Expectations</w:t>
            </w:r>
          </w:p>
        </w:tc>
        <w:tc>
          <w:tcPr>
            <w:tcW w:type="dxa" w:w="6138"/>
            <w:tcMar>
              <w:top w:type="dxa" w:w="60"/>
              <w:left w:type="dxa" w:w="100"/>
              <w:bottom w:type="dxa" w:w="60"/>
              <w:right w:type="dxa" w:w="100"/>
            </w:tcMar>
            <w:vAlign w:val="center"/>
          </w:tcPr>
          <w:p>
            <w:r>
              <w:rPr>
                <w:b w:val="false"/>
                <w:bCs w:val="false"/>
                <w:color w:val="000000"/>
                <w:sz w:val="19"/>
                <w:szCs w:val="19"/>
              </w:rPr>
              <w:t xml:space="preserve">Falls short of most agreed KPIs; formal performance improvement plan required</w:t>
            </w:r>
          </w:p>
        </w:tc>
      </w:tr>
    </w:tbl>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What happens if I receive a 'Does Not Meet Expectations' rating?</w:t>
      </w:r>
    </w:p>
    <w:p>
      <w:pPr>
        <w:spacing w:after="160" w:line="276"/>
      </w:pPr>
      <w:r>
        <w:rPr>
          <w:sz w:val="21"/>
          <w:szCs w:val="21"/>
        </w:rPr>
        <w:t xml:space="preserve">A: Your manager will initiate a formal Performance Improvement Plan (PIP) with defined milestones and a follow-up review, typically within 90 days.</w:t>
      </w:r>
    </w:p>
    <w:p>
      <w:pPr>
        <w:spacing w:after="40" w:before="120"/>
      </w:pPr>
      <w:r>
        <w:rPr>
          <w:b/>
          <w:bCs/>
          <w:i/>
          <w:iCs/>
          <w:sz w:val="21"/>
          <w:szCs w:val="21"/>
        </w:rPr>
        <w:t xml:space="preserve">Q: Can I dispute my rating?</w:t>
      </w:r>
    </w:p>
    <w:p>
      <w:pPr>
        <w:spacing w:after="160" w:line="276"/>
      </w:pPr>
      <w:r>
        <w:rPr>
          <w:sz w:val="21"/>
          <w:szCs w:val="21"/>
        </w:rPr>
        <w:t xml:space="preserve">A: Yes. Raise the concern with your manager first; if unresolved, escalate to HR following the Grievance Process in the Employee Handbook (SJL-HR-001), Section 18.</w:t>
      </w:r>
    </w:p>
    <w:p>
      <w:pPr>
        <w:pStyle w:val="Heading1"/>
        <w:spacing w:after="160" w:before="360"/>
      </w:pPr>
      <w:r>
        <w:rPr>
          <w:b/>
          <w:bCs/>
          <w:color w:val="1F3864"/>
          <w:sz w:val="30"/>
          <w:szCs w:val="30"/>
        </w:rPr>
        <w:t xml:space="preserve">6. Promotion Matrix</w:t>
      </w:r>
    </w:p>
    <w:p>
      <w:pPr>
        <w:spacing w:after="160" w:line="276"/>
      </w:pPr>
      <w:r>
        <w:rPr>
          <w:sz w:val="21"/>
          <w:szCs w:val="21"/>
        </w:rPr>
        <w:t xml:space="preserve">Promotion eligibility is assessed during the annual review cycle based on sustained performance rating, time in current role, and an available role or level at the next tier. The promotion matrix below summarizes typical eligibility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9"/>
        <w:gridCol w:w="2200"/>
        <w:gridCol w:w="3819"/>
      </w:tblGrid>
      <w:tr>
        <w:trPr>
          <w:tblHeader/>
        </w:trPr>
        <w:tc>
          <w:tcPr>
            <w:tcW w:type="dxa" w:w="3619"/>
            <w:shd w:fill="1F3864" w:val="clear"/>
            <w:tcMar>
              <w:top w:type="dxa" w:w="60"/>
              <w:left w:type="dxa" w:w="100"/>
              <w:bottom w:type="dxa" w:w="60"/>
              <w:right w:type="dxa" w:w="100"/>
            </w:tcMar>
            <w:vAlign w:val="center"/>
          </w:tcPr>
          <w:p>
            <w:r>
              <w:rPr>
                <w:b/>
                <w:bCs/>
                <w:color w:val="FFFFFF"/>
                <w:sz w:val="19"/>
                <w:szCs w:val="19"/>
              </w:rPr>
              <w:t xml:space="preserve">Current Rating Trend</w:t>
            </w:r>
          </w:p>
        </w:tc>
        <w:tc>
          <w:tcPr>
            <w:tcW w:type="dxa" w:w="2200"/>
            <w:shd w:fill="1F3864" w:val="clear"/>
            <w:tcMar>
              <w:top w:type="dxa" w:w="60"/>
              <w:left w:type="dxa" w:w="100"/>
              <w:bottom w:type="dxa" w:w="60"/>
              <w:right w:type="dxa" w:w="100"/>
            </w:tcMar>
            <w:vAlign w:val="center"/>
          </w:tcPr>
          <w:p>
            <w:r>
              <w:rPr>
                <w:b/>
                <w:bCs/>
                <w:color w:val="FFFFFF"/>
                <w:sz w:val="19"/>
                <w:szCs w:val="19"/>
              </w:rPr>
              <w:t xml:space="preserve">Minimum Time in Role</w:t>
            </w:r>
          </w:p>
        </w:tc>
        <w:tc>
          <w:tcPr>
            <w:tcW w:type="dxa" w:w="3819"/>
            <w:shd w:fill="1F3864" w:val="clear"/>
            <w:tcMar>
              <w:top w:type="dxa" w:w="60"/>
              <w:left w:type="dxa" w:w="100"/>
              <w:bottom w:type="dxa" w:w="60"/>
              <w:right w:type="dxa" w:w="100"/>
            </w:tcMar>
            <w:vAlign w:val="center"/>
          </w:tcPr>
          <w:p>
            <w:r>
              <w:rPr>
                <w:b/>
                <w:bCs/>
                <w:color w:val="FFFFFF"/>
                <w:sz w:val="19"/>
                <w:szCs w:val="19"/>
              </w:rPr>
              <w:t xml:space="preserve">Promotion Eligibility</w:t>
            </w:r>
          </w:p>
        </w:tc>
      </w:tr>
      <w:tr>
        <w:tc>
          <w:tcPr>
            <w:tcW w:type="dxa" w:w="3619"/>
            <w:tcMar>
              <w:top w:type="dxa" w:w="60"/>
              <w:left w:type="dxa" w:w="100"/>
              <w:bottom w:type="dxa" w:w="60"/>
              <w:right w:type="dxa" w:w="100"/>
            </w:tcMar>
            <w:vAlign w:val="center"/>
          </w:tcPr>
          <w:p>
            <w:r>
              <w:rPr>
                <w:b w:val="false"/>
                <w:bCs w:val="false"/>
                <w:color w:val="000000"/>
                <w:sz w:val="19"/>
                <w:szCs w:val="19"/>
              </w:rPr>
              <w:t xml:space="preserve">Exceeds Expectations (2+ consecutive cycles)</w:t>
            </w:r>
          </w:p>
        </w:tc>
        <w:tc>
          <w:tcPr>
            <w:tcW w:type="dxa" w:w="2200"/>
            <w:tcMar>
              <w:top w:type="dxa" w:w="60"/>
              <w:left w:type="dxa" w:w="100"/>
              <w:bottom w:type="dxa" w:w="60"/>
              <w:right w:type="dxa" w:w="100"/>
            </w:tcMar>
            <w:vAlign w:val="center"/>
          </w:tcPr>
          <w:p>
            <w:r>
              <w:rPr>
                <w:b w:val="false"/>
                <w:bCs w:val="false"/>
                <w:color w:val="000000"/>
                <w:sz w:val="19"/>
                <w:szCs w:val="19"/>
              </w:rPr>
              <w:t xml:space="preserve">12 months</w:t>
            </w:r>
          </w:p>
        </w:tc>
        <w:tc>
          <w:tcPr>
            <w:tcW w:type="dxa" w:w="3819"/>
            <w:tcMar>
              <w:top w:type="dxa" w:w="60"/>
              <w:left w:type="dxa" w:w="100"/>
              <w:bottom w:type="dxa" w:w="60"/>
              <w:right w:type="dxa" w:w="100"/>
            </w:tcMar>
            <w:vAlign w:val="center"/>
          </w:tcPr>
          <w:p>
            <w:r>
              <w:rPr>
                <w:b w:val="false"/>
                <w:bCs w:val="false"/>
                <w:color w:val="000000"/>
                <w:sz w:val="19"/>
                <w:szCs w:val="19"/>
              </w:rPr>
              <w:t xml:space="preserve">Eligible for promotion consideration</w:t>
            </w:r>
          </w:p>
        </w:tc>
      </w:tr>
      <w:tr>
        <w:tc>
          <w:tcPr>
            <w:tcW w:type="dxa" w:w="3619"/>
            <w:tcMar>
              <w:top w:type="dxa" w:w="60"/>
              <w:left w:type="dxa" w:w="100"/>
              <w:bottom w:type="dxa" w:w="60"/>
              <w:right w:type="dxa" w:w="100"/>
            </w:tcMar>
            <w:vAlign w:val="center"/>
          </w:tcPr>
          <w:p>
            <w:r>
              <w:rPr>
                <w:b w:val="false"/>
                <w:bCs w:val="false"/>
                <w:color w:val="000000"/>
                <w:sz w:val="19"/>
                <w:szCs w:val="19"/>
              </w:rPr>
              <w:t xml:space="preserve">Meets Expectations (consistently)</w:t>
            </w:r>
          </w:p>
        </w:tc>
        <w:tc>
          <w:tcPr>
            <w:tcW w:type="dxa" w:w="2200"/>
            <w:tcMar>
              <w:top w:type="dxa" w:w="60"/>
              <w:left w:type="dxa" w:w="100"/>
              <w:bottom w:type="dxa" w:w="60"/>
              <w:right w:type="dxa" w:w="100"/>
            </w:tcMar>
            <w:vAlign w:val="center"/>
          </w:tcPr>
          <w:p>
            <w:r>
              <w:rPr>
                <w:b w:val="false"/>
                <w:bCs w:val="false"/>
                <w:color w:val="000000"/>
                <w:sz w:val="19"/>
                <w:szCs w:val="19"/>
              </w:rPr>
              <w:t xml:space="preserve">24 months</w:t>
            </w:r>
          </w:p>
        </w:tc>
        <w:tc>
          <w:tcPr>
            <w:tcW w:type="dxa" w:w="3819"/>
            <w:tcMar>
              <w:top w:type="dxa" w:w="60"/>
              <w:left w:type="dxa" w:w="100"/>
              <w:bottom w:type="dxa" w:w="60"/>
              <w:right w:type="dxa" w:w="100"/>
            </w:tcMar>
            <w:vAlign w:val="center"/>
          </w:tcPr>
          <w:p>
            <w:r>
              <w:rPr>
                <w:b w:val="false"/>
                <w:bCs w:val="false"/>
                <w:color w:val="000000"/>
                <w:sz w:val="19"/>
                <w:szCs w:val="19"/>
              </w:rPr>
              <w:t xml:space="preserve">Eligible for promotion consideration with Director endorsement</w:t>
            </w:r>
          </w:p>
        </w:tc>
      </w:tr>
      <w:tr>
        <w:tc>
          <w:tcPr>
            <w:tcW w:type="dxa" w:w="3619"/>
            <w:tcMar>
              <w:top w:type="dxa" w:w="60"/>
              <w:left w:type="dxa" w:w="100"/>
              <w:bottom w:type="dxa" w:w="60"/>
              <w:right w:type="dxa" w:w="100"/>
            </w:tcMar>
            <w:vAlign w:val="center"/>
          </w:tcPr>
          <w:p>
            <w:r>
              <w:rPr>
                <w:b w:val="false"/>
                <w:bCs w:val="false"/>
                <w:color w:val="000000"/>
                <w:sz w:val="19"/>
                <w:szCs w:val="19"/>
              </w:rPr>
              <w:t xml:space="preserve">Partially Meets Expectations</w:t>
            </w:r>
          </w:p>
        </w:tc>
        <w:tc>
          <w:tcPr>
            <w:tcW w:type="dxa" w:w="2200"/>
            <w:tcMar>
              <w:top w:type="dxa" w:w="60"/>
              <w:left w:type="dxa" w:w="100"/>
              <w:bottom w:type="dxa" w:w="60"/>
              <w:right w:type="dxa" w:w="100"/>
            </w:tcMar>
            <w:vAlign w:val="center"/>
          </w:tcPr>
          <w:p>
            <w:r>
              <w:rPr>
                <w:b w:val="false"/>
                <w:bCs w:val="false"/>
                <w:color w:val="000000"/>
                <w:sz w:val="19"/>
                <w:szCs w:val="19"/>
              </w:rPr>
              <w:t xml:space="preserve">N/A</w:t>
            </w:r>
          </w:p>
        </w:tc>
        <w:tc>
          <w:tcPr>
            <w:tcW w:type="dxa" w:w="3819"/>
            <w:tcMar>
              <w:top w:type="dxa" w:w="60"/>
              <w:left w:type="dxa" w:w="100"/>
              <w:bottom w:type="dxa" w:w="60"/>
              <w:right w:type="dxa" w:w="100"/>
            </w:tcMar>
            <w:vAlign w:val="center"/>
          </w:tcPr>
          <w:p>
            <w:r>
              <w:rPr>
                <w:b w:val="false"/>
                <w:bCs w:val="false"/>
                <w:color w:val="000000"/>
                <w:sz w:val="19"/>
                <w:szCs w:val="19"/>
              </w:rPr>
              <w:t xml:space="preserve">Not eligible; focus on improvement plan</w:t>
            </w:r>
          </w:p>
        </w:tc>
      </w:tr>
      <w:tr>
        <w:tc>
          <w:tcPr>
            <w:tcW w:type="dxa" w:w="3619"/>
            <w:tcMar>
              <w:top w:type="dxa" w:w="60"/>
              <w:left w:type="dxa" w:w="100"/>
              <w:bottom w:type="dxa" w:w="60"/>
              <w:right w:type="dxa" w:w="100"/>
            </w:tcMar>
            <w:vAlign w:val="center"/>
          </w:tcPr>
          <w:p>
            <w:r>
              <w:rPr>
                <w:b w:val="false"/>
                <w:bCs w:val="false"/>
                <w:color w:val="000000"/>
                <w:sz w:val="19"/>
                <w:szCs w:val="19"/>
              </w:rPr>
              <w:t xml:space="preserve">Does Not Meet Expectations</w:t>
            </w:r>
          </w:p>
        </w:tc>
        <w:tc>
          <w:tcPr>
            <w:tcW w:type="dxa" w:w="2200"/>
            <w:tcMar>
              <w:top w:type="dxa" w:w="60"/>
              <w:left w:type="dxa" w:w="100"/>
              <w:bottom w:type="dxa" w:w="60"/>
              <w:right w:type="dxa" w:w="100"/>
            </w:tcMar>
            <w:vAlign w:val="center"/>
          </w:tcPr>
          <w:p>
            <w:r>
              <w:rPr>
                <w:b w:val="false"/>
                <w:bCs w:val="false"/>
                <w:color w:val="000000"/>
                <w:sz w:val="19"/>
                <w:szCs w:val="19"/>
              </w:rPr>
              <w:t xml:space="preserve">N/A</w:t>
            </w:r>
          </w:p>
        </w:tc>
        <w:tc>
          <w:tcPr>
            <w:tcW w:type="dxa" w:w="3819"/>
            <w:tcMar>
              <w:top w:type="dxa" w:w="60"/>
              <w:left w:type="dxa" w:w="100"/>
              <w:bottom w:type="dxa" w:w="60"/>
              <w:right w:type="dxa" w:w="100"/>
            </w:tcMar>
            <w:vAlign w:val="center"/>
          </w:tcPr>
          <w:p>
            <w:r>
              <w:rPr>
                <w:b w:val="false"/>
                <w:bCs w:val="false"/>
                <w:color w:val="000000"/>
                <w:sz w:val="19"/>
                <w:szCs w:val="19"/>
              </w:rPr>
              <w:t xml:space="preserve">Not eligible; PIP required before reconsideration</w:t>
            </w:r>
          </w:p>
        </w:tc>
      </w:tr>
    </w:tbl>
    <w:p>
      <w:pPr>
        <w:spacing w:after="160" w:line="276"/>
      </w:pPr>
      <w:r>
        <w:rPr>
          <w:sz w:val="21"/>
          <w:szCs w:val="21"/>
        </w:rPr>
        <w:t xml:space="preserve">Promotion decisions require Department Director recommendation and, for promotions to Manager level or above, Executive Office approval. Promotions are typically effective the first pay cycle following the annual review, in coordination with the Payroll Policy (Document ID SJL-FIN-004).</w:t>
      </w:r>
    </w:p>
    <w:p>
      <w:pPr>
        <w:pStyle w:val="Heading1"/>
        <w:spacing w:after="160" w:before="360"/>
      </w:pPr>
      <w:r>
        <w:rPr>
          <w:b/>
          <w:bCs/>
          <w:color w:val="1F3864"/>
          <w:sz w:val="30"/>
          <w:szCs w:val="30"/>
        </w:rPr>
        <w:t xml:space="preserve">7. Career Development</w:t>
      </w:r>
    </w:p>
    <w:p>
      <w:pPr>
        <w:spacing w:after="160" w:line="276"/>
      </w:pPr>
      <w:r>
        <w:rPr>
          <w:sz w:val="21"/>
          <w:szCs w:val="21"/>
        </w:rPr>
        <w:t xml:space="preserve">Every annual review includes a joint development plan between the employee and their manager, identifying skills to build and support needed, such as training budget or a stretch assignment. Development plans are revisited at the mid-year check-in to track progress.</w:t>
      </w:r>
    </w:p>
    <w:p>
      <w:pPr>
        <w:spacing w:after="160" w:line="276"/>
      </w:pPr>
      <w:r>
        <w:rPr>
          <w:sz w:val="21"/>
          <w:szCs w:val="21"/>
        </w:rPr>
        <w:t xml:space="preserve">Employees interested in a different career path within SkyJet, such as a lateral move to another department, are encouraged to discuss this with their manager during the development planning conversation, and may apply through the internal mobility board described in the Recruitment Manual (Document ID SJL-HR-004), Section 4.</w:t>
      </w:r>
    </w:p>
    <w:p>
      <w:pPr>
        <w:pStyle w:val="Heading1"/>
        <w:spacing w:after="160" w:before="360"/>
      </w:pPr>
      <w:r>
        <w:rPr>
          <w:b/>
          <w:bCs/>
          <w:color w:val="1F3864"/>
          <w:sz w:val="30"/>
          <w:szCs w:val="30"/>
        </w:rPr>
        <w:t xml:space="preserve">8. Frequently Asked Questions</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Is the mid-year check-in scored?</w:t>
      </w:r>
    </w:p>
    <w:p>
      <w:pPr>
        <w:spacing w:after="160" w:line="276"/>
      </w:pPr>
      <w:r>
        <w:rPr>
          <w:sz w:val="21"/>
          <w:szCs w:val="21"/>
        </w:rPr>
        <w:t xml:space="preserve">A: No. It is a progress conversation only; formal ratings are recorded solely at the annual review in December.</w:t>
      </w:r>
    </w:p>
    <w:p>
      <w:pPr>
        <w:spacing w:after="40" w:before="120"/>
      </w:pPr>
      <w:r>
        <w:rPr>
          <w:b/>
          <w:bCs/>
          <w:i/>
          <w:iCs/>
          <w:sz w:val="21"/>
          <w:szCs w:val="21"/>
        </w:rPr>
        <w:t xml:space="preserve">Q: Who sets my KPIs if I am new to the company?</w:t>
      </w:r>
    </w:p>
    <w:p>
      <w:pPr>
        <w:spacing w:after="160" w:line="276"/>
      </w:pPr>
      <w:r>
        <w:rPr>
          <w:sz w:val="21"/>
          <w:szCs w:val="21"/>
        </w:rPr>
        <w:t xml:space="preserve">A: Your direct manager sets initial KPIs during your onboarding period, typically within your first 30 days, in consultation with you.</w:t>
      </w:r>
    </w:p>
    <w:p>
      <w:pPr>
        <w:spacing w:after="40" w:before="120"/>
      </w:pPr>
      <w:r>
        <w:rPr>
          <w:b/>
          <w:bCs/>
          <w:i/>
          <w:iCs/>
          <w:sz w:val="21"/>
          <w:szCs w:val="21"/>
        </w:rPr>
        <w:t xml:space="preserve">Q: Can KPIs be adjusted mid-cycle?</w:t>
      </w:r>
    </w:p>
    <w:p>
      <w:pPr>
        <w:spacing w:after="160" w:line="276"/>
      </w:pPr>
      <w:r>
        <w:rPr>
          <w:sz w:val="21"/>
          <w:szCs w:val="21"/>
        </w:rPr>
        <w:t xml:space="preserve">A: Yes, if role responsibilities change materially, KPIs may be revised jointly by the employee and manager, with the revision noted in the HR portal.</w:t>
      </w:r>
    </w:p>
    <w:p>
      <w:pPr>
        <w:spacing w:after="40" w:before="120"/>
      </w:pPr>
      <w:r>
        <w:rPr>
          <w:b/>
          <w:bCs/>
          <w:i/>
          <w:iCs/>
          <w:sz w:val="21"/>
          <w:szCs w:val="21"/>
        </w:rPr>
        <w:t xml:space="preserve">Q: Does a strong rating guarantee a promotion?</w:t>
      </w:r>
    </w:p>
    <w:p>
      <w:pPr>
        <w:spacing w:after="160" w:line="276"/>
      </w:pPr>
      <w:r>
        <w:rPr>
          <w:sz w:val="21"/>
          <w:szCs w:val="21"/>
        </w:rPr>
        <w:t xml:space="preserve">A: No. A strong rating is necessary but not sufficient; promotion also depends on role availability and Director/Executive Office approval as described in Section 6.</w:t>
      </w:r>
    </w:p>
    <w:p>
      <w:r>
        <w:br w:type="page"/>
      </w:r>
    </w:p>
    <w:p>
      <w:pPr>
        <w:pStyle w:val="Heading1"/>
        <w:spacing w:after="160" w:before="360"/>
      </w:pPr>
      <w:r>
        <w:rPr>
          <w:b/>
          <w:bCs/>
          <w:color w:val="1F3864"/>
          <w:sz w:val="30"/>
          <w:szCs w:val="30"/>
        </w:rP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Prepared By</w:t>
            </w:r>
          </w:p>
        </w:tc>
        <w:tc>
          <w:tcPr>
            <w:tcW w:type="dxa" w:w="7238"/>
            <w:tcMar>
              <w:top w:type="dxa" w:w="80"/>
              <w:left w:type="dxa" w:w="100"/>
              <w:bottom w:type="dxa" w:w="80"/>
              <w:right w:type="dxa" w:w="100"/>
            </w:tcMar>
            <w:vAlign w:val="center"/>
          </w:tcPr>
          <w:p>
            <w:r>
              <w:rPr>
                <w:sz w:val="19"/>
                <w:szCs w:val="19"/>
              </w:rPr>
              <w:t xml:space="preserve">R. Qassem, HR Director</w:t>
            </w:r>
          </w:p>
        </w:tc>
      </w:tr>
      <w:tr>
        <w:tc>
          <w:tcPr>
            <w:tcW w:type="dxa" w:w="2400"/>
            <w:shd w:fill="F2F2F2" w:val="clear"/>
            <w:tcMar>
              <w:top w:type="dxa" w:w="80"/>
              <w:left w:type="dxa" w:w="100"/>
              <w:bottom w:type="dxa" w:w="80"/>
              <w:right w:type="dxa" w:w="100"/>
            </w:tcMar>
            <w:vAlign w:val="center"/>
          </w:tcPr>
          <w:p>
            <w:r>
              <w:rPr>
                <w:b/>
                <w:bCs/>
                <w:sz w:val="19"/>
                <w:szCs w:val="19"/>
              </w:rPr>
              <w:t xml:space="preserve">Reviewed By</w:t>
            </w:r>
          </w:p>
        </w:tc>
        <w:tc>
          <w:tcPr>
            <w:tcW w:type="dxa" w:w="7238"/>
            <w:tcMar>
              <w:top w:type="dxa" w:w="80"/>
              <w:left w:type="dxa" w:w="100"/>
              <w:bottom w:type="dxa" w:w="80"/>
              <w:right w:type="dxa" w:w="100"/>
            </w:tcMar>
            <w:vAlign w:val="center"/>
          </w:tcPr>
          <w:p>
            <w:r>
              <w:rPr>
                <w:sz w:val="19"/>
                <w:szCs w:val="19"/>
              </w:rPr>
              <w:t xml:space="preserve">N. Sarayrah, Compliance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Approved By</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Approval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Next Scheduled Review</w:t>
            </w:r>
          </w:p>
        </w:tc>
        <w:tc>
          <w:tcPr>
            <w:tcW w:type="dxa" w:w="7238"/>
            <w:tcMar>
              <w:top w:type="dxa" w:w="80"/>
              <w:left w:type="dxa" w:w="100"/>
              <w:bottom w:type="dxa" w:w="80"/>
              <w:right w:type="dxa" w:w="100"/>
            </w:tcMar>
            <w:vAlign w:val="center"/>
          </w:tcPr>
          <w:p>
            <w:r>
              <w:rPr>
                <w:sz w:val="19"/>
                <w:szCs w:val="19"/>
              </w:rPr>
              <w:t xml:space="preserve">06 July 2027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Use Only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638"/>
      </w:tabs>
    </w:pPr>
    <w:r>
      <w:rPr>
        <w:color w:val="595959"/>
        <w:sz w:val="16"/>
        <w:szCs w:val="16"/>
      </w:rPr>
      <w:t xml:space="preserve">SkyJet Logistics Ltd. — Performance Review Guide</w:t>
    </w:r>
    <w:r>
      <w:tab/>
    </w:r>
    <w:r>
      <w:rPr>
        <w:color w:val="595959"/>
        <w:sz w:val="16"/>
        <w:szCs w:val="16"/>
      </w:rPr>
      <w:t xml:space="preserve">SJL-HR-005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2026-07-08T12:11:40.665Z</dcterms:created>
  <dcterms:modified xsi:type="dcterms:W3CDTF">2026-07-08T12:11:40.665Z</dcterms:modified>
</cp:coreProperties>
</file>

<file path=docProps/custom.xml><?xml version="1.0" encoding="utf-8"?>
<Properties xmlns="http://schemas.openxmlformats.org/officeDocument/2006/custom-properties" xmlns:vt="http://schemas.openxmlformats.org/officeDocument/2006/docPropsVTypes"/>
</file>