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0"/>
          <w:szCs w:val="40"/>
        </w:rPr>
        <w:t xml:space="preserve">SKYJET LOGISTICS LTD.</w:t>
      </w:r>
    </w:p>
    <w:p>
      <w:pPr>
        <w:spacing w:after="800" w:before="200"/>
        <w:jc w:val="center"/>
      </w:pPr>
      <w:r>
        <w:rPr>
          <w:color w:val="595959"/>
          <w:sz w:val="32"/>
          <w:szCs w:val="32"/>
        </w:rPr>
        <w:t xml:space="preserve">Recruitment Manual</w:t>
      </w:r>
    </w:p>
    <w:p/>
    <w:p>
      <w:pPr>
        <w:spacing w:before="16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shd w:fill="F2F2F2" w:val="clear"/>
            <w:tcMar>
              <w:top w:type="dxa" w:w="80"/>
              <w:left w:type="dxa" w:w="100"/>
              <w:bottom w:type="dxa" w:w="80"/>
              <w:right w:type="dxa" w:w="100"/>
            </w:tcMar>
            <w:vAlign w:val="center"/>
          </w:tcPr>
          <w:p>
            <w:r>
              <w:rPr>
                <w:b/>
                <w:bCs/>
                <w:sz w:val="19"/>
                <w:szCs w:val="19"/>
              </w:rPr>
              <w:t xml:space="preserve">Document ID</w:t>
            </w:r>
          </w:p>
        </w:tc>
        <w:tc>
          <w:tcPr>
            <w:tcW w:type="dxa" w:w="7238"/>
            <w:tcMar>
              <w:top w:type="dxa" w:w="80"/>
              <w:left w:type="dxa" w:w="100"/>
              <w:bottom w:type="dxa" w:w="80"/>
              <w:right w:type="dxa" w:w="100"/>
            </w:tcMar>
            <w:vAlign w:val="center"/>
          </w:tcPr>
          <w:p>
            <w:r>
              <w:rPr>
                <w:sz w:val="19"/>
                <w:szCs w:val="19"/>
              </w:rPr>
              <w:t xml:space="preserve">SJL-HR-004</w:t>
            </w:r>
          </w:p>
        </w:tc>
      </w:tr>
      <w:tr>
        <w:tc>
          <w:tcPr>
            <w:tcW w:type="dxa" w:w="2400"/>
            <w:shd w:fill="F2F2F2" w:val="clear"/>
            <w:tcMar>
              <w:top w:type="dxa" w:w="80"/>
              <w:left w:type="dxa" w:w="100"/>
              <w:bottom w:type="dxa" w:w="80"/>
              <w:right w:type="dxa" w:w="100"/>
            </w:tcMar>
            <w:vAlign w:val="center"/>
          </w:tcPr>
          <w:p>
            <w:r>
              <w:rPr>
                <w:b/>
                <w:bCs/>
                <w:sz w:val="19"/>
                <w:szCs w:val="19"/>
              </w:rPr>
              <w:t xml:space="preserve">Version</w:t>
            </w:r>
          </w:p>
        </w:tc>
        <w:tc>
          <w:tcPr>
            <w:tcW w:type="dxa" w:w="7238"/>
            <w:tcMar>
              <w:top w:type="dxa" w:w="80"/>
              <w:left w:type="dxa" w:w="100"/>
              <w:bottom w:type="dxa" w:w="80"/>
              <w:right w:type="dxa" w:w="100"/>
            </w:tcMar>
            <w:vAlign w:val="center"/>
          </w:tcPr>
          <w:p>
            <w:r>
              <w:rPr>
                <w:sz w:val="19"/>
                <w:szCs w:val="19"/>
              </w:rPr>
              <w:t xml:space="preserve">1.0</w:t>
            </w:r>
          </w:p>
        </w:tc>
      </w:tr>
      <w:tr>
        <w:tc>
          <w:tcPr>
            <w:tcW w:type="dxa" w:w="2400"/>
            <w:shd w:fill="F2F2F2" w:val="clear"/>
            <w:tcMar>
              <w:top w:type="dxa" w:w="80"/>
              <w:left w:type="dxa" w:w="100"/>
              <w:bottom w:type="dxa" w:w="80"/>
              <w:right w:type="dxa" w:w="100"/>
            </w:tcMar>
            <w:vAlign w:val="center"/>
          </w:tcPr>
          <w:p>
            <w:r>
              <w:rPr>
                <w:b/>
                <w:bCs/>
                <w:sz w:val="19"/>
                <w:szCs w:val="19"/>
              </w:rPr>
              <w:t xml:space="preserve">Revision Date</w:t>
            </w:r>
          </w:p>
        </w:tc>
        <w:tc>
          <w:tcPr>
            <w:tcW w:type="dxa" w:w="7238"/>
            <w:tcMar>
              <w:top w:type="dxa" w:w="80"/>
              <w:left w:type="dxa" w:w="100"/>
              <w:bottom w:type="dxa" w:w="80"/>
              <w:right w:type="dxa" w:w="100"/>
            </w:tcMar>
            <w:vAlign w:val="center"/>
          </w:tcPr>
          <w:p>
            <w:r>
              <w:rPr>
                <w:sz w:val="19"/>
                <w:szCs w:val="19"/>
              </w:rPr>
              <w:t xml:space="preserve">06 July 2026</w:t>
            </w:r>
          </w:p>
        </w:tc>
      </w:tr>
      <w:tr>
        <w:tc>
          <w:tcPr>
            <w:tcW w:type="dxa" w:w="2400"/>
            <w:shd w:fill="F2F2F2" w:val="clear"/>
            <w:tcMar>
              <w:top w:type="dxa" w:w="80"/>
              <w:left w:type="dxa" w:w="100"/>
              <w:bottom w:type="dxa" w:w="80"/>
              <w:right w:type="dxa" w:w="100"/>
            </w:tcMar>
            <w:vAlign w:val="center"/>
          </w:tcPr>
          <w:p>
            <w:r>
              <w:rPr>
                <w:b/>
                <w:bCs/>
                <w:sz w:val="19"/>
                <w:szCs w:val="19"/>
              </w:rPr>
              <w:t xml:space="preserve">Department</w:t>
            </w:r>
          </w:p>
        </w:tc>
        <w:tc>
          <w:tcPr>
            <w:tcW w:type="dxa" w:w="7238"/>
            <w:tcMar>
              <w:top w:type="dxa" w:w="80"/>
              <w:left w:type="dxa" w:w="100"/>
              <w:bottom w:type="dxa" w:w="80"/>
              <w:right w:type="dxa" w:w="100"/>
            </w:tcMar>
            <w:vAlign w:val="center"/>
          </w:tcPr>
          <w:p>
            <w:r>
              <w:rPr>
                <w:sz w:val="19"/>
                <w:szCs w:val="19"/>
              </w:rPr>
              <w:t xml:space="preserve">Human Resources</w:t>
            </w:r>
          </w:p>
        </w:tc>
      </w:tr>
      <w:tr>
        <w:tc>
          <w:tcPr>
            <w:tcW w:type="dxa" w:w="2400"/>
            <w:shd w:fill="F2F2F2" w:val="clear"/>
            <w:tcMar>
              <w:top w:type="dxa" w:w="80"/>
              <w:left w:type="dxa" w:w="100"/>
              <w:bottom w:type="dxa" w:w="80"/>
              <w:right w:type="dxa" w:w="100"/>
            </w:tcMar>
            <w:vAlign w:val="center"/>
          </w:tcPr>
          <w:p>
            <w:r>
              <w:rPr>
                <w:b/>
                <w:bCs/>
                <w:sz w:val="19"/>
                <w:szCs w:val="19"/>
              </w:rPr>
              <w:t xml:space="preserve">Owner</w:t>
            </w:r>
          </w:p>
        </w:tc>
        <w:tc>
          <w:tcPr>
            <w:tcW w:type="dxa" w:w="7238"/>
            <w:tcMar>
              <w:top w:type="dxa" w:w="80"/>
              <w:left w:type="dxa" w:w="100"/>
              <w:bottom w:type="dxa" w:w="80"/>
              <w:right w:type="dxa" w:w="100"/>
            </w:tcMar>
            <w:vAlign w:val="center"/>
          </w:tcPr>
          <w:p>
            <w:r>
              <w:rPr>
                <w:sz w:val="19"/>
                <w:szCs w:val="19"/>
              </w:rPr>
              <w:t xml:space="preserve">Director of Human Resources</w:t>
            </w:r>
          </w:p>
        </w:tc>
      </w:tr>
      <w:tr>
        <w:tc>
          <w:tcPr>
            <w:tcW w:type="dxa" w:w="2400"/>
            <w:shd w:fill="F2F2F2" w:val="clear"/>
            <w:tcMar>
              <w:top w:type="dxa" w:w="80"/>
              <w:left w:type="dxa" w:w="100"/>
              <w:bottom w:type="dxa" w:w="80"/>
              <w:right w:type="dxa" w:w="100"/>
            </w:tcMar>
            <w:vAlign w:val="center"/>
          </w:tcPr>
          <w:p>
            <w:r>
              <w:rPr>
                <w:b/>
                <w:bCs/>
                <w:sz w:val="19"/>
                <w:szCs w:val="19"/>
              </w:rPr>
              <w:t xml:space="preserve">Approver</w:t>
            </w:r>
          </w:p>
        </w:tc>
        <w:tc>
          <w:tcPr>
            <w:tcW w:type="dxa" w:w="7238"/>
            <w:tcMar>
              <w:top w:type="dxa" w:w="80"/>
              <w:left w:type="dxa" w:w="100"/>
              <w:bottom w:type="dxa" w:w="80"/>
              <w:right w:type="dxa" w:w="100"/>
            </w:tcMar>
            <w:vAlign w:val="center"/>
          </w:tcPr>
          <w:p>
            <w:r>
              <w:rPr>
                <w:sz w:val="19"/>
                <w:szCs w:val="19"/>
              </w:rPr>
              <w:t xml:space="preserve">Chief Executive Officer</w:t>
            </w:r>
          </w:p>
        </w:tc>
      </w:tr>
      <w:tr>
        <w:tc>
          <w:tcPr>
            <w:tcW w:type="dxa" w:w="2400"/>
            <w:shd w:fill="F2F2F2" w:val="clear"/>
            <w:tcMar>
              <w:top w:type="dxa" w:w="80"/>
              <w:left w:type="dxa" w:w="100"/>
              <w:bottom w:type="dxa" w:w="80"/>
              <w:right w:type="dxa" w:w="100"/>
            </w:tcMar>
            <w:vAlign w:val="center"/>
          </w:tcPr>
          <w:p>
            <w:r>
              <w:rPr>
                <w:b/>
                <w:bCs/>
                <w:sz w:val="19"/>
                <w:szCs w:val="19"/>
              </w:rPr>
              <w:t xml:space="preserve">Classification</w:t>
            </w:r>
          </w:p>
        </w:tc>
        <w:tc>
          <w:tcPr>
            <w:tcW w:type="dxa" w:w="7238"/>
            <w:tcMar>
              <w:top w:type="dxa" w:w="80"/>
              <w:left w:type="dxa" w:w="100"/>
              <w:bottom w:type="dxa" w:w="80"/>
              <w:right w:type="dxa" w:w="100"/>
            </w:tcMar>
            <w:vAlign w:val="center"/>
          </w:tcPr>
          <w:p>
            <w:r>
              <w:rPr>
                <w:sz w:val="19"/>
                <w:szCs w:val="19"/>
              </w:rPr>
              <w:t xml:space="preserve">Internal Use Only</w:t>
            </w:r>
          </w:p>
        </w:tc>
      </w:tr>
      <w:tr>
        <w:tc>
          <w:tcPr>
            <w:tcW w:type="dxa" w:w="2400"/>
            <w:shd w:fill="F2F2F2" w:val="clear"/>
            <w:tcMar>
              <w:top w:type="dxa" w:w="80"/>
              <w:left w:type="dxa" w:w="100"/>
              <w:bottom w:type="dxa" w:w="80"/>
              <w:right w:type="dxa" w:w="100"/>
            </w:tcMar>
            <w:vAlign w:val="center"/>
          </w:tcPr>
          <w:p>
            <w:r>
              <w:rPr>
                <w:b/>
                <w:bCs/>
                <w:sz w:val="19"/>
                <w:szCs w:val="19"/>
              </w:rPr>
              <w:t xml:space="preserve">Review Cycle</w:t>
            </w:r>
          </w:p>
        </w:tc>
        <w:tc>
          <w:tcPr>
            <w:tcW w:type="dxa" w:w="7238"/>
            <w:tcMar>
              <w:top w:type="dxa" w:w="80"/>
              <w:left w:type="dxa" w:w="100"/>
              <w:bottom w:type="dxa" w:w="80"/>
              <w:right w:type="dxa" w:w="100"/>
            </w:tcMar>
            <w:vAlign w:val="center"/>
          </w:tcPr>
          <w:p>
            <w:r>
              <w:rPr>
                <w:sz w:val="19"/>
                <w:szCs w:val="19"/>
              </w:rPr>
              <w:t xml:space="preserve">Annual</w:t>
            </w:r>
          </w:p>
        </w:tc>
      </w:tr>
    </w:tbl>
    <w:p>
      <w:r>
        <w:br w:type="page"/>
      </w:r>
    </w:p>
    <w:p>
      <w:pPr>
        <w:pStyle w:val="Heading1"/>
        <w:spacing w:after="160" w:before="36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3238"/>
      </w:tblGrid>
      <w:tr>
        <w:trPr>
          <w:tblHeader/>
        </w:trPr>
        <w:tc>
          <w:tcPr>
            <w:tcW w:type="dxa" w:w="1400"/>
            <w:shd w:fill="1F3864" w:val="clear"/>
            <w:tcMar>
              <w:top w:type="dxa" w:w="60"/>
              <w:left w:type="dxa" w:w="100"/>
              <w:bottom w:type="dxa" w:w="60"/>
              <w:right w:type="dxa" w:w="100"/>
            </w:tcMar>
            <w:vAlign w:val="center"/>
          </w:tcPr>
          <w:p>
            <w:r>
              <w:rPr>
                <w:b/>
                <w:bCs/>
                <w:color w:val="FFFFFF"/>
                <w:sz w:val="19"/>
                <w:szCs w:val="19"/>
              </w:rPr>
              <w:t xml:space="preserve">Version</w:t>
            </w:r>
          </w:p>
        </w:tc>
        <w:tc>
          <w:tcPr>
            <w:tcW w:type="dxa" w:w="1800"/>
            <w:shd w:fill="1F3864" w:val="clear"/>
            <w:tcMar>
              <w:top w:type="dxa" w:w="60"/>
              <w:left w:type="dxa" w:w="100"/>
              <w:bottom w:type="dxa" w:w="60"/>
              <w:right w:type="dxa" w:w="100"/>
            </w:tcMar>
            <w:vAlign w:val="center"/>
          </w:tcPr>
          <w:p>
            <w:r>
              <w:rPr>
                <w:b/>
                <w:bCs/>
                <w:color w:val="FFFFFF"/>
                <w:sz w:val="19"/>
                <w:szCs w:val="19"/>
              </w:rPr>
              <w:t xml:space="preserve">Date</w:t>
            </w:r>
          </w:p>
        </w:tc>
        <w:tc>
          <w:tcPr>
            <w:tcW w:type="dxa" w:w="3200"/>
            <w:shd w:fill="1F3864" w:val="clear"/>
            <w:tcMar>
              <w:top w:type="dxa" w:w="60"/>
              <w:left w:type="dxa" w:w="100"/>
              <w:bottom w:type="dxa" w:w="60"/>
              <w:right w:type="dxa" w:w="100"/>
            </w:tcMar>
            <w:vAlign w:val="center"/>
          </w:tcPr>
          <w:p>
            <w:r>
              <w:rPr>
                <w:b/>
                <w:bCs/>
                <w:color w:val="FFFFFF"/>
                <w:sz w:val="19"/>
                <w:szCs w:val="19"/>
              </w:rPr>
              <w:t xml:space="preserve">Author</w:t>
            </w:r>
          </w:p>
        </w:tc>
        <w:tc>
          <w:tcPr>
            <w:tcW w:type="dxa" w:w="3238"/>
            <w:shd w:fill="1F3864" w:val="clear"/>
            <w:tcMar>
              <w:top w:type="dxa" w:w="60"/>
              <w:left w:type="dxa" w:w="100"/>
              <w:bottom w:type="dxa" w:w="60"/>
              <w:right w:type="dxa" w:w="100"/>
            </w:tcMar>
            <w:vAlign w:val="center"/>
          </w:tcPr>
          <w:p>
            <w:r>
              <w:rPr>
                <w:b/>
                <w:bCs/>
                <w:color w:val="FFFFFF"/>
                <w:sz w:val="19"/>
                <w:szCs w:val="19"/>
              </w:rPr>
              <w:t xml:space="preserve">Summary of Changes</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0.1</w:t>
            </w:r>
          </w:p>
        </w:tc>
        <w:tc>
          <w:tcPr>
            <w:tcW w:type="dxa" w:w="1800"/>
            <w:tcMar>
              <w:top w:type="dxa" w:w="60"/>
              <w:left w:type="dxa" w:w="100"/>
              <w:bottom w:type="dxa" w:w="60"/>
              <w:right w:type="dxa" w:w="100"/>
            </w:tcMar>
            <w:vAlign w:val="center"/>
          </w:tcPr>
          <w:p>
            <w:r>
              <w:rPr>
                <w:b w:val="false"/>
                <w:bCs w:val="false"/>
                <w:color w:val="000000"/>
                <w:sz w:val="19"/>
                <w:szCs w:val="19"/>
              </w:rPr>
              <w:t xml:space="preserve">03 June 2026</w:t>
            </w:r>
          </w:p>
        </w:tc>
        <w:tc>
          <w:tcPr>
            <w:tcW w:type="dxa" w:w="3200"/>
            <w:tcMar>
              <w:top w:type="dxa" w:w="60"/>
              <w:left w:type="dxa" w:w="100"/>
              <w:bottom w:type="dxa" w:w="60"/>
              <w:right w:type="dxa" w:w="100"/>
            </w:tcMar>
            <w:vAlign w:val="center"/>
          </w:tcPr>
          <w:p>
            <w:r>
              <w:rPr>
                <w:b w:val="false"/>
                <w:bCs w:val="false"/>
                <w:color w:val="000000"/>
                <w:sz w:val="19"/>
                <w:szCs w:val="19"/>
              </w:rPr>
              <w:t xml:space="preserve">T. Haddad, HR Coordinator</w:t>
            </w:r>
          </w:p>
        </w:tc>
        <w:tc>
          <w:tcPr>
            <w:tcW w:type="dxa" w:w="3238"/>
            <w:tcMar>
              <w:top w:type="dxa" w:w="60"/>
              <w:left w:type="dxa" w:w="100"/>
              <w:bottom w:type="dxa" w:w="60"/>
              <w:right w:type="dxa" w:w="100"/>
            </w:tcMar>
            <w:vAlign w:val="center"/>
          </w:tcPr>
          <w:p>
            <w:r>
              <w:rPr>
                <w:b w:val="false"/>
                <w:bCs w:val="false"/>
                <w:color w:val="000000"/>
                <w:sz w:val="19"/>
                <w:szCs w:val="19"/>
              </w:rPr>
              <w:t xml:space="preserve">Initial draft</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0.6</w:t>
            </w:r>
          </w:p>
        </w:tc>
        <w:tc>
          <w:tcPr>
            <w:tcW w:type="dxa" w:w="1800"/>
            <w:tcMar>
              <w:top w:type="dxa" w:w="60"/>
              <w:left w:type="dxa" w:w="100"/>
              <w:bottom w:type="dxa" w:w="60"/>
              <w:right w:type="dxa" w:w="100"/>
            </w:tcMar>
            <w:vAlign w:val="center"/>
          </w:tcPr>
          <w:p>
            <w:r>
              <w:rPr>
                <w:b w:val="false"/>
                <w:bCs w:val="false"/>
                <w:color w:val="000000"/>
                <w:sz w:val="19"/>
                <w:szCs w:val="19"/>
              </w:rPr>
              <w:t xml:space="preserve">22 June 2026</w:t>
            </w:r>
          </w:p>
        </w:tc>
        <w:tc>
          <w:tcPr>
            <w:tcW w:type="dxa" w:w="3200"/>
            <w:tcMar>
              <w:top w:type="dxa" w:w="60"/>
              <w:left w:type="dxa" w:w="100"/>
              <w:bottom w:type="dxa" w:w="60"/>
              <w:right w:type="dxa" w:w="100"/>
            </w:tcMar>
            <w:vAlign w:val="center"/>
          </w:tcPr>
          <w:p>
            <w:r>
              <w:rPr>
                <w:b w:val="false"/>
                <w:bCs w:val="false"/>
                <w:color w:val="000000"/>
                <w:sz w:val="19"/>
                <w:szCs w:val="19"/>
              </w:rPr>
              <w:t xml:space="preserve">R. Qassem, HR Director</w:t>
            </w:r>
          </w:p>
        </w:tc>
        <w:tc>
          <w:tcPr>
            <w:tcW w:type="dxa" w:w="3238"/>
            <w:tcMar>
              <w:top w:type="dxa" w:w="60"/>
              <w:left w:type="dxa" w:w="100"/>
              <w:bottom w:type="dxa" w:w="60"/>
              <w:right w:type="dxa" w:w="100"/>
            </w:tcMar>
            <w:vAlign w:val="center"/>
          </w:tcPr>
          <w:p>
            <w:r>
              <w:rPr>
                <w:b w:val="false"/>
                <w:bCs w:val="false"/>
                <w:color w:val="000000"/>
                <w:sz w:val="19"/>
                <w:szCs w:val="19"/>
              </w:rPr>
              <w:t xml:space="preserve">Added onboarding checklist and probation section</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1.0</w:t>
            </w:r>
          </w:p>
        </w:tc>
        <w:tc>
          <w:tcPr>
            <w:tcW w:type="dxa" w:w="1800"/>
            <w:tcMar>
              <w:top w:type="dxa" w:w="60"/>
              <w:left w:type="dxa" w:w="100"/>
              <w:bottom w:type="dxa" w:w="60"/>
              <w:right w:type="dxa" w:w="100"/>
            </w:tcMar>
            <w:vAlign w:val="center"/>
          </w:tcPr>
          <w:p>
            <w:r>
              <w:rPr>
                <w:b w:val="false"/>
                <w:bCs w:val="false"/>
                <w:color w:val="000000"/>
                <w:sz w:val="19"/>
                <w:szCs w:val="19"/>
              </w:rPr>
              <w:t xml:space="preserve">06 July 2026</w:t>
            </w:r>
          </w:p>
        </w:tc>
        <w:tc>
          <w:tcPr>
            <w:tcW w:type="dxa" w:w="3200"/>
            <w:tcMar>
              <w:top w:type="dxa" w:w="60"/>
              <w:left w:type="dxa" w:w="100"/>
              <w:bottom w:type="dxa" w:w="60"/>
              <w:right w:type="dxa" w:w="100"/>
            </w:tcMar>
            <w:vAlign w:val="center"/>
          </w:tcPr>
          <w:p>
            <w:r>
              <w:rPr>
                <w:b w:val="false"/>
                <w:bCs w:val="false"/>
                <w:color w:val="000000"/>
                <w:sz w:val="19"/>
                <w:szCs w:val="19"/>
              </w:rPr>
              <w:t xml:space="preserve">R. Qassem, HR Director</w:t>
            </w:r>
          </w:p>
        </w:tc>
        <w:tc>
          <w:tcPr>
            <w:tcW w:type="dxa" w:w="3238"/>
            <w:tcMar>
              <w:top w:type="dxa" w:w="60"/>
              <w:left w:type="dxa" w:w="100"/>
              <w:bottom w:type="dxa" w:w="60"/>
              <w:right w:type="dxa" w:w="100"/>
            </w:tcMar>
            <w:vAlign w:val="center"/>
          </w:tcPr>
          <w:p>
            <w:r>
              <w:rPr>
                <w:b w:val="false"/>
                <w:bCs w:val="false"/>
                <w:color w:val="000000"/>
                <w:sz w:val="19"/>
                <w:szCs w:val="19"/>
              </w:rPr>
              <w:t xml:space="preserve">Approved for distribution</w:t>
            </w:r>
          </w:p>
        </w:tc>
      </w:tr>
    </w:tbl>
    <w:p>
      <w:r>
        <w:br w:type="page"/>
      </w:r>
    </w:p>
    <w:p>
      <w:pPr>
        <w:pStyle w:val="Heading1"/>
        <w:spacing w:after="160" w:before="360"/>
      </w:pPr>
      <w:r>
        <w:rPr>
          <w:b/>
          <w:bCs/>
          <w:color w:val="1F3864"/>
          <w:sz w:val="30"/>
          <w:szCs w:val="30"/>
        </w:rPr>
        <w:t xml:space="preserve">1. Purpose and Scope</w:t>
      </w:r>
    </w:p>
    <w:p>
      <w:pPr>
        <w:spacing w:after="160" w:line="276"/>
      </w:pPr>
      <w:r>
        <w:rPr>
          <w:sz w:val="21"/>
          <w:szCs w:val="21"/>
        </w:rPr>
        <w:t xml:space="preserve">This Recruitment Manual describes the standard hiring process at SkyJet Logistics Ltd., from requisition approval through onboarding completion. It applies to all departments and branch offices and is intended for use by hiring managers, HR recruiters, and interview panel members.</w:t>
      </w:r>
    </w:p>
    <w:p>
      <w:pPr>
        <w:spacing w:after="160" w:line="276"/>
      </w:pPr>
      <w:r>
        <w:rPr>
          <w:sz w:val="21"/>
          <w:szCs w:val="21"/>
        </w:rPr>
        <w:t xml:space="preserve">This manual should be read alongside the Employee Handbook (Document ID SJL-HR-001) for post-hire policies, and the IT Security Policy (Document ID SJL-IT-001) for provisioning of system access to new hires.</w:t>
      </w:r>
    </w:p>
    <w:p>
      <w:pPr>
        <w:pStyle w:val="Heading1"/>
        <w:spacing w:after="160" w:before="360"/>
      </w:pPr>
      <w:r>
        <w:rPr>
          <w:b/>
          <w:bCs/>
          <w:color w:val="1F3864"/>
          <w:sz w:val="30"/>
          <w:szCs w:val="30"/>
        </w:rPr>
        <w:t xml:space="preserve">2. Hiring Process Overview</w:t>
      </w:r>
    </w:p>
    <w:p>
      <w:pPr>
        <w:spacing w:after="160" w:line="276"/>
      </w:pPr>
      <w:r>
        <w:rPr>
          <w:sz w:val="21"/>
          <w:szCs w:val="21"/>
        </w:rPr>
        <w:t xml:space="preserve">The recruitment process at SkyJet consists of six stages: requisition approval, sourcing, screening, interviews, offer, and onboarding. Each stage is described in detail in the sections that follow.</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600"/>
        <w:gridCol w:w="3819"/>
        <w:gridCol w:w="2919"/>
      </w:tblGrid>
      <w:tr>
        <w:trPr>
          <w:tblHeader/>
        </w:trPr>
        <w:tc>
          <w:tcPr>
            <w:tcW w:type="dxa" w:w="2600"/>
            <w:shd w:fill="1F3864" w:val="clear"/>
            <w:tcMar>
              <w:top w:type="dxa" w:w="60"/>
              <w:left w:type="dxa" w:w="100"/>
              <w:bottom w:type="dxa" w:w="60"/>
              <w:right w:type="dxa" w:w="100"/>
            </w:tcMar>
            <w:vAlign w:val="center"/>
          </w:tcPr>
          <w:p>
            <w:r>
              <w:rPr>
                <w:b/>
                <w:bCs/>
                <w:color w:val="FFFFFF"/>
                <w:sz w:val="19"/>
                <w:szCs w:val="19"/>
              </w:rPr>
              <w:t xml:space="preserve">Stage</w:t>
            </w:r>
          </w:p>
        </w:tc>
        <w:tc>
          <w:tcPr>
            <w:tcW w:type="dxa" w:w="3819"/>
            <w:shd w:fill="1F3864" w:val="clear"/>
            <w:tcMar>
              <w:top w:type="dxa" w:w="60"/>
              <w:left w:type="dxa" w:w="100"/>
              <w:bottom w:type="dxa" w:w="60"/>
              <w:right w:type="dxa" w:w="100"/>
            </w:tcMar>
            <w:vAlign w:val="center"/>
          </w:tcPr>
          <w:p>
            <w:r>
              <w:rPr>
                <w:b/>
                <w:bCs/>
                <w:color w:val="FFFFFF"/>
                <w:sz w:val="19"/>
                <w:szCs w:val="19"/>
              </w:rPr>
              <w:t xml:space="preserve">Owner</w:t>
            </w:r>
          </w:p>
        </w:tc>
        <w:tc>
          <w:tcPr>
            <w:tcW w:type="dxa" w:w="2919"/>
            <w:shd w:fill="1F3864" w:val="clear"/>
            <w:tcMar>
              <w:top w:type="dxa" w:w="60"/>
              <w:left w:type="dxa" w:w="100"/>
              <w:bottom w:type="dxa" w:w="60"/>
              <w:right w:type="dxa" w:w="100"/>
            </w:tcMar>
            <w:vAlign w:val="center"/>
          </w:tcPr>
          <w:p>
            <w:r>
              <w:rPr>
                <w:b/>
                <w:bCs/>
                <w:color w:val="FFFFFF"/>
                <w:sz w:val="19"/>
                <w:szCs w:val="19"/>
              </w:rPr>
              <w:t xml:space="preserve">Typical Duration</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1. Requisition Approval</w:t>
            </w:r>
          </w:p>
        </w:tc>
        <w:tc>
          <w:tcPr>
            <w:tcW w:type="dxa" w:w="3819"/>
            <w:tcMar>
              <w:top w:type="dxa" w:w="60"/>
              <w:left w:type="dxa" w:w="100"/>
              <w:bottom w:type="dxa" w:w="60"/>
              <w:right w:type="dxa" w:w="100"/>
            </w:tcMar>
            <w:vAlign w:val="center"/>
          </w:tcPr>
          <w:p>
            <w:r>
              <w:rPr>
                <w:b w:val="false"/>
                <w:bCs w:val="false"/>
                <w:color w:val="000000"/>
                <w:sz w:val="19"/>
                <w:szCs w:val="19"/>
              </w:rPr>
              <w:t xml:space="preserve">Department Director + HR Director</w:t>
            </w:r>
          </w:p>
        </w:tc>
        <w:tc>
          <w:tcPr>
            <w:tcW w:type="dxa" w:w="2919"/>
            <w:tcMar>
              <w:top w:type="dxa" w:w="60"/>
              <w:left w:type="dxa" w:w="100"/>
              <w:bottom w:type="dxa" w:w="60"/>
              <w:right w:type="dxa" w:w="100"/>
            </w:tcMar>
            <w:vAlign w:val="center"/>
          </w:tcPr>
          <w:p>
            <w:r>
              <w:rPr>
                <w:b w:val="false"/>
                <w:bCs w:val="false"/>
                <w:color w:val="000000"/>
                <w:sz w:val="19"/>
                <w:szCs w:val="19"/>
              </w:rPr>
              <w:t xml:space="preserve">3-5 working days</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2. Sourcing</w:t>
            </w:r>
          </w:p>
        </w:tc>
        <w:tc>
          <w:tcPr>
            <w:tcW w:type="dxa" w:w="3819"/>
            <w:tcMar>
              <w:top w:type="dxa" w:w="60"/>
              <w:left w:type="dxa" w:w="100"/>
              <w:bottom w:type="dxa" w:w="60"/>
              <w:right w:type="dxa" w:w="100"/>
            </w:tcMar>
            <w:vAlign w:val="center"/>
          </w:tcPr>
          <w:p>
            <w:r>
              <w:rPr>
                <w:b w:val="false"/>
                <w:bCs w:val="false"/>
                <w:color w:val="000000"/>
                <w:sz w:val="19"/>
                <w:szCs w:val="19"/>
              </w:rPr>
              <w:t xml:space="preserve">HR Recruiter</w:t>
            </w:r>
          </w:p>
        </w:tc>
        <w:tc>
          <w:tcPr>
            <w:tcW w:type="dxa" w:w="2919"/>
            <w:tcMar>
              <w:top w:type="dxa" w:w="60"/>
              <w:left w:type="dxa" w:w="100"/>
              <w:bottom w:type="dxa" w:w="60"/>
              <w:right w:type="dxa" w:w="100"/>
            </w:tcMar>
            <w:vAlign w:val="center"/>
          </w:tcPr>
          <w:p>
            <w:r>
              <w:rPr>
                <w:b w:val="false"/>
                <w:bCs w:val="false"/>
                <w:color w:val="000000"/>
                <w:sz w:val="19"/>
                <w:szCs w:val="19"/>
              </w:rPr>
              <w:t xml:space="preserve">1-3 weeks, role-dependent</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3. Screening</w:t>
            </w:r>
          </w:p>
        </w:tc>
        <w:tc>
          <w:tcPr>
            <w:tcW w:type="dxa" w:w="3819"/>
            <w:tcMar>
              <w:top w:type="dxa" w:w="60"/>
              <w:left w:type="dxa" w:w="100"/>
              <w:bottom w:type="dxa" w:w="60"/>
              <w:right w:type="dxa" w:w="100"/>
            </w:tcMar>
            <w:vAlign w:val="center"/>
          </w:tcPr>
          <w:p>
            <w:r>
              <w:rPr>
                <w:b w:val="false"/>
                <w:bCs w:val="false"/>
                <w:color w:val="000000"/>
                <w:sz w:val="19"/>
                <w:szCs w:val="19"/>
              </w:rPr>
              <w:t xml:space="preserve">HR Recruiter</w:t>
            </w:r>
          </w:p>
        </w:tc>
        <w:tc>
          <w:tcPr>
            <w:tcW w:type="dxa" w:w="2919"/>
            <w:tcMar>
              <w:top w:type="dxa" w:w="60"/>
              <w:left w:type="dxa" w:w="100"/>
              <w:bottom w:type="dxa" w:w="60"/>
              <w:right w:type="dxa" w:w="100"/>
            </w:tcMar>
            <w:vAlign w:val="center"/>
          </w:tcPr>
          <w:p>
            <w:r>
              <w:rPr>
                <w:b w:val="false"/>
                <w:bCs w:val="false"/>
                <w:color w:val="000000"/>
                <w:sz w:val="19"/>
                <w:szCs w:val="19"/>
              </w:rPr>
              <w:t xml:space="preserve">3-5 working days per candidate batch</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4. Interviews</w:t>
            </w:r>
          </w:p>
        </w:tc>
        <w:tc>
          <w:tcPr>
            <w:tcW w:type="dxa" w:w="3819"/>
            <w:tcMar>
              <w:top w:type="dxa" w:w="60"/>
              <w:left w:type="dxa" w:w="100"/>
              <w:bottom w:type="dxa" w:w="60"/>
              <w:right w:type="dxa" w:w="100"/>
            </w:tcMar>
            <w:vAlign w:val="center"/>
          </w:tcPr>
          <w:p>
            <w:r>
              <w:rPr>
                <w:b w:val="false"/>
                <w:bCs w:val="false"/>
                <w:color w:val="000000"/>
                <w:sz w:val="19"/>
                <w:szCs w:val="19"/>
              </w:rPr>
              <w:t xml:space="preserve">Hiring Manager + Panel</w:t>
            </w:r>
          </w:p>
        </w:tc>
        <w:tc>
          <w:tcPr>
            <w:tcW w:type="dxa" w:w="2919"/>
            <w:tcMar>
              <w:top w:type="dxa" w:w="60"/>
              <w:left w:type="dxa" w:w="100"/>
              <w:bottom w:type="dxa" w:w="60"/>
              <w:right w:type="dxa" w:w="100"/>
            </w:tcMar>
            <w:vAlign w:val="center"/>
          </w:tcPr>
          <w:p>
            <w:r>
              <w:rPr>
                <w:b w:val="false"/>
                <w:bCs w:val="false"/>
                <w:color w:val="000000"/>
                <w:sz w:val="19"/>
                <w:szCs w:val="19"/>
              </w:rPr>
              <w:t xml:space="preserve">2-3 weeks</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5. Offer</w:t>
            </w:r>
          </w:p>
        </w:tc>
        <w:tc>
          <w:tcPr>
            <w:tcW w:type="dxa" w:w="3819"/>
            <w:tcMar>
              <w:top w:type="dxa" w:w="60"/>
              <w:left w:type="dxa" w:w="100"/>
              <w:bottom w:type="dxa" w:w="60"/>
              <w:right w:type="dxa" w:w="100"/>
            </w:tcMar>
            <w:vAlign w:val="center"/>
          </w:tcPr>
          <w:p>
            <w:r>
              <w:rPr>
                <w:b w:val="false"/>
                <w:bCs w:val="false"/>
                <w:color w:val="000000"/>
                <w:sz w:val="19"/>
                <w:szCs w:val="19"/>
              </w:rPr>
              <w:t xml:space="preserve">HR Recruiter + Hiring Manager</w:t>
            </w:r>
          </w:p>
        </w:tc>
        <w:tc>
          <w:tcPr>
            <w:tcW w:type="dxa" w:w="2919"/>
            <w:tcMar>
              <w:top w:type="dxa" w:w="60"/>
              <w:left w:type="dxa" w:w="100"/>
              <w:bottom w:type="dxa" w:w="60"/>
              <w:right w:type="dxa" w:w="100"/>
            </w:tcMar>
            <w:vAlign w:val="center"/>
          </w:tcPr>
          <w:p>
            <w:r>
              <w:rPr>
                <w:b w:val="false"/>
                <w:bCs w:val="false"/>
                <w:color w:val="000000"/>
                <w:sz w:val="19"/>
                <w:szCs w:val="19"/>
              </w:rPr>
              <w:t xml:space="preserve">1 week</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6. Onboarding</w:t>
            </w:r>
          </w:p>
        </w:tc>
        <w:tc>
          <w:tcPr>
            <w:tcW w:type="dxa" w:w="3819"/>
            <w:tcMar>
              <w:top w:type="dxa" w:w="60"/>
              <w:left w:type="dxa" w:w="100"/>
              <w:bottom w:type="dxa" w:w="60"/>
              <w:right w:type="dxa" w:w="100"/>
            </w:tcMar>
            <w:vAlign w:val="center"/>
          </w:tcPr>
          <w:p>
            <w:r>
              <w:rPr>
                <w:b w:val="false"/>
                <w:bCs w:val="false"/>
                <w:color w:val="000000"/>
                <w:sz w:val="19"/>
                <w:szCs w:val="19"/>
              </w:rPr>
              <w:t xml:space="preserve">HR Department</w:t>
            </w:r>
          </w:p>
        </w:tc>
        <w:tc>
          <w:tcPr>
            <w:tcW w:type="dxa" w:w="2919"/>
            <w:tcMar>
              <w:top w:type="dxa" w:w="60"/>
              <w:left w:type="dxa" w:w="100"/>
              <w:bottom w:type="dxa" w:w="60"/>
              <w:right w:type="dxa" w:w="100"/>
            </w:tcMar>
            <w:vAlign w:val="center"/>
          </w:tcPr>
          <w:p>
            <w:r>
              <w:rPr>
                <w:b w:val="false"/>
                <w:bCs w:val="false"/>
                <w:color w:val="000000"/>
                <w:sz w:val="19"/>
                <w:szCs w:val="19"/>
              </w:rPr>
              <w:t xml:space="preserve">First 30 days of employment</w:t>
            </w:r>
          </w:p>
        </w:tc>
      </w:tr>
    </w:tbl>
    <w:p>
      <w:pPr>
        <w:pStyle w:val="Heading1"/>
        <w:spacing w:after="160" w:before="360"/>
      </w:pPr>
      <w:r>
        <w:rPr>
          <w:b/>
          <w:bCs/>
          <w:color w:val="1F3864"/>
          <w:sz w:val="30"/>
          <w:szCs w:val="30"/>
        </w:rPr>
        <w:t xml:space="preserve">3. Requisition Approval</w:t>
      </w:r>
    </w:p>
    <w:p>
      <w:pPr>
        <w:spacing w:after="160" w:line="276"/>
      </w:pPr>
      <w:r>
        <w:rPr>
          <w:sz w:val="21"/>
          <w:szCs w:val="21"/>
        </w:rPr>
        <w:t xml:space="preserve">All hiring begins with a requisition request submitted by the hiring manager to their Department Director, specifying the role, level, salary band, and business justification. Requisitions for new headcount, as opposed to backfills, additionally require Finance approval to confirm budget availability before sourcing begins.</w:t>
      </w:r>
    </w:p>
    <w:p>
      <w:pPr>
        <w:pStyle w:val="Heading1"/>
        <w:spacing w:after="160" w:before="360"/>
      </w:pPr>
      <w:r>
        <w:rPr>
          <w:b/>
          <w:bCs/>
          <w:color w:val="1F3864"/>
          <w:sz w:val="30"/>
          <w:szCs w:val="30"/>
        </w:rPr>
        <w:t xml:space="preserve">4. Sourcing</w:t>
      </w:r>
    </w:p>
    <w:p>
      <w:pPr>
        <w:spacing w:after="160" w:line="276"/>
      </w:pPr>
      <w:r>
        <w:rPr>
          <w:sz w:val="21"/>
          <w:szCs w:val="21"/>
        </w:rPr>
        <w:t xml:space="preserve">HR recruiters source candidates through the company careers page, professional networking platforms, and, for specialized or senior roles, external recruitment agencies pre-approved by Procurement. Internal candidates are encouraged to apply through the internal mobility board prior to external posting for roles below Director level.</w:t>
      </w:r>
    </w:p>
    <w:p>
      <w:pPr>
        <w:pStyle w:val="Heading1"/>
        <w:spacing w:after="160" w:before="360"/>
      </w:pPr>
      <w:r>
        <w:rPr>
          <w:b/>
          <w:bCs/>
          <w:color w:val="1F3864"/>
          <w:sz w:val="30"/>
          <w:szCs w:val="30"/>
        </w:rPr>
        <w:t xml:space="preserve">5. Screening</w:t>
      </w:r>
    </w:p>
    <w:p>
      <w:pPr>
        <w:spacing w:after="160" w:line="276"/>
      </w:pPr>
      <w:r>
        <w:rPr>
          <w:sz w:val="21"/>
          <w:szCs w:val="21"/>
        </w:rPr>
        <w:t xml:space="preserve">HR recruiters conduct an initial screening of all applications against the role's minimum qualifications. Candidates who meet minimum qualifications proceed to a screening call, typically 20-30 minutes, to confirm salary expectations, availability, and basic role fit before scheduling formal interviews.</w:t>
      </w:r>
    </w:p>
    <w:p>
      <w:pPr>
        <w:pStyle w:val="Heading1"/>
        <w:spacing w:after="160" w:before="360"/>
      </w:pPr>
      <w:r>
        <w:rPr>
          <w:b/>
          <w:bCs/>
          <w:color w:val="1F3864"/>
          <w:sz w:val="30"/>
          <w:szCs w:val="30"/>
        </w:rPr>
        <w:t xml:space="preserve">6. Interview Stages</w:t>
      </w:r>
    </w:p>
    <w:p>
      <w:pPr>
        <w:spacing w:after="160" w:line="276"/>
      </w:pPr>
      <w:r>
        <w:rPr>
          <w:sz w:val="21"/>
          <w:szCs w:val="21"/>
        </w:rPr>
        <w:t xml:space="preserve">SkyJet uses a structured, multi-stage interview process to ensure consistent and fair candidate evaluation across all departments.</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3200"/>
        <w:gridCol w:w="2919"/>
        <w:gridCol w:w="3219"/>
      </w:tblGrid>
      <w:tr>
        <w:trPr>
          <w:tblHeader/>
        </w:trPr>
        <w:tc>
          <w:tcPr>
            <w:tcW w:type="dxa" w:w="3200"/>
            <w:shd w:fill="1F3864" w:val="clear"/>
            <w:tcMar>
              <w:top w:type="dxa" w:w="60"/>
              <w:left w:type="dxa" w:w="100"/>
              <w:bottom w:type="dxa" w:w="60"/>
              <w:right w:type="dxa" w:w="100"/>
            </w:tcMar>
            <w:vAlign w:val="center"/>
          </w:tcPr>
          <w:p>
            <w:r>
              <w:rPr>
                <w:b/>
                <w:bCs/>
                <w:color w:val="FFFFFF"/>
                <w:sz w:val="19"/>
                <w:szCs w:val="19"/>
              </w:rPr>
              <w:t xml:space="preserve">Interview Stage</w:t>
            </w:r>
          </w:p>
        </w:tc>
        <w:tc>
          <w:tcPr>
            <w:tcW w:type="dxa" w:w="2919"/>
            <w:shd w:fill="1F3864" w:val="clear"/>
            <w:tcMar>
              <w:top w:type="dxa" w:w="60"/>
              <w:left w:type="dxa" w:w="100"/>
              <w:bottom w:type="dxa" w:w="60"/>
              <w:right w:type="dxa" w:w="100"/>
            </w:tcMar>
            <w:vAlign w:val="center"/>
          </w:tcPr>
          <w:p>
            <w:r>
              <w:rPr>
                <w:b/>
                <w:bCs/>
                <w:color w:val="FFFFFF"/>
                <w:sz w:val="19"/>
                <w:szCs w:val="19"/>
              </w:rPr>
              <w:t xml:space="preserve">Format</w:t>
            </w:r>
          </w:p>
        </w:tc>
        <w:tc>
          <w:tcPr>
            <w:tcW w:type="dxa" w:w="3219"/>
            <w:shd w:fill="1F3864" w:val="clear"/>
            <w:tcMar>
              <w:top w:type="dxa" w:w="60"/>
              <w:left w:type="dxa" w:w="100"/>
              <w:bottom w:type="dxa" w:w="60"/>
              <w:right w:type="dxa" w:w="100"/>
            </w:tcMar>
            <w:vAlign w:val="center"/>
          </w:tcPr>
          <w:p>
            <w:r>
              <w:rPr>
                <w:b/>
                <w:bCs/>
                <w:color w:val="FFFFFF"/>
                <w:sz w:val="19"/>
                <w:szCs w:val="19"/>
              </w:rPr>
              <w:t xml:space="preserve">Focus Area</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Stage 1: Hiring Manager Interview</w:t>
            </w:r>
          </w:p>
        </w:tc>
        <w:tc>
          <w:tcPr>
            <w:tcW w:type="dxa" w:w="2919"/>
            <w:tcMar>
              <w:top w:type="dxa" w:w="60"/>
              <w:left w:type="dxa" w:w="100"/>
              <w:bottom w:type="dxa" w:w="60"/>
              <w:right w:type="dxa" w:w="100"/>
            </w:tcMar>
            <w:vAlign w:val="center"/>
          </w:tcPr>
          <w:p>
            <w:r>
              <w:rPr>
                <w:b w:val="false"/>
                <w:bCs w:val="false"/>
                <w:color w:val="000000"/>
                <w:sz w:val="19"/>
                <w:szCs w:val="19"/>
              </w:rPr>
              <w:t xml:space="preserve">1-on-1, 45 minutes</w:t>
            </w:r>
          </w:p>
        </w:tc>
        <w:tc>
          <w:tcPr>
            <w:tcW w:type="dxa" w:w="3219"/>
            <w:tcMar>
              <w:top w:type="dxa" w:w="60"/>
              <w:left w:type="dxa" w:w="100"/>
              <w:bottom w:type="dxa" w:w="60"/>
              <w:right w:type="dxa" w:w="100"/>
            </w:tcMar>
            <w:vAlign w:val="center"/>
          </w:tcPr>
          <w:p>
            <w:r>
              <w:rPr>
                <w:b w:val="false"/>
                <w:bCs w:val="false"/>
                <w:color w:val="000000"/>
                <w:sz w:val="19"/>
                <w:szCs w:val="19"/>
              </w:rPr>
              <w:t xml:space="preserve">Role fit, experience relevance</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Stage 2: Panel Interview</w:t>
            </w:r>
          </w:p>
        </w:tc>
        <w:tc>
          <w:tcPr>
            <w:tcW w:type="dxa" w:w="2919"/>
            <w:tcMar>
              <w:top w:type="dxa" w:w="60"/>
              <w:left w:type="dxa" w:w="100"/>
              <w:bottom w:type="dxa" w:w="60"/>
              <w:right w:type="dxa" w:w="100"/>
            </w:tcMar>
            <w:vAlign w:val="center"/>
          </w:tcPr>
          <w:p>
            <w:r>
              <w:rPr>
                <w:b w:val="false"/>
                <w:bCs w:val="false"/>
                <w:color w:val="000000"/>
                <w:sz w:val="19"/>
                <w:szCs w:val="19"/>
              </w:rPr>
              <w:t xml:space="preserve">Panel of 2-3, 60 minutes</w:t>
            </w:r>
          </w:p>
        </w:tc>
        <w:tc>
          <w:tcPr>
            <w:tcW w:type="dxa" w:w="3219"/>
            <w:tcMar>
              <w:top w:type="dxa" w:w="60"/>
              <w:left w:type="dxa" w:w="100"/>
              <w:bottom w:type="dxa" w:w="60"/>
              <w:right w:type="dxa" w:w="100"/>
            </w:tcMar>
            <w:vAlign w:val="center"/>
          </w:tcPr>
          <w:p>
            <w:r>
              <w:rPr>
                <w:b w:val="false"/>
                <w:bCs w:val="false"/>
                <w:color w:val="000000"/>
                <w:sz w:val="19"/>
                <w:szCs w:val="19"/>
              </w:rPr>
              <w:t xml:space="preserve">Technical or functional competency</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Stage 3: Values Interview</w:t>
            </w:r>
          </w:p>
        </w:tc>
        <w:tc>
          <w:tcPr>
            <w:tcW w:type="dxa" w:w="2919"/>
            <w:tcMar>
              <w:top w:type="dxa" w:w="60"/>
              <w:left w:type="dxa" w:w="100"/>
              <w:bottom w:type="dxa" w:w="60"/>
              <w:right w:type="dxa" w:w="100"/>
            </w:tcMar>
            <w:vAlign w:val="center"/>
          </w:tcPr>
          <w:p>
            <w:r>
              <w:rPr>
                <w:b w:val="false"/>
                <w:bCs w:val="false"/>
                <w:color w:val="000000"/>
                <w:sz w:val="19"/>
                <w:szCs w:val="19"/>
              </w:rPr>
              <w:t xml:space="preserve">1-on-1 with HR, 30 minutes</w:t>
            </w:r>
          </w:p>
        </w:tc>
        <w:tc>
          <w:tcPr>
            <w:tcW w:type="dxa" w:w="3219"/>
            <w:tcMar>
              <w:top w:type="dxa" w:w="60"/>
              <w:left w:type="dxa" w:w="100"/>
              <w:bottom w:type="dxa" w:w="60"/>
              <w:right w:type="dxa" w:w="100"/>
            </w:tcMar>
            <w:vAlign w:val="center"/>
          </w:tcPr>
          <w:p>
            <w:r>
              <w:rPr>
                <w:b w:val="false"/>
                <w:bCs w:val="false"/>
                <w:color w:val="000000"/>
                <w:sz w:val="19"/>
                <w:szCs w:val="19"/>
              </w:rPr>
              <w:t xml:space="preserve">Alignment with SkyJet core values</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Stage 4: Final Interview</w:t>
            </w:r>
          </w:p>
        </w:tc>
        <w:tc>
          <w:tcPr>
            <w:tcW w:type="dxa" w:w="2919"/>
            <w:tcMar>
              <w:top w:type="dxa" w:w="60"/>
              <w:left w:type="dxa" w:w="100"/>
              <w:bottom w:type="dxa" w:w="60"/>
              <w:right w:type="dxa" w:w="100"/>
            </w:tcMar>
            <w:vAlign w:val="center"/>
          </w:tcPr>
          <w:p>
            <w:r>
              <w:rPr>
                <w:b w:val="false"/>
                <w:bCs w:val="false"/>
                <w:color w:val="000000"/>
                <w:sz w:val="19"/>
                <w:szCs w:val="19"/>
              </w:rPr>
              <w:t xml:space="preserve">Department Director, 30 minutes</w:t>
            </w:r>
          </w:p>
        </w:tc>
        <w:tc>
          <w:tcPr>
            <w:tcW w:type="dxa" w:w="3219"/>
            <w:tcMar>
              <w:top w:type="dxa" w:w="60"/>
              <w:left w:type="dxa" w:w="100"/>
              <w:bottom w:type="dxa" w:w="60"/>
              <w:right w:type="dxa" w:w="100"/>
            </w:tcMar>
            <w:vAlign w:val="center"/>
          </w:tcPr>
          <w:p>
            <w:r>
              <w:rPr>
                <w:b w:val="false"/>
                <w:bCs w:val="false"/>
                <w:color w:val="000000"/>
                <w:sz w:val="19"/>
                <w:szCs w:val="19"/>
              </w:rPr>
              <w:t xml:space="preserve">Final confirmation, senior roles only</w:t>
            </w:r>
          </w:p>
        </w:tc>
      </w:tr>
    </w:tbl>
    <w:p>
      <w:pPr>
        <w:spacing w:after="160" w:line="276"/>
      </w:pPr>
      <w:r>
        <w:rPr>
          <w:sz w:val="21"/>
          <w:szCs w:val="21"/>
        </w:rPr>
        <w:t xml:space="preserve">Stage 4 is required only for roles at Manager level and above. All interviewers are expected to submit structured feedback through the HR portal within 2 working days of each interview to support timely decision-making.</w:t>
      </w:r>
    </w:p>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Are all four interview stages mandatory for every role?</w:t>
      </w:r>
    </w:p>
    <w:p>
      <w:pPr>
        <w:spacing w:after="160" w:line="276"/>
      </w:pPr>
      <w:r>
        <w:rPr>
          <w:sz w:val="21"/>
          <w:szCs w:val="21"/>
        </w:rPr>
        <w:t xml:space="preserve">A: No. Entry-level and individual contributor roles typically proceed through Stages 1-3 only.</w:t>
      </w:r>
    </w:p>
    <w:p>
      <w:pPr>
        <w:spacing w:after="40" w:before="120"/>
      </w:pPr>
      <w:r>
        <w:rPr>
          <w:b/>
          <w:bCs/>
          <w:i/>
          <w:iCs/>
          <w:sz w:val="21"/>
          <w:szCs w:val="21"/>
        </w:rPr>
        <w:t xml:space="preserve">Q: Can interviews be conducted remotely?</w:t>
      </w:r>
    </w:p>
    <w:p>
      <w:pPr>
        <w:spacing w:after="160" w:line="276"/>
      </w:pPr>
      <w:r>
        <w:rPr>
          <w:sz w:val="21"/>
          <w:szCs w:val="21"/>
        </w:rPr>
        <w:t xml:space="preserve">A: Yes, video interviews are standard for Stage 1 and Stage 2. Stage 3 and Stage 4 are conducted in person where feasible.</w:t>
      </w:r>
    </w:p>
    <w:p>
      <w:pPr>
        <w:pStyle w:val="Heading1"/>
        <w:spacing w:after="160" w:before="360"/>
      </w:pPr>
      <w:r>
        <w:rPr>
          <w:b/>
          <w:bCs/>
          <w:color w:val="1F3864"/>
          <w:sz w:val="30"/>
          <w:szCs w:val="30"/>
        </w:rPr>
        <w:t xml:space="preserve">7. Offer Letter</w:t>
      </w:r>
    </w:p>
    <w:p>
      <w:pPr>
        <w:spacing w:after="160" w:line="276"/>
      </w:pPr>
      <w:r>
        <w:rPr>
          <w:sz w:val="21"/>
          <w:szCs w:val="21"/>
        </w:rPr>
        <w:t xml:space="preserve">Following successful completion of all interview stages and a positive hiring recommendation, HR prepares a formal offer letter specifying role title, department, branch, compensation, benefits eligibility, and proposed start date. Offer letters are issued only after Department Director sign-off and, for roles above Manager level, Executive Office approval.</w:t>
      </w:r>
    </w:p>
    <w:p>
      <w:pPr>
        <w:spacing w:after="160" w:line="276"/>
      </w:pPr>
      <w:r>
        <w:rPr>
          <w:sz w:val="21"/>
          <w:szCs w:val="21"/>
        </w:rPr>
        <w:t xml:space="preserve">Verbal offers may be extended to manage candidate expectations but are always confirmed as conditional upon successful background check, described in Section 8, and are not binding until the formal offer letter is issued and countersigned.</w:t>
      </w:r>
    </w:p>
    <w:p>
      <w:pPr>
        <w:pStyle w:val="Heading1"/>
        <w:spacing w:after="160" w:before="360"/>
      </w:pPr>
      <w:r>
        <w:rPr>
          <w:b/>
          <w:bCs/>
          <w:color w:val="1F3864"/>
          <w:sz w:val="30"/>
          <w:szCs w:val="30"/>
        </w:rPr>
        <w:t xml:space="preserve">8. Background Check</w:t>
      </w:r>
    </w:p>
    <w:p>
      <w:pPr>
        <w:spacing w:after="160" w:line="276"/>
      </w:pPr>
      <w:r>
        <w:rPr>
          <w:sz w:val="21"/>
          <w:szCs w:val="21"/>
        </w:rPr>
        <w:t xml:space="preserve">All offers are conditional upon successful completion of a background check, including verification of prior employment, educational qualifications, and, for roles involving financial responsibility or data access, a clean record check. Background checks are conducted by an approved third-party provider engaged through Procurement and typically take 5-10 working days.</w:t>
      </w:r>
    </w:p>
    <w:p>
      <w:pPr>
        <w:spacing w:after="160" w:line="276"/>
      </w:pPr>
      <w:r>
        <w:rPr>
          <w:sz w:val="21"/>
          <w:szCs w:val="21"/>
        </w:rPr>
        <w:t xml:space="preserve">Discrepancies identified during the background check are reviewed jointly by HR and the Compliance Officer before a final hiring decision is confirmed.</w:t>
      </w:r>
    </w:p>
    <w:p>
      <w:pPr>
        <w:pStyle w:val="Heading1"/>
        <w:spacing w:after="160" w:before="360"/>
      </w:pPr>
      <w:r>
        <w:rPr>
          <w:b/>
          <w:bCs/>
          <w:color w:val="1F3864"/>
          <w:sz w:val="30"/>
          <w:szCs w:val="30"/>
        </w:rPr>
        <w:t xml:space="preserve">9. Onboarding</w:t>
      </w:r>
    </w:p>
    <w:p>
      <w:pPr>
        <w:pStyle w:val="Heading2"/>
        <w:spacing w:after="120" w:before="260"/>
      </w:pPr>
      <w:r>
        <w:rPr>
          <w:b/>
          <w:bCs/>
          <w:color w:val="1F3864"/>
          <w:sz w:val="24"/>
          <w:szCs w:val="24"/>
        </w:rPr>
        <w:t xml:space="preserve">9.1 Day One</w:t>
      </w:r>
    </w:p>
    <w:p>
      <w:pPr>
        <w:spacing w:after="160" w:line="276"/>
      </w:pPr>
      <w:r>
        <w:rPr>
          <w:sz w:val="21"/>
          <w:szCs w:val="21"/>
        </w:rPr>
        <w:t xml:space="preserve">New employees complete HR documentation, receive their employee ID and system credentials coordinated in advance with IT in accordance with the IT Security Policy (Document ID SJL-IT-001), and are introduced to their direct manager and immediate team.</w:t>
      </w:r>
    </w:p>
    <w:p>
      <w:pPr>
        <w:pStyle w:val="Heading2"/>
        <w:spacing w:after="120" w:before="260"/>
      </w:pPr>
      <w:r>
        <w:rPr>
          <w:b/>
          <w:bCs/>
          <w:color w:val="1F3864"/>
          <w:sz w:val="24"/>
          <w:szCs w:val="24"/>
        </w:rPr>
        <w:t xml:space="preserve">9.2 First 30 Days</w:t>
      </w:r>
    </w:p>
    <w:p>
      <w:pPr>
        <w:spacing w:after="160" w:line="276"/>
      </w:pPr>
      <w:r>
        <w:rPr>
          <w:sz w:val="21"/>
          <w:szCs w:val="21"/>
        </w:rPr>
        <w:t xml:space="preserve">New employees complete mandatory onboarding training, including IT security awareness, warehouse safety where applicable, and the Code of Ethics (Document ID SJL-SHR-009), as described in the Employee Handbook (SJL-HR-001), Section 15. Hiring managers are expected to hold weekly check-ins during this period.</w:t>
      </w:r>
    </w:p>
    <w:p>
      <w:pPr>
        <w:pStyle w:val="Heading2"/>
        <w:spacing w:after="120" w:before="260"/>
      </w:pPr>
      <w:r>
        <w:rPr>
          <w:b/>
          <w:bCs/>
          <w:color w:val="1F3864"/>
          <w:sz w:val="24"/>
          <w:szCs w:val="24"/>
        </w:rPr>
        <w:t xml:space="preserve">9.3 Onboarding Checklist</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3200"/>
        <w:gridCol w:w="2919"/>
        <w:gridCol w:w="3219"/>
      </w:tblGrid>
      <w:tr>
        <w:trPr>
          <w:tblHeader/>
        </w:trPr>
        <w:tc>
          <w:tcPr>
            <w:tcW w:type="dxa" w:w="3200"/>
            <w:shd w:fill="1F3864" w:val="clear"/>
            <w:tcMar>
              <w:top w:type="dxa" w:w="60"/>
              <w:left w:type="dxa" w:w="100"/>
              <w:bottom w:type="dxa" w:w="60"/>
              <w:right w:type="dxa" w:w="100"/>
            </w:tcMar>
            <w:vAlign w:val="center"/>
          </w:tcPr>
          <w:p>
            <w:r>
              <w:rPr>
                <w:b/>
                <w:bCs/>
                <w:color w:val="FFFFFF"/>
                <w:sz w:val="19"/>
                <w:szCs w:val="19"/>
              </w:rPr>
              <w:t xml:space="preserve">Task</w:t>
            </w:r>
          </w:p>
        </w:tc>
        <w:tc>
          <w:tcPr>
            <w:tcW w:type="dxa" w:w="2919"/>
            <w:shd w:fill="1F3864" w:val="clear"/>
            <w:tcMar>
              <w:top w:type="dxa" w:w="60"/>
              <w:left w:type="dxa" w:w="100"/>
              <w:bottom w:type="dxa" w:w="60"/>
              <w:right w:type="dxa" w:w="100"/>
            </w:tcMar>
            <w:vAlign w:val="center"/>
          </w:tcPr>
          <w:p>
            <w:r>
              <w:rPr>
                <w:b/>
                <w:bCs/>
                <w:color w:val="FFFFFF"/>
                <w:sz w:val="19"/>
                <w:szCs w:val="19"/>
              </w:rPr>
              <w:t xml:space="preserve">Responsible Party</w:t>
            </w:r>
          </w:p>
        </w:tc>
        <w:tc>
          <w:tcPr>
            <w:tcW w:type="dxa" w:w="3219"/>
            <w:shd w:fill="1F3864" w:val="clear"/>
            <w:tcMar>
              <w:top w:type="dxa" w:w="60"/>
              <w:left w:type="dxa" w:w="100"/>
              <w:bottom w:type="dxa" w:w="60"/>
              <w:right w:type="dxa" w:w="100"/>
            </w:tcMar>
            <w:vAlign w:val="center"/>
          </w:tcPr>
          <w:p>
            <w:r>
              <w:rPr>
                <w:b/>
                <w:bCs/>
                <w:color w:val="FFFFFF"/>
                <w:sz w:val="19"/>
                <w:szCs w:val="19"/>
              </w:rPr>
              <w:t xml:space="preserve">Deadline</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Issue employment contract</w:t>
            </w:r>
          </w:p>
        </w:tc>
        <w:tc>
          <w:tcPr>
            <w:tcW w:type="dxa" w:w="2919"/>
            <w:tcMar>
              <w:top w:type="dxa" w:w="60"/>
              <w:left w:type="dxa" w:w="100"/>
              <w:bottom w:type="dxa" w:w="60"/>
              <w:right w:type="dxa" w:w="100"/>
            </w:tcMar>
            <w:vAlign w:val="center"/>
          </w:tcPr>
          <w:p>
            <w:r>
              <w:rPr>
                <w:b w:val="false"/>
                <w:bCs w:val="false"/>
                <w:color w:val="000000"/>
                <w:sz w:val="19"/>
                <w:szCs w:val="19"/>
              </w:rPr>
              <w:t xml:space="preserve">HR</w:t>
            </w:r>
          </w:p>
        </w:tc>
        <w:tc>
          <w:tcPr>
            <w:tcW w:type="dxa" w:w="3219"/>
            <w:tcMar>
              <w:top w:type="dxa" w:w="60"/>
              <w:left w:type="dxa" w:w="100"/>
              <w:bottom w:type="dxa" w:w="60"/>
              <w:right w:type="dxa" w:w="100"/>
            </w:tcMar>
            <w:vAlign w:val="center"/>
          </w:tcPr>
          <w:p>
            <w:r>
              <w:rPr>
                <w:b w:val="false"/>
                <w:bCs w:val="false"/>
                <w:color w:val="000000"/>
                <w:sz w:val="19"/>
                <w:szCs w:val="19"/>
              </w:rPr>
              <w:t xml:space="preserve">Before start date</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Provision IT accounts and equipment</w:t>
            </w:r>
          </w:p>
        </w:tc>
        <w:tc>
          <w:tcPr>
            <w:tcW w:type="dxa" w:w="2919"/>
            <w:tcMar>
              <w:top w:type="dxa" w:w="60"/>
              <w:left w:type="dxa" w:w="100"/>
              <w:bottom w:type="dxa" w:w="60"/>
              <w:right w:type="dxa" w:w="100"/>
            </w:tcMar>
            <w:vAlign w:val="center"/>
          </w:tcPr>
          <w:p>
            <w:r>
              <w:rPr>
                <w:b w:val="false"/>
                <w:bCs w:val="false"/>
                <w:color w:val="000000"/>
                <w:sz w:val="19"/>
                <w:szCs w:val="19"/>
              </w:rPr>
              <w:t xml:space="preserve">IT Department</w:t>
            </w:r>
          </w:p>
        </w:tc>
        <w:tc>
          <w:tcPr>
            <w:tcW w:type="dxa" w:w="3219"/>
            <w:tcMar>
              <w:top w:type="dxa" w:w="60"/>
              <w:left w:type="dxa" w:w="100"/>
              <w:bottom w:type="dxa" w:w="60"/>
              <w:right w:type="dxa" w:w="100"/>
            </w:tcMar>
            <w:vAlign w:val="center"/>
          </w:tcPr>
          <w:p>
            <w:r>
              <w:rPr>
                <w:b w:val="false"/>
                <w:bCs w:val="false"/>
                <w:color w:val="000000"/>
                <w:sz w:val="19"/>
                <w:szCs w:val="19"/>
              </w:rPr>
              <w:t xml:space="preserve">Before start date</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Conduct HR orientation session</w:t>
            </w:r>
          </w:p>
        </w:tc>
        <w:tc>
          <w:tcPr>
            <w:tcW w:type="dxa" w:w="2919"/>
            <w:tcMar>
              <w:top w:type="dxa" w:w="60"/>
              <w:left w:type="dxa" w:w="100"/>
              <w:bottom w:type="dxa" w:w="60"/>
              <w:right w:type="dxa" w:w="100"/>
            </w:tcMar>
            <w:vAlign w:val="center"/>
          </w:tcPr>
          <w:p>
            <w:r>
              <w:rPr>
                <w:b w:val="false"/>
                <w:bCs w:val="false"/>
                <w:color w:val="000000"/>
                <w:sz w:val="19"/>
                <w:szCs w:val="19"/>
              </w:rPr>
              <w:t xml:space="preserve">HR</w:t>
            </w:r>
          </w:p>
        </w:tc>
        <w:tc>
          <w:tcPr>
            <w:tcW w:type="dxa" w:w="3219"/>
            <w:tcMar>
              <w:top w:type="dxa" w:w="60"/>
              <w:left w:type="dxa" w:w="100"/>
              <w:bottom w:type="dxa" w:w="60"/>
              <w:right w:type="dxa" w:w="100"/>
            </w:tcMar>
            <w:vAlign w:val="center"/>
          </w:tcPr>
          <w:p>
            <w:r>
              <w:rPr>
                <w:b w:val="false"/>
                <w:bCs w:val="false"/>
                <w:color w:val="000000"/>
                <w:sz w:val="19"/>
                <w:szCs w:val="19"/>
              </w:rPr>
              <w:t xml:space="preserve">Day 1</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Assign onboarding buddy</w:t>
            </w:r>
          </w:p>
        </w:tc>
        <w:tc>
          <w:tcPr>
            <w:tcW w:type="dxa" w:w="2919"/>
            <w:tcMar>
              <w:top w:type="dxa" w:w="60"/>
              <w:left w:type="dxa" w:w="100"/>
              <w:bottom w:type="dxa" w:w="60"/>
              <w:right w:type="dxa" w:w="100"/>
            </w:tcMar>
            <w:vAlign w:val="center"/>
          </w:tcPr>
          <w:p>
            <w:r>
              <w:rPr>
                <w:b w:val="false"/>
                <w:bCs w:val="false"/>
                <w:color w:val="000000"/>
                <w:sz w:val="19"/>
                <w:szCs w:val="19"/>
              </w:rPr>
              <w:t xml:space="preserve">Direct Manager</w:t>
            </w:r>
          </w:p>
        </w:tc>
        <w:tc>
          <w:tcPr>
            <w:tcW w:type="dxa" w:w="3219"/>
            <w:tcMar>
              <w:top w:type="dxa" w:w="60"/>
              <w:left w:type="dxa" w:w="100"/>
              <w:bottom w:type="dxa" w:w="60"/>
              <w:right w:type="dxa" w:w="100"/>
            </w:tcMar>
            <w:vAlign w:val="center"/>
          </w:tcPr>
          <w:p>
            <w:r>
              <w:rPr>
                <w:b w:val="false"/>
                <w:bCs w:val="false"/>
                <w:color w:val="000000"/>
                <w:sz w:val="19"/>
                <w:szCs w:val="19"/>
              </w:rPr>
              <w:t xml:space="preserve">Day 1</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Complete mandatory training modules</w:t>
            </w:r>
          </w:p>
        </w:tc>
        <w:tc>
          <w:tcPr>
            <w:tcW w:type="dxa" w:w="2919"/>
            <w:tcMar>
              <w:top w:type="dxa" w:w="60"/>
              <w:left w:type="dxa" w:w="100"/>
              <w:bottom w:type="dxa" w:w="60"/>
              <w:right w:type="dxa" w:w="100"/>
            </w:tcMar>
            <w:vAlign w:val="center"/>
          </w:tcPr>
          <w:p>
            <w:r>
              <w:rPr>
                <w:b w:val="false"/>
                <w:bCs w:val="false"/>
                <w:color w:val="000000"/>
                <w:sz w:val="19"/>
                <w:szCs w:val="19"/>
              </w:rPr>
              <w:t xml:space="preserve">New Employee</w:t>
            </w:r>
          </w:p>
        </w:tc>
        <w:tc>
          <w:tcPr>
            <w:tcW w:type="dxa" w:w="3219"/>
            <w:tcMar>
              <w:top w:type="dxa" w:w="60"/>
              <w:left w:type="dxa" w:w="100"/>
              <w:bottom w:type="dxa" w:w="60"/>
              <w:right w:type="dxa" w:w="100"/>
            </w:tcMar>
            <w:vAlign w:val="center"/>
          </w:tcPr>
          <w:p>
            <w:r>
              <w:rPr>
                <w:b w:val="false"/>
                <w:bCs w:val="false"/>
                <w:color w:val="000000"/>
                <w:sz w:val="19"/>
                <w:szCs w:val="19"/>
              </w:rPr>
              <w:t xml:space="preserve">Within 30 days</w:t>
            </w:r>
          </w:p>
        </w:tc>
      </w:tr>
      <w:tr>
        <w:tc>
          <w:tcPr>
            <w:tcW w:type="dxa" w:w="3200"/>
            <w:tcMar>
              <w:top w:type="dxa" w:w="60"/>
              <w:left w:type="dxa" w:w="100"/>
              <w:bottom w:type="dxa" w:w="60"/>
              <w:right w:type="dxa" w:w="100"/>
            </w:tcMar>
            <w:vAlign w:val="center"/>
          </w:tcPr>
          <w:p>
            <w:r>
              <w:rPr>
                <w:b w:val="false"/>
                <w:bCs w:val="false"/>
                <w:color w:val="000000"/>
                <w:sz w:val="19"/>
                <w:szCs w:val="19"/>
              </w:rPr>
              <w:t xml:space="preserve">Conduct 30-day check-in</w:t>
            </w:r>
          </w:p>
        </w:tc>
        <w:tc>
          <w:tcPr>
            <w:tcW w:type="dxa" w:w="2919"/>
            <w:tcMar>
              <w:top w:type="dxa" w:w="60"/>
              <w:left w:type="dxa" w:w="100"/>
              <w:bottom w:type="dxa" w:w="60"/>
              <w:right w:type="dxa" w:w="100"/>
            </w:tcMar>
            <w:vAlign w:val="center"/>
          </w:tcPr>
          <w:p>
            <w:r>
              <w:rPr>
                <w:b w:val="false"/>
                <w:bCs w:val="false"/>
                <w:color w:val="000000"/>
                <w:sz w:val="19"/>
                <w:szCs w:val="19"/>
              </w:rPr>
              <w:t xml:space="preserve">Direct Manager</w:t>
            </w:r>
          </w:p>
        </w:tc>
        <w:tc>
          <w:tcPr>
            <w:tcW w:type="dxa" w:w="3219"/>
            <w:tcMar>
              <w:top w:type="dxa" w:w="60"/>
              <w:left w:type="dxa" w:w="100"/>
              <w:bottom w:type="dxa" w:w="60"/>
              <w:right w:type="dxa" w:w="100"/>
            </w:tcMar>
            <w:vAlign w:val="center"/>
          </w:tcPr>
          <w:p>
            <w:r>
              <w:rPr>
                <w:b w:val="false"/>
                <w:bCs w:val="false"/>
                <w:color w:val="000000"/>
                <w:sz w:val="19"/>
                <w:szCs w:val="19"/>
              </w:rPr>
              <w:t xml:space="preserve">Day 30</w:t>
            </w:r>
          </w:p>
        </w:tc>
      </w:tr>
    </w:tbl>
    <w:p>
      <w:pPr>
        <w:pStyle w:val="Heading1"/>
        <w:spacing w:after="160" w:before="360"/>
      </w:pPr>
      <w:r>
        <w:rPr>
          <w:b/>
          <w:bCs/>
          <w:color w:val="1F3864"/>
          <w:sz w:val="30"/>
          <w:szCs w:val="30"/>
        </w:rPr>
        <w:t xml:space="preserve">10. Probation</w:t>
      </w:r>
    </w:p>
    <w:p>
      <w:pPr>
        <w:spacing w:after="160" w:line="276"/>
      </w:pPr>
      <w:r>
        <w:rPr>
          <w:sz w:val="21"/>
          <w:szCs w:val="21"/>
        </w:rPr>
        <w:t xml:space="preserve">All new full-time and fixed-term employees serve a probation period of 90 calendar days from their start date, during which either party may end the employment relationship with 7 days' written notice. Probation may be extended once, by up to 30 days, at the hiring manager's discretion, with HR notification.</w:t>
      </w:r>
    </w:p>
    <w:p>
      <w:pPr>
        <w:spacing w:after="160" w:line="276"/>
      </w:pPr>
      <w:r>
        <w:rPr>
          <w:sz w:val="21"/>
          <w:szCs w:val="21"/>
        </w:rPr>
        <w:t xml:space="preserve">A probation review is conducted by the direct manager no later than 10 days before the probation end date. Successful completion of probation triggers eligibility for full benefits as described in the Benefits Guide (Document ID SJL-HR-003).</w:t>
      </w:r>
    </w:p>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Can probation be waived for experienced hires?</w:t>
      </w:r>
    </w:p>
    <w:p>
      <w:pPr>
        <w:spacing w:after="160" w:line="276"/>
      </w:pPr>
      <w:r>
        <w:rPr>
          <w:sz w:val="21"/>
          <w:szCs w:val="21"/>
        </w:rPr>
        <w:t xml:space="preserve">A: No. All new employees serve the standard probation period regardless of prior experience, though performance expectations may be calibrated by the hiring manager.</w:t>
      </w:r>
    </w:p>
    <w:p>
      <w:pPr>
        <w:spacing w:after="40" w:before="120"/>
      </w:pPr>
      <w:r>
        <w:rPr>
          <w:b/>
          <w:bCs/>
          <w:i/>
          <w:iCs/>
          <w:sz w:val="21"/>
          <w:szCs w:val="21"/>
        </w:rPr>
        <w:t xml:space="preserve">Q: What happens if I resign during probation?</w:t>
      </w:r>
    </w:p>
    <w:p>
      <w:pPr>
        <w:spacing w:after="160" w:line="276"/>
      </w:pPr>
      <w:r>
        <w:rPr>
          <w:sz w:val="21"/>
          <w:szCs w:val="21"/>
        </w:rPr>
        <w:t xml:space="preserve">A: The reduced 7-day notice period applies rather than the standard 30-day notice described in the Employee Handbook.</w:t>
      </w:r>
    </w:p>
    <w:p>
      <w:pPr>
        <w:pStyle w:val="Heading1"/>
        <w:spacing w:after="160" w:before="360"/>
      </w:pPr>
      <w:r>
        <w:rPr>
          <w:b/>
          <w:bCs/>
          <w:color w:val="1F3864"/>
          <w:sz w:val="30"/>
          <w:szCs w:val="30"/>
        </w:rPr>
        <w:t xml:space="preserve">11. Frequently Asked Questions</w:t>
      </w:r>
    </w:p>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How long does the full recruitment process typically take?</w:t>
      </w:r>
    </w:p>
    <w:p>
      <w:pPr>
        <w:spacing w:after="160" w:line="276"/>
      </w:pPr>
      <w:r>
        <w:rPr>
          <w:sz w:val="21"/>
          <w:szCs w:val="21"/>
        </w:rPr>
        <w:t xml:space="preserve">A: From requisition approval to offer acceptance, most roles take 4-8 weeks depending on seniority and interview scheduling.</w:t>
      </w:r>
    </w:p>
    <w:p>
      <w:pPr>
        <w:spacing w:after="40" w:before="120"/>
      </w:pPr>
      <w:r>
        <w:rPr>
          <w:b/>
          <w:bCs/>
          <w:i/>
          <w:iCs/>
          <w:sz w:val="21"/>
          <w:szCs w:val="21"/>
        </w:rPr>
        <w:t xml:space="preserve">Q: Can a hiring manager skip the panel interview stage?</w:t>
      </w:r>
    </w:p>
    <w:p>
      <w:pPr>
        <w:spacing w:after="160" w:line="276"/>
      </w:pPr>
      <w:r>
        <w:rPr>
          <w:sz w:val="21"/>
          <w:szCs w:val="21"/>
        </w:rPr>
        <w:t xml:space="preserve">A: No. Stage 2 panel interviews are mandatory for all roles to ensure structured, multi-perspective evaluation.</w:t>
      </w:r>
    </w:p>
    <w:p>
      <w:pPr>
        <w:spacing w:after="40" w:before="120"/>
      </w:pPr>
      <w:r>
        <w:rPr>
          <w:b/>
          <w:bCs/>
          <w:i/>
          <w:iCs/>
          <w:sz w:val="21"/>
          <w:szCs w:val="21"/>
        </w:rPr>
        <w:t xml:space="preserve">Q: Who makes the final hiring decision?</w:t>
      </w:r>
    </w:p>
    <w:p>
      <w:pPr>
        <w:spacing w:after="160" w:line="276"/>
      </w:pPr>
      <w:r>
        <w:rPr>
          <w:sz w:val="21"/>
          <w:szCs w:val="21"/>
        </w:rPr>
        <w:t xml:space="preserve">A: The hiring manager makes the recommendation; final approval authority depends on role level as described in Section 7.</w:t>
      </w:r>
    </w:p>
    <w:p>
      <w:pPr>
        <w:spacing w:after="40" w:before="120"/>
      </w:pPr>
      <w:r>
        <w:rPr>
          <w:b/>
          <w:bCs/>
          <w:i/>
          <w:iCs/>
          <w:sz w:val="21"/>
          <w:szCs w:val="21"/>
        </w:rPr>
        <w:t xml:space="preserve">Q: What happens if a background check reveals a discrepancy?</w:t>
      </w:r>
    </w:p>
    <w:p>
      <w:pPr>
        <w:spacing w:after="160" w:line="276"/>
      </w:pPr>
      <w:r>
        <w:rPr>
          <w:sz w:val="21"/>
          <w:szCs w:val="21"/>
        </w:rPr>
        <w:t xml:space="preserve">A: HR and the Compliance Officer jointly review the finding before any offer is confirmed or withdrawn, as described in Section 8.</w:t>
      </w:r>
    </w:p>
    <w:p>
      <w:r>
        <w:br w:type="page"/>
      </w:r>
    </w:p>
    <w:p>
      <w:pPr>
        <w:pStyle w:val="Heading1"/>
        <w:spacing w:after="160" w:before="360"/>
      </w:pPr>
      <w:r>
        <w:rPr>
          <w:b/>
          <w:bCs/>
          <w:color w:val="1F3864"/>
          <w:sz w:val="30"/>
          <w:szCs w:val="30"/>
        </w:rPr>
        <w:t xml:space="preserve">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shd w:fill="F2F2F2" w:val="clear"/>
            <w:tcMar>
              <w:top w:type="dxa" w:w="80"/>
              <w:left w:type="dxa" w:w="100"/>
              <w:bottom w:type="dxa" w:w="80"/>
              <w:right w:type="dxa" w:w="100"/>
            </w:tcMar>
            <w:vAlign w:val="center"/>
          </w:tcPr>
          <w:p>
            <w:r>
              <w:rPr>
                <w:b/>
                <w:bCs/>
                <w:sz w:val="19"/>
                <w:szCs w:val="19"/>
              </w:rPr>
              <w:t xml:space="preserve">Prepared By</w:t>
            </w:r>
          </w:p>
        </w:tc>
        <w:tc>
          <w:tcPr>
            <w:tcW w:type="dxa" w:w="7238"/>
            <w:tcMar>
              <w:top w:type="dxa" w:w="80"/>
              <w:left w:type="dxa" w:w="100"/>
              <w:bottom w:type="dxa" w:w="80"/>
              <w:right w:type="dxa" w:w="100"/>
            </w:tcMar>
            <w:vAlign w:val="center"/>
          </w:tcPr>
          <w:p>
            <w:r>
              <w:rPr>
                <w:sz w:val="19"/>
                <w:szCs w:val="19"/>
              </w:rPr>
              <w:t xml:space="preserve">R. Qassem, HR Director</w:t>
            </w:r>
          </w:p>
        </w:tc>
      </w:tr>
      <w:tr>
        <w:tc>
          <w:tcPr>
            <w:tcW w:type="dxa" w:w="2400"/>
            <w:shd w:fill="F2F2F2" w:val="clear"/>
            <w:tcMar>
              <w:top w:type="dxa" w:w="80"/>
              <w:left w:type="dxa" w:w="100"/>
              <w:bottom w:type="dxa" w:w="80"/>
              <w:right w:type="dxa" w:w="100"/>
            </w:tcMar>
            <w:vAlign w:val="center"/>
          </w:tcPr>
          <w:p>
            <w:r>
              <w:rPr>
                <w:b/>
                <w:bCs/>
                <w:sz w:val="19"/>
                <w:szCs w:val="19"/>
              </w:rPr>
              <w:t xml:space="preserve">Reviewed By</w:t>
            </w:r>
          </w:p>
        </w:tc>
        <w:tc>
          <w:tcPr>
            <w:tcW w:type="dxa" w:w="7238"/>
            <w:tcMar>
              <w:top w:type="dxa" w:w="80"/>
              <w:left w:type="dxa" w:w="100"/>
              <w:bottom w:type="dxa" w:w="80"/>
              <w:right w:type="dxa" w:w="100"/>
            </w:tcMar>
            <w:vAlign w:val="center"/>
          </w:tcPr>
          <w:p>
            <w:r>
              <w:rPr>
                <w:sz w:val="19"/>
                <w:szCs w:val="19"/>
              </w:rPr>
              <w:t xml:space="preserve">N. Sarayrah, Compliance Officer</w:t>
            </w:r>
          </w:p>
        </w:tc>
      </w:tr>
      <w:tr>
        <w:tc>
          <w:tcPr>
            <w:tcW w:type="dxa" w:w="2400"/>
            <w:shd w:fill="F2F2F2" w:val="clear"/>
            <w:tcMar>
              <w:top w:type="dxa" w:w="80"/>
              <w:left w:type="dxa" w:w="100"/>
              <w:bottom w:type="dxa" w:w="80"/>
              <w:right w:type="dxa" w:w="100"/>
            </w:tcMar>
            <w:vAlign w:val="center"/>
          </w:tcPr>
          <w:p>
            <w:r>
              <w:rPr>
                <w:b/>
                <w:bCs/>
                <w:sz w:val="19"/>
                <w:szCs w:val="19"/>
              </w:rPr>
              <w:t xml:space="preserve">Approved By</w:t>
            </w:r>
          </w:p>
        </w:tc>
        <w:tc>
          <w:tcPr>
            <w:tcW w:type="dxa" w:w="7238"/>
            <w:tcMar>
              <w:top w:type="dxa" w:w="80"/>
              <w:left w:type="dxa" w:w="100"/>
              <w:bottom w:type="dxa" w:w="80"/>
              <w:right w:type="dxa" w:w="100"/>
            </w:tcMar>
            <w:vAlign w:val="center"/>
          </w:tcPr>
          <w:p>
            <w:r>
              <w:rPr>
                <w:sz w:val="19"/>
                <w:szCs w:val="19"/>
              </w:rPr>
              <w:t xml:space="preserve">Chief Executive Officer</w:t>
            </w:r>
          </w:p>
        </w:tc>
      </w:tr>
      <w:tr>
        <w:tc>
          <w:tcPr>
            <w:tcW w:type="dxa" w:w="2400"/>
            <w:shd w:fill="F2F2F2" w:val="clear"/>
            <w:tcMar>
              <w:top w:type="dxa" w:w="80"/>
              <w:left w:type="dxa" w:w="100"/>
              <w:bottom w:type="dxa" w:w="80"/>
              <w:right w:type="dxa" w:w="100"/>
            </w:tcMar>
            <w:vAlign w:val="center"/>
          </w:tcPr>
          <w:p>
            <w:r>
              <w:rPr>
                <w:b/>
                <w:bCs/>
                <w:sz w:val="19"/>
                <w:szCs w:val="19"/>
              </w:rPr>
              <w:t xml:space="preserve">Approval Date</w:t>
            </w:r>
          </w:p>
        </w:tc>
        <w:tc>
          <w:tcPr>
            <w:tcW w:type="dxa" w:w="7238"/>
            <w:tcMar>
              <w:top w:type="dxa" w:w="80"/>
              <w:left w:type="dxa" w:w="100"/>
              <w:bottom w:type="dxa" w:w="80"/>
              <w:right w:type="dxa" w:w="100"/>
            </w:tcMar>
            <w:vAlign w:val="center"/>
          </w:tcPr>
          <w:p>
            <w:r>
              <w:rPr>
                <w:sz w:val="19"/>
                <w:szCs w:val="19"/>
              </w:rPr>
              <w:t xml:space="preserve">06 July 2026</w:t>
            </w:r>
          </w:p>
        </w:tc>
      </w:tr>
      <w:tr>
        <w:tc>
          <w:tcPr>
            <w:tcW w:type="dxa" w:w="2400"/>
            <w:shd w:fill="F2F2F2" w:val="clear"/>
            <w:tcMar>
              <w:top w:type="dxa" w:w="80"/>
              <w:left w:type="dxa" w:w="100"/>
              <w:bottom w:type="dxa" w:w="80"/>
              <w:right w:type="dxa" w:w="100"/>
            </w:tcMar>
            <w:vAlign w:val="center"/>
          </w:tcPr>
          <w:p>
            <w:r>
              <w:rPr>
                <w:b/>
                <w:bCs/>
                <w:sz w:val="19"/>
                <w:szCs w:val="19"/>
              </w:rPr>
              <w:t xml:space="preserve">Next Scheduled Review</w:t>
            </w:r>
          </w:p>
        </w:tc>
        <w:tc>
          <w:tcPr>
            <w:tcW w:type="dxa" w:w="7238"/>
            <w:tcMar>
              <w:top w:type="dxa" w:w="80"/>
              <w:left w:type="dxa" w:w="100"/>
              <w:bottom w:type="dxa" w:w="80"/>
              <w:right w:type="dxa" w:w="100"/>
            </w:tcMar>
            <w:vAlign w:val="center"/>
          </w:tcPr>
          <w:p>
            <w:r>
              <w:rPr>
                <w:sz w:val="19"/>
                <w:szCs w:val="19"/>
              </w:rPr>
              <w:t xml:space="preserve">06 July 2027</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Internal Use Only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638"/>
      </w:tabs>
    </w:pPr>
    <w:r>
      <w:rPr>
        <w:color w:val="595959"/>
        <w:sz w:val="16"/>
        <w:szCs w:val="16"/>
      </w:rPr>
      <w:t xml:space="preserve">SkyJet Logistics Ltd. — Recruitment Manual</w:t>
    </w:r>
    <w:r>
      <w:tab/>
    </w:r>
    <w:r>
      <w:rPr>
        <w:color w:val="595959"/>
        <w:sz w:val="16"/>
        <w:szCs w:val="16"/>
      </w:rPr>
      <w:t xml:space="preserve">SJL-HR-004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2026-07-08T12:11:08.983Z</dcterms:created>
  <dcterms:modified xsi:type="dcterms:W3CDTF">2026-07-08T12:11:08.983Z</dcterms:modified>
</cp:coreProperties>
</file>

<file path=docProps/custom.xml><?xml version="1.0" encoding="utf-8"?>
<Properties xmlns="http://schemas.openxmlformats.org/officeDocument/2006/custom-properties" xmlns:vt="http://schemas.openxmlformats.org/officeDocument/2006/docPropsVTypes"/>
</file>