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8AD60" w14:textId="5AFDBD7C" w:rsidR="003A16DF" w:rsidRPr="00955586" w:rsidRDefault="00527BE8" w:rsidP="004B1E06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955586">
        <w:rPr>
          <w:rFonts w:ascii="Times New Roman" w:hAnsi="Times New Roman" w:cs="Times New Roman"/>
          <w:b/>
          <w:bCs/>
          <w:u w:val="single"/>
        </w:rPr>
        <w:t>Novel Approach</w:t>
      </w:r>
      <w:r w:rsidR="004B1E06" w:rsidRPr="00955586">
        <w:rPr>
          <w:rFonts w:ascii="Times New Roman" w:hAnsi="Times New Roman" w:cs="Times New Roman"/>
          <w:b/>
          <w:bCs/>
          <w:u w:val="single"/>
        </w:rPr>
        <w:t xml:space="preserve"> for Predicting Stock Reactions to Energy Events in Romania</w:t>
      </w:r>
    </w:p>
    <w:p w14:paraId="5F71F746" w14:textId="77777777" w:rsidR="00527BE8" w:rsidRPr="00955586" w:rsidRDefault="00527BE8" w:rsidP="00527BE8">
      <w:pPr>
        <w:spacing w:after="0"/>
        <w:jc w:val="center"/>
        <w:rPr>
          <w:rFonts w:ascii="Times New Roman" w:hAnsi="Times New Roman" w:cs="Times New Roman"/>
        </w:rPr>
      </w:pPr>
      <w:r w:rsidRPr="00955586">
        <w:rPr>
          <w:rFonts w:ascii="Times New Roman" w:hAnsi="Times New Roman" w:cs="Times New Roman"/>
        </w:rPr>
        <w:t>Oancea Teodora</w:t>
      </w:r>
    </w:p>
    <w:p w14:paraId="45F191C4" w14:textId="07CCB511" w:rsidR="00527BE8" w:rsidRPr="00955586" w:rsidRDefault="00527BE8" w:rsidP="00527BE8">
      <w:pPr>
        <w:spacing w:after="0"/>
        <w:jc w:val="center"/>
        <w:rPr>
          <w:rFonts w:ascii="Times New Roman" w:hAnsi="Times New Roman" w:cs="Times New Roman"/>
        </w:rPr>
      </w:pPr>
      <w:r w:rsidRPr="00955586">
        <w:rPr>
          <w:rFonts w:ascii="Times New Roman" w:hAnsi="Times New Roman" w:cs="Times New Roman"/>
        </w:rPr>
        <w:t>Classification - 91G70 Statistical methods; risk measures</w:t>
      </w:r>
    </w:p>
    <w:p w14:paraId="61CE6301" w14:textId="77777777" w:rsidR="004B1E06" w:rsidRPr="00955586" w:rsidRDefault="004B1E06" w:rsidP="004B1E06">
      <w:pPr>
        <w:jc w:val="center"/>
        <w:rPr>
          <w:rFonts w:ascii="Times New Roman" w:hAnsi="Times New Roman" w:cs="Times New Roman"/>
        </w:rPr>
      </w:pPr>
    </w:p>
    <w:p w14:paraId="18BA1F80" w14:textId="77777777" w:rsidR="00955586" w:rsidRPr="00955586" w:rsidRDefault="00955586" w:rsidP="00955586">
      <w:pPr>
        <w:pStyle w:val="NormalWeb"/>
        <w:spacing w:before="0" w:beforeAutospacing="0" w:after="0" w:afterAutospacing="0"/>
      </w:pPr>
      <w:r w:rsidRPr="00955586">
        <w:t xml:space="preserve">1. </w:t>
      </w:r>
      <w:r w:rsidRPr="00955586">
        <w:rPr>
          <w:b/>
          <w:bCs/>
        </w:rPr>
        <w:t>Introduction</w:t>
      </w:r>
    </w:p>
    <w:p w14:paraId="375722CE" w14:textId="77777777" w:rsidR="00955586" w:rsidRPr="00955586" w:rsidRDefault="00955586" w:rsidP="00955586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955586">
        <w:t>Problem: Do Romanian energy stocks react (next day) to OPCOM / ANRE / BVB events?</w:t>
      </w:r>
    </w:p>
    <w:p w14:paraId="24DF003F" w14:textId="77777777" w:rsidR="00955586" w:rsidRPr="00955586" w:rsidRDefault="00955586" w:rsidP="00955586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955586">
        <w:t>Goal: predict next-day direction (up/down).</w:t>
      </w:r>
    </w:p>
    <w:p w14:paraId="1A192856" w14:textId="77777777" w:rsidR="00955586" w:rsidRPr="00955586" w:rsidRDefault="00955586" w:rsidP="00955586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955586">
        <w:t>Scope: a few tickers (e.g., SNG, TGN, TEL), daily data.</w:t>
      </w:r>
    </w:p>
    <w:p w14:paraId="522D2E9A" w14:textId="7499FDEA" w:rsidR="00955586" w:rsidRPr="00955586" w:rsidRDefault="00955586" w:rsidP="00955586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955586">
        <w:rPr>
          <w:b/>
          <w:bCs/>
        </w:rPr>
        <w:t>What’s new</w:t>
      </w:r>
      <w:r w:rsidRPr="00955586">
        <w:t>: merge Romanian event sources, add simple spillover features, give confidence (uncertainty), and make a dataset.</w:t>
      </w:r>
    </w:p>
    <w:p w14:paraId="2A61AF1A" w14:textId="77777777" w:rsidR="00955586" w:rsidRPr="00955586" w:rsidRDefault="00955586" w:rsidP="00955586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955586">
        <w:t>Research questions: Do events help? Which events help most? Do spillovers help?</w:t>
      </w:r>
    </w:p>
    <w:p w14:paraId="0087342B" w14:textId="77777777" w:rsidR="00955586" w:rsidRPr="00955586" w:rsidRDefault="00955586" w:rsidP="00955586">
      <w:pPr>
        <w:pStyle w:val="NormalWeb"/>
        <w:spacing w:before="0" w:beforeAutospacing="0" w:after="0" w:afterAutospacing="0"/>
      </w:pPr>
      <w:r w:rsidRPr="00955586">
        <w:t xml:space="preserve">2. </w:t>
      </w:r>
      <w:r w:rsidRPr="00955586">
        <w:rPr>
          <w:b/>
          <w:bCs/>
        </w:rPr>
        <w:t>Background</w:t>
      </w:r>
    </w:p>
    <w:p w14:paraId="5DE9002E" w14:textId="27058761" w:rsidR="00955586" w:rsidRPr="00955586" w:rsidRDefault="00955586" w:rsidP="00955586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955586">
        <w:t xml:space="preserve">What </w:t>
      </w:r>
      <w:proofErr w:type="gramStart"/>
      <w:r w:rsidRPr="00955586">
        <w:t>event</w:t>
      </w:r>
      <w:proofErr w:type="gramEnd"/>
      <w:r w:rsidRPr="00955586">
        <w:t xml:space="preserve">-driven prediction means (events </w:t>
      </w:r>
      <w:r>
        <w:t>-&gt;</w:t>
      </w:r>
      <w:r w:rsidRPr="00955586">
        <w:t xml:space="preserve"> returns).</w:t>
      </w:r>
    </w:p>
    <w:p w14:paraId="4EB8C525" w14:textId="69216B24" w:rsidR="00955586" w:rsidRPr="00955586" w:rsidRDefault="00955586" w:rsidP="00955586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955586">
        <w:t>Short intro to event study</w:t>
      </w:r>
    </w:p>
    <w:p w14:paraId="216FF8FB" w14:textId="77777777" w:rsidR="00955586" w:rsidRPr="00955586" w:rsidRDefault="00955586" w:rsidP="00955586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955586">
        <w:t>Romania context: OPCOM day-ahead market, ANRE rules, BVB stocks.</w:t>
      </w:r>
    </w:p>
    <w:p w14:paraId="5FAF752C" w14:textId="77777777" w:rsidR="00955586" w:rsidRPr="00955586" w:rsidRDefault="00955586" w:rsidP="00955586">
      <w:pPr>
        <w:pStyle w:val="NormalWeb"/>
        <w:spacing w:before="0" w:beforeAutospacing="0" w:after="0" w:afterAutospacing="0"/>
      </w:pPr>
      <w:r w:rsidRPr="00955586">
        <w:t xml:space="preserve">3. </w:t>
      </w:r>
      <w:r w:rsidRPr="00955586">
        <w:rPr>
          <w:b/>
          <w:bCs/>
        </w:rPr>
        <w:t>Related Work</w:t>
      </w:r>
    </w:p>
    <w:p w14:paraId="692EF777" w14:textId="77777777" w:rsidR="00955586" w:rsidRPr="00955586" w:rsidRDefault="00955586" w:rsidP="00955586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955586">
        <w:t>Event extraction + event-driven ML.</w:t>
      </w:r>
    </w:p>
    <w:p w14:paraId="49D8924E" w14:textId="77777777" w:rsidR="00955586" w:rsidRPr="00955586" w:rsidRDefault="00955586" w:rsidP="00955586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955586">
        <w:t>Cross-stock influence (simple “neighbors” idea).</w:t>
      </w:r>
    </w:p>
    <w:p w14:paraId="1471A0C4" w14:textId="77777777" w:rsidR="00955586" w:rsidRPr="00955586" w:rsidRDefault="00955586" w:rsidP="00955586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955586">
        <w:t>Prior work on Romania/energy.</w:t>
      </w:r>
    </w:p>
    <w:p w14:paraId="66313E4A" w14:textId="77777777" w:rsidR="00955586" w:rsidRPr="00955586" w:rsidRDefault="00955586" w:rsidP="00955586">
      <w:pPr>
        <w:pStyle w:val="NormalWeb"/>
        <w:spacing w:before="0" w:beforeAutospacing="0" w:after="0" w:afterAutospacing="0"/>
        <w:rPr>
          <w:b/>
          <w:bCs/>
        </w:rPr>
      </w:pPr>
      <w:r w:rsidRPr="00955586">
        <w:rPr>
          <w:b/>
          <w:bCs/>
        </w:rPr>
        <w:t>4. Data</w:t>
      </w:r>
    </w:p>
    <w:p w14:paraId="0A2F9AD7" w14:textId="77777777" w:rsidR="00955586" w:rsidRPr="00955586" w:rsidRDefault="00955586" w:rsidP="00955586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955586">
        <w:t>Assets: SNG, TGN, TEL, plus BET-NG sector index.</w:t>
      </w:r>
    </w:p>
    <w:p w14:paraId="5F53EA8B" w14:textId="70ACA246" w:rsidR="00955586" w:rsidRPr="00955586" w:rsidRDefault="00955586" w:rsidP="00955586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955586">
        <w:t>Sources: BVB prices; OPCOM day-ahead info; ANRE decisions; issuer current reports; major press.</w:t>
      </w:r>
    </w:p>
    <w:p w14:paraId="3159B86E" w14:textId="77777777" w:rsidR="00955586" w:rsidRPr="00955586" w:rsidRDefault="00955586" w:rsidP="00955586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955586">
        <w:t>Processing: align dates, tag event type, define label = tomorrow’s return/direction.</w:t>
      </w:r>
    </w:p>
    <w:p w14:paraId="5A0516F2" w14:textId="77777777" w:rsidR="00955586" w:rsidRPr="00955586" w:rsidRDefault="00955586" w:rsidP="00955586">
      <w:pPr>
        <w:pStyle w:val="NormalWeb"/>
        <w:spacing w:before="0" w:beforeAutospacing="0" w:after="0" w:afterAutospacing="0"/>
      </w:pPr>
      <w:r w:rsidRPr="00955586">
        <w:t xml:space="preserve">5. </w:t>
      </w:r>
      <w:r w:rsidRPr="00955586">
        <w:rPr>
          <w:b/>
          <w:bCs/>
        </w:rPr>
        <w:t>Methods</w:t>
      </w:r>
    </w:p>
    <w:p w14:paraId="104E2A98" w14:textId="77777777" w:rsidR="00955586" w:rsidRPr="00955586" w:rsidRDefault="00955586" w:rsidP="00955586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955586">
        <w:t>Pipeline: ingest → tag events → build features → train → evaluate.</w:t>
      </w:r>
    </w:p>
    <w:p w14:paraId="21C4B32E" w14:textId="37D811A4" w:rsidR="00955586" w:rsidRPr="00955586" w:rsidRDefault="00955586" w:rsidP="00955586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955586">
        <w:t>Event tagging: simple rules/keywords</w:t>
      </w:r>
    </w:p>
    <w:p w14:paraId="121ABAC3" w14:textId="77777777" w:rsidR="00955586" w:rsidRPr="00955586" w:rsidRDefault="00955586" w:rsidP="00955586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955586">
        <w:t>Features: event type/time/source, OPCOM context, recency; (maybe) simple text sentiment.</w:t>
      </w:r>
    </w:p>
    <w:p w14:paraId="267B9685" w14:textId="5C334BC5" w:rsidR="00955586" w:rsidRPr="00955586" w:rsidRDefault="00955586" w:rsidP="00955586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955586">
        <w:t>Evaluation: walk-forward; metrics: Accuracy (direction), MAE (returns)</w:t>
      </w:r>
    </w:p>
    <w:p w14:paraId="6E4A3153" w14:textId="77777777" w:rsidR="00955586" w:rsidRPr="00955586" w:rsidRDefault="00955586" w:rsidP="00955586">
      <w:pPr>
        <w:pStyle w:val="NormalWeb"/>
        <w:spacing w:before="0" w:beforeAutospacing="0" w:after="0" w:afterAutospacing="0"/>
      </w:pPr>
      <w:r w:rsidRPr="00955586">
        <w:t xml:space="preserve">6. </w:t>
      </w:r>
      <w:r w:rsidRPr="00955586">
        <w:rPr>
          <w:b/>
          <w:bCs/>
        </w:rPr>
        <w:t>Experiments</w:t>
      </w:r>
    </w:p>
    <w:p w14:paraId="2F532228" w14:textId="77777777" w:rsidR="00955586" w:rsidRPr="00955586" w:rsidRDefault="00955586" w:rsidP="00955586">
      <w:pPr>
        <w:pStyle w:val="NormalWeb"/>
        <w:numPr>
          <w:ilvl w:val="0"/>
          <w:numId w:val="27"/>
        </w:numPr>
        <w:spacing w:before="0" w:beforeAutospacing="0" w:after="0" w:afterAutospacing="0"/>
      </w:pPr>
      <w:r w:rsidRPr="00955586">
        <w:t>E1: Event study (AR/CAR by event type).</w:t>
      </w:r>
    </w:p>
    <w:p w14:paraId="23522CAE" w14:textId="77777777" w:rsidR="00955586" w:rsidRPr="00955586" w:rsidRDefault="00955586" w:rsidP="00955586">
      <w:pPr>
        <w:pStyle w:val="NormalWeb"/>
        <w:numPr>
          <w:ilvl w:val="0"/>
          <w:numId w:val="27"/>
        </w:numPr>
        <w:spacing w:before="0" w:beforeAutospacing="0" w:after="0" w:afterAutospacing="0"/>
      </w:pPr>
      <w:r w:rsidRPr="00955586">
        <w:t>E2: Price-only vs +events vs +</w:t>
      </w:r>
      <w:proofErr w:type="spellStart"/>
      <w:r w:rsidRPr="00955586">
        <w:t>events+neighbors</w:t>
      </w:r>
      <w:proofErr w:type="spellEnd"/>
      <w:r w:rsidRPr="00955586">
        <w:t>.</w:t>
      </w:r>
    </w:p>
    <w:p w14:paraId="2288C204" w14:textId="5DE6A4AE" w:rsidR="00955586" w:rsidRPr="00955586" w:rsidRDefault="00955586" w:rsidP="00955586">
      <w:pPr>
        <w:pStyle w:val="NormalWeb"/>
        <w:numPr>
          <w:ilvl w:val="0"/>
          <w:numId w:val="27"/>
        </w:numPr>
        <w:spacing w:before="0" w:beforeAutospacing="0" w:after="0" w:afterAutospacing="0"/>
      </w:pPr>
      <w:r w:rsidRPr="00955586">
        <w:t>E3: Which event types matter most.</w:t>
      </w:r>
    </w:p>
    <w:p w14:paraId="7387CCC5" w14:textId="77777777" w:rsidR="00955586" w:rsidRPr="00955586" w:rsidRDefault="00955586" w:rsidP="00955586">
      <w:pPr>
        <w:pStyle w:val="NormalWeb"/>
        <w:spacing w:before="0" w:beforeAutospacing="0" w:after="0" w:afterAutospacing="0"/>
      </w:pPr>
      <w:r w:rsidRPr="00955586">
        <w:t xml:space="preserve">7. </w:t>
      </w:r>
      <w:r w:rsidRPr="00955586">
        <w:rPr>
          <w:b/>
          <w:bCs/>
        </w:rPr>
        <w:t>Results</w:t>
      </w:r>
    </w:p>
    <w:p w14:paraId="3BC7A00C" w14:textId="77777777" w:rsidR="00955586" w:rsidRPr="00955586" w:rsidRDefault="00955586" w:rsidP="00955586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955586">
        <w:t>One table for main metrics; a small chart for uncertainty width/coverage; quick confusion matrix on event days.</w:t>
      </w:r>
    </w:p>
    <w:p w14:paraId="7453B736" w14:textId="77777777" w:rsidR="00955586" w:rsidRPr="00955586" w:rsidRDefault="00955586" w:rsidP="00955586">
      <w:pPr>
        <w:pStyle w:val="NormalWeb"/>
        <w:spacing w:before="0" w:beforeAutospacing="0" w:after="0" w:afterAutospacing="0"/>
      </w:pPr>
      <w:r w:rsidRPr="00955586">
        <w:t xml:space="preserve">8. </w:t>
      </w:r>
      <w:r w:rsidRPr="00955586">
        <w:rPr>
          <w:b/>
          <w:bCs/>
        </w:rPr>
        <w:t>Discussion</w:t>
      </w:r>
    </w:p>
    <w:p w14:paraId="4AA87E10" w14:textId="77777777" w:rsidR="00955586" w:rsidRPr="00955586" w:rsidRDefault="00955586" w:rsidP="00955586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955586">
        <w:t>What worked (signals, spillovers) / what didn’t.</w:t>
      </w:r>
    </w:p>
    <w:p w14:paraId="3CF917EF" w14:textId="77777777" w:rsidR="00955586" w:rsidRPr="00955586" w:rsidRDefault="00955586" w:rsidP="00955586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955586">
        <w:t>Limits (small market, timing, data gaps).</w:t>
      </w:r>
    </w:p>
    <w:p w14:paraId="3B1809C9" w14:textId="77777777" w:rsidR="00955586" w:rsidRPr="00955586" w:rsidRDefault="00955586" w:rsidP="00955586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955586">
        <w:t>Practical use (alerts, risk guardrails).</w:t>
      </w:r>
    </w:p>
    <w:p w14:paraId="243C3552" w14:textId="77777777" w:rsidR="00955586" w:rsidRPr="00955586" w:rsidRDefault="00955586" w:rsidP="007361E5">
      <w:pPr>
        <w:pStyle w:val="NormalWeb"/>
        <w:spacing w:before="0" w:beforeAutospacing="0" w:after="0" w:afterAutospacing="0"/>
      </w:pPr>
      <w:r w:rsidRPr="00955586">
        <w:t xml:space="preserve">9. </w:t>
      </w:r>
      <w:r w:rsidRPr="00955586">
        <w:rPr>
          <w:b/>
          <w:bCs/>
        </w:rPr>
        <w:t>Conclusion</w:t>
      </w:r>
    </w:p>
    <w:p w14:paraId="34D64156" w14:textId="77777777" w:rsidR="00955586" w:rsidRDefault="00955586" w:rsidP="00955586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955586">
        <w:t>Short answers to the research questions + next steps.</w:t>
      </w:r>
    </w:p>
    <w:p w14:paraId="416C8D7A" w14:textId="77777777" w:rsidR="007361E5" w:rsidRPr="00955586" w:rsidRDefault="007361E5" w:rsidP="007361E5">
      <w:pPr>
        <w:pStyle w:val="NormalWeb"/>
        <w:spacing w:before="0" w:beforeAutospacing="0" w:after="0" w:afterAutospacing="0"/>
        <w:ind w:left="720"/>
      </w:pPr>
    </w:p>
    <w:p w14:paraId="700699C7" w14:textId="3C6E5DAB" w:rsidR="00955586" w:rsidRPr="00955586" w:rsidRDefault="00955586" w:rsidP="00955586">
      <w:pPr>
        <w:pStyle w:val="NormalWeb"/>
        <w:spacing w:before="0" w:beforeAutospacing="0" w:after="0" w:afterAutospacing="0"/>
        <w:rPr>
          <w:b/>
          <w:bCs/>
        </w:rPr>
      </w:pPr>
      <w:r w:rsidRPr="00955586">
        <w:rPr>
          <w:b/>
          <w:bCs/>
        </w:rPr>
        <w:lastRenderedPageBreak/>
        <w:t>Working hypothesis</w:t>
      </w:r>
    </w:p>
    <w:p w14:paraId="48466B3E" w14:textId="77777777" w:rsidR="00955586" w:rsidRPr="00955586" w:rsidRDefault="00955586" w:rsidP="00955586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955586">
        <w:t>H1: OPCOM/ANRE/issuer events move Romanian energy stocks short-term.</w:t>
      </w:r>
    </w:p>
    <w:p w14:paraId="508CFE6B" w14:textId="77777777" w:rsidR="00955586" w:rsidRPr="00955586" w:rsidRDefault="00955586" w:rsidP="00955586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955586">
        <w:t>H2: Event features (and simple neighbor features) beat price-only.</w:t>
      </w:r>
    </w:p>
    <w:p w14:paraId="4C0920FE" w14:textId="77777777" w:rsidR="00955586" w:rsidRPr="00955586" w:rsidRDefault="00955586" w:rsidP="00955586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955586">
        <w:t>H3: Conformal prediction gives useful confidence and lets us skip low-confidence days.</w:t>
      </w:r>
    </w:p>
    <w:p w14:paraId="15438D1D" w14:textId="25633E47" w:rsidR="00955586" w:rsidRPr="00955586" w:rsidRDefault="00955586" w:rsidP="00955586">
      <w:pPr>
        <w:pStyle w:val="NormalWeb"/>
        <w:spacing w:before="0" w:beforeAutospacing="0" w:after="0" w:afterAutospacing="0"/>
        <w:rPr>
          <w:b/>
          <w:bCs/>
        </w:rPr>
      </w:pPr>
      <w:r w:rsidRPr="00955586">
        <w:rPr>
          <w:b/>
          <w:bCs/>
        </w:rPr>
        <w:t>Plan</w:t>
      </w:r>
    </w:p>
    <w:p w14:paraId="5B894708" w14:textId="77777777" w:rsidR="00955586" w:rsidRPr="00955586" w:rsidRDefault="00955586" w:rsidP="00955586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955586">
        <w:t>Data: prices for target stocks; logs for OPCOM, ANRE, issuer reports; align by trading day.</w:t>
      </w:r>
    </w:p>
    <w:p w14:paraId="3C76F245" w14:textId="1B5622B7" w:rsidR="00955586" w:rsidRPr="00955586" w:rsidRDefault="00955586" w:rsidP="00955586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955586">
        <w:t>Tag events: rules/keywords → event type &amp; time</w:t>
      </w:r>
    </w:p>
    <w:p w14:paraId="3A391E47" w14:textId="77777777" w:rsidR="00955586" w:rsidRPr="00955586" w:rsidRDefault="00955586" w:rsidP="00955586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955586">
        <w:t>Labels: next-day return + direction; also compute AR/CAR to verify impact.</w:t>
      </w:r>
    </w:p>
    <w:p w14:paraId="3C4B6222" w14:textId="77777777" w:rsidR="00955586" w:rsidRPr="00955586" w:rsidRDefault="00955586" w:rsidP="00955586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955586">
        <w:t>Models: baseline (price-only); main (</w:t>
      </w:r>
      <w:proofErr w:type="spellStart"/>
      <w:r w:rsidRPr="00955586">
        <w:t>LightGBM</w:t>
      </w:r>
      <w:proofErr w:type="spellEnd"/>
      <w:r w:rsidRPr="00955586">
        <w:t>/MLP) + neighbor features (same sector/ownership).</w:t>
      </w:r>
    </w:p>
    <w:p w14:paraId="3300921C" w14:textId="09B340E2" w:rsidR="00955586" w:rsidRPr="00955586" w:rsidRDefault="00955586" w:rsidP="00955586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955586">
        <w:t>Evaluation: walk-forward; Accuracy/MAE; uncertainty via conformal (90/95%).</w:t>
      </w:r>
    </w:p>
    <w:p w14:paraId="37F21B42" w14:textId="7E496AD9" w:rsidR="00955586" w:rsidRDefault="00955586" w:rsidP="00955586">
      <w:pPr>
        <w:pStyle w:val="NormalWeb"/>
        <w:spacing w:before="0" w:beforeAutospacing="0" w:after="0" w:afterAutospacing="0"/>
        <w:rPr>
          <w:b/>
          <w:bCs/>
        </w:rPr>
      </w:pPr>
      <w:r w:rsidRPr="00955586">
        <w:rPr>
          <w:b/>
          <w:bCs/>
        </w:rPr>
        <w:t>What’s original</w:t>
      </w:r>
    </w:p>
    <w:p w14:paraId="50CD23A0" w14:textId="6A57CE3C" w:rsidR="007361E5" w:rsidRPr="007361E5" w:rsidRDefault="007361E5" w:rsidP="00955586">
      <w:pPr>
        <w:pStyle w:val="NormalWeb"/>
        <w:numPr>
          <w:ilvl w:val="0"/>
          <w:numId w:val="35"/>
        </w:numPr>
        <w:spacing w:before="0" w:beforeAutospacing="0" w:after="0" w:afterAutospacing="0"/>
      </w:pPr>
      <w:r w:rsidRPr="007361E5">
        <w:t xml:space="preserve">Multi-source event fusion (OPCOM+ANRE+BVB) is rarely combined in one pipeline. </w:t>
      </w:r>
    </w:p>
    <w:p w14:paraId="530BE277" w14:textId="77777777" w:rsidR="007361E5" w:rsidRDefault="007361E5" w:rsidP="007361E5">
      <w:pPr>
        <w:pStyle w:val="NormalWeb"/>
        <w:numPr>
          <w:ilvl w:val="0"/>
          <w:numId w:val="35"/>
        </w:numPr>
        <w:spacing w:before="0" w:beforeAutospacing="0" w:after="0" w:afterAutospacing="0"/>
      </w:pPr>
      <w:r w:rsidRPr="007361E5">
        <w:t xml:space="preserve">Under-studied context (Romania, state-influenced energy sector, RO-language sources). </w:t>
      </w:r>
    </w:p>
    <w:p w14:paraId="02EC47C7" w14:textId="60CCBF6A" w:rsidR="007361E5" w:rsidRPr="00955586" w:rsidRDefault="00CF247B" w:rsidP="007361E5">
      <w:pPr>
        <w:pStyle w:val="NormalWeb"/>
        <w:numPr>
          <w:ilvl w:val="0"/>
          <w:numId w:val="35"/>
        </w:numPr>
        <w:spacing w:before="0" w:beforeAutospacing="0" w:after="0" w:afterAutospacing="0"/>
      </w:pPr>
      <w:r w:rsidRPr="00CF247B">
        <w:t>Adds practical spillovers and conformal uncertainty, enabling abstention on low-confidence days and better risk control</w:t>
      </w:r>
    </w:p>
    <w:p w14:paraId="0DAE5FFB" w14:textId="6194F38D" w:rsidR="00955586" w:rsidRPr="00955586" w:rsidRDefault="00955586" w:rsidP="00955586">
      <w:pPr>
        <w:pStyle w:val="NormalWeb"/>
        <w:spacing w:before="0" w:beforeAutospacing="0" w:after="0" w:afterAutospacing="0"/>
        <w:rPr>
          <w:b/>
          <w:bCs/>
        </w:rPr>
      </w:pPr>
      <w:r w:rsidRPr="00955586">
        <w:rPr>
          <w:b/>
          <w:bCs/>
        </w:rPr>
        <w:t xml:space="preserve">Research questions </w:t>
      </w:r>
    </w:p>
    <w:p w14:paraId="75A4D53B" w14:textId="77777777" w:rsidR="00955586" w:rsidRPr="00955586" w:rsidRDefault="00955586" w:rsidP="00955586">
      <w:pPr>
        <w:pStyle w:val="NormalWeb"/>
        <w:numPr>
          <w:ilvl w:val="0"/>
          <w:numId w:val="34"/>
        </w:numPr>
        <w:spacing w:before="0" w:beforeAutospacing="0" w:after="0" w:afterAutospacing="0"/>
      </w:pPr>
      <w:r w:rsidRPr="00955586">
        <w:t>RQ1: Do Romanian energy events improve next-day prediction vs price-only?</w:t>
      </w:r>
    </w:p>
    <w:p w14:paraId="4F95295A" w14:textId="77777777" w:rsidR="00955586" w:rsidRPr="00955586" w:rsidRDefault="00955586" w:rsidP="00955586">
      <w:pPr>
        <w:pStyle w:val="NormalWeb"/>
        <w:numPr>
          <w:ilvl w:val="0"/>
          <w:numId w:val="34"/>
        </w:numPr>
        <w:spacing w:before="0" w:beforeAutospacing="0" w:after="0" w:afterAutospacing="0"/>
      </w:pPr>
      <w:r w:rsidRPr="00955586">
        <w:t>RQ2: Which event types (regulatory / market / issuer) help the most?</w:t>
      </w:r>
    </w:p>
    <w:p w14:paraId="4C4ED3C1" w14:textId="01DC59F9" w:rsidR="00955586" w:rsidRPr="00955586" w:rsidRDefault="00955586" w:rsidP="007361E5">
      <w:pPr>
        <w:pStyle w:val="NormalWeb"/>
        <w:numPr>
          <w:ilvl w:val="0"/>
          <w:numId w:val="34"/>
        </w:numPr>
        <w:spacing w:before="0" w:beforeAutospacing="0" w:after="0" w:afterAutospacing="0"/>
      </w:pPr>
      <w:r w:rsidRPr="00955586">
        <w:t>RQ3: Do simple neighbor features (spillovers) add clear value?</w:t>
      </w:r>
    </w:p>
    <w:p w14:paraId="236B6D7F" w14:textId="77777777" w:rsidR="00C23BD5" w:rsidRPr="007361E5" w:rsidRDefault="00C23BD5" w:rsidP="00C23BD5">
      <w:pPr>
        <w:pStyle w:val="NormalWeb"/>
        <w:spacing w:after="0" w:afterAutospacing="0"/>
        <w:rPr>
          <w:b/>
          <w:bCs/>
          <w:u w:val="single"/>
        </w:rPr>
      </w:pPr>
      <w:r w:rsidRPr="007361E5">
        <w:rPr>
          <w:b/>
          <w:bCs/>
          <w:u w:val="single"/>
        </w:rPr>
        <w:t>References</w:t>
      </w:r>
    </w:p>
    <w:p w14:paraId="6B5454FC" w14:textId="77777777" w:rsidR="00C23BD5" w:rsidRPr="00955586" w:rsidRDefault="00C23BD5" w:rsidP="00C23BD5">
      <w:pPr>
        <w:pStyle w:val="NormalWeb"/>
        <w:numPr>
          <w:ilvl w:val="0"/>
          <w:numId w:val="9"/>
        </w:numPr>
        <w:spacing w:after="0" w:afterAutospacing="0"/>
      </w:pPr>
      <w:r w:rsidRPr="00955586">
        <w:t xml:space="preserve">Ding, X., Zhang, Y., Liu, T., &amp; Duan, J. (2014). Using structured events to predict stock price movement: An empirical investigation. </w:t>
      </w:r>
      <w:r w:rsidRPr="00955586">
        <w:rPr>
          <w:rStyle w:val="Emphasis"/>
          <w:rFonts w:eastAsiaTheme="majorEastAsia"/>
        </w:rPr>
        <w:t>EMNLP 2014</w:t>
      </w:r>
      <w:r w:rsidRPr="00955586">
        <w:t>, 1415–1425.</w:t>
      </w:r>
      <w:r w:rsidRPr="00955586">
        <w:br/>
        <w:t xml:space="preserve">Link: </w:t>
      </w:r>
      <w:hyperlink r:id="rId5" w:tgtFrame="_new" w:history="1">
        <w:r w:rsidRPr="00955586">
          <w:rPr>
            <w:rStyle w:val="Hyperlink"/>
            <w:rFonts w:eastAsiaTheme="majorEastAsia"/>
          </w:rPr>
          <w:t>https://aclanthology.org/D14-1148.pdf</w:t>
        </w:r>
      </w:hyperlink>
      <w:r w:rsidRPr="00955586">
        <w:t xml:space="preserve"> </w:t>
      </w:r>
      <w:hyperlink r:id="rId6" w:tgtFrame="_blank" w:history="1">
        <w:r w:rsidRPr="00955586">
          <w:rPr>
            <w:rStyle w:val="max-w-15ch"/>
            <w:color w:val="0000FF"/>
            <w:u w:val="single"/>
          </w:rPr>
          <w:t>ACL Anthology</w:t>
        </w:r>
      </w:hyperlink>
    </w:p>
    <w:p w14:paraId="1D4D3C10" w14:textId="77777777" w:rsidR="00C23BD5" w:rsidRPr="00955586" w:rsidRDefault="00C23BD5" w:rsidP="00C23BD5">
      <w:pPr>
        <w:pStyle w:val="NormalWeb"/>
        <w:numPr>
          <w:ilvl w:val="0"/>
          <w:numId w:val="9"/>
        </w:numPr>
        <w:spacing w:after="0" w:afterAutospacing="0"/>
      </w:pPr>
      <w:r w:rsidRPr="00955586">
        <w:t xml:space="preserve">Ding, X., Zhang, Y., Liu, T., &amp; Duan, J. (2015). Deep learning for event-driven stock prediction. </w:t>
      </w:r>
      <w:r w:rsidRPr="00955586">
        <w:rPr>
          <w:rStyle w:val="Emphasis"/>
          <w:rFonts w:eastAsiaTheme="majorEastAsia"/>
        </w:rPr>
        <w:t>IJCAI 2015</w:t>
      </w:r>
      <w:r w:rsidRPr="00955586">
        <w:t>.</w:t>
      </w:r>
      <w:r w:rsidRPr="00955586">
        <w:br/>
        <w:t xml:space="preserve">Link: </w:t>
      </w:r>
      <w:hyperlink r:id="rId7" w:tgtFrame="_new" w:history="1">
        <w:r w:rsidRPr="00955586">
          <w:rPr>
            <w:rStyle w:val="Hyperlink"/>
            <w:rFonts w:eastAsiaTheme="majorEastAsia"/>
          </w:rPr>
          <w:t>https://www.ijcai.org/Proceedings/15/Papers/329.pdf</w:t>
        </w:r>
      </w:hyperlink>
      <w:r w:rsidRPr="00955586">
        <w:t xml:space="preserve"> </w:t>
      </w:r>
      <w:hyperlink r:id="rId8" w:tgtFrame="_blank" w:history="1">
        <w:r w:rsidRPr="00955586">
          <w:rPr>
            <w:rStyle w:val="max-w-15ch"/>
            <w:color w:val="0000FF"/>
            <w:u w:val="single"/>
          </w:rPr>
          <w:t>IJCAI</w:t>
        </w:r>
      </w:hyperlink>
    </w:p>
    <w:p w14:paraId="3705F6AC" w14:textId="77777777" w:rsidR="00C23BD5" w:rsidRPr="00955586" w:rsidRDefault="00C23BD5" w:rsidP="00C23BD5">
      <w:pPr>
        <w:pStyle w:val="NormalWeb"/>
        <w:numPr>
          <w:ilvl w:val="0"/>
          <w:numId w:val="9"/>
        </w:numPr>
        <w:spacing w:after="0" w:afterAutospacing="0"/>
      </w:pPr>
      <w:r w:rsidRPr="00955586">
        <w:t xml:space="preserve">Zhou, Z., Ma, L., &amp; Liu, H. (2021). Trade the event: Corporate events detection for news-based event-driven trading. </w:t>
      </w:r>
      <w:r w:rsidRPr="00955586">
        <w:rPr>
          <w:rStyle w:val="Emphasis"/>
          <w:rFonts w:eastAsiaTheme="majorEastAsia"/>
        </w:rPr>
        <w:t>Findings of ACL 2021</w:t>
      </w:r>
      <w:r w:rsidRPr="00955586">
        <w:t>.</w:t>
      </w:r>
      <w:r w:rsidRPr="00955586">
        <w:br/>
        <w:t xml:space="preserve">Link: https://arxiv.org/pdf/2105.12825.pdf </w:t>
      </w:r>
      <w:hyperlink r:id="rId9" w:tgtFrame="_blank" w:history="1">
        <w:proofErr w:type="spellStart"/>
        <w:r w:rsidRPr="00955586">
          <w:rPr>
            <w:rStyle w:val="max-w-15ch"/>
            <w:color w:val="0000FF"/>
            <w:u w:val="single"/>
          </w:rPr>
          <w:t>arXiv</w:t>
        </w:r>
        <w:proofErr w:type="spellEnd"/>
      </w:hyperlink>
    </w:p>
    <w:p w14:paraId="7AD4FB8C" w14:textId="77777777" w:rsidR="00C23BD5" w:rsidRPr="00955586" w:rsidRDefault="00C23BD5" w:rsidP="00C23BD5">
      <w:pPr>
        <w:pStyle w:val="NormalWeb"/>
        <w:numPr>
          <w:ilvl w:val="0"/>
          <w:numId w:val="9"/>
        </w:numPr>
        <w:spacing w:after="0" w:afterAutospacing="0"/>
      </w:pPr>
      <w:r w:rsidRPr="00955586">
        <w:t xml:space="preserve">Xu, W., Liu, W., Xu, C., Bian, J., Yin, J., &amp; Liu, T.-Y. (2021). REST: Relational event-driven stock trend forecasting. </w:t>
      </w:r>
      <w:r w:rsidRPr="00955586">
        <w:rPr>
          <w:rStyle w:val="Emphasis"/>
          <w:rFonts w:eastAsiaTheme="majorEastAsia"/>
        </w:rPr>
        <w:t>WWW 2021</w:t>
      </w:r>
      <w:r w:rsidRPr="00955586">
        <w:t>.</w:t>
      </w:r>
      <w:r w:rsidRPr="00955586">
        <w:br/>
        <w:t xml:space="preserve">Link: </w:t>
      </w:r>
      <w:hyperlink r:id="rId10" w:tgtFrame="_new" w:history="1">
        <w:r w:rsidRPr="00955586">
          <w:rPr>
            <w:rStyle w:val="Hyperlink"/>
            <w:rFonts w:eastAsiaTheme="majorEastAsia"/>
          </w:rPr>
          <w:t>https://arxiv.org/pdf/2102.07372</w:t>
        </w:r>
      </w:hyperlink>
      <w:r w:rsidRPr="00955586">
        <w:t xml:space="preserve"> </w:t>
      </w:r>
      <w:hyperlink r:id="rId11" w:tgtFrame="_blank" w:history="1">
        <w:proofErr w:type="spellStart"/>
        <w:r w:rsidRPr="00955586">
          <w:rPr>
            <w:rStyle w:val="max-w-15ch"/>
            <w:color w:val="0000FF"/>
            <w:u w:val="single"/>
          </w:rPr>
          <w:t>arXiv</w:t>
        </w:r>
        <w:proofErr w:type="spellEnd"/>
      </w:hyperlink>
    </w:p>
    <w:p w14:paraId="57C32C9C" w14:textId="77777777" w:rsidR="00C23BD5" w:rsidRPr="00955586" w:rsidRDefault="00C23BD5" w:rsidP="00C23BD5">
      <w:pPr>
        <w:pStyle w:val="NormalWeb"/>
        <w:numPr>
          <w:ilvl w:val="0"/>
          <w:numId w:val="9"/>
        </w:numPr>
        <w:spacing w:after="0" w:afterAutospacing="0"/>
      </w:pPr>
      <w:r w:rsidRPr="00955586">
        <w:t xml:space="preserve">Jacobs, G., &amp; Hoste, V. (2022). </w:t>
      </w:r>
      <w:proofErr w:type="spellStart"/>
      <w:r w:rsidRPr="00955586">
        <w:t>SENTiVENT</w:t>
      </w:r>
      <w:proofErr w:type="spellEnd"/>
      <w:r w:rsidRPr="00955586">
        <w:t xml:space="preserve">: Enabling supervised information extraction of company-specific events. </w:t>
      </w:r>
      <w:r w:rsidRPr="00955586">
        <w:rPr>
          <w:rStyle w:val="Emphasis"/>
          <w:rFonts w:eastAsiaTheme="majorEastAsia"/>
        </w:rPr>
        <w:t>Language Resources &amp; Evaluation</w:t>
      </w:r>
      <w:r w:rsidRPr="00955586">
        <w:t>, 56(1), 225–257.</w:t>
      </w:r>
      <w:r w:rsidRPr="00955586">
        <w:br/>
        <w:t xml:space="preserve">Link: </w:t>
      </w:r>
      <w:hyperlink r:id="rId12" w:tgtFrame="_new" w:history="1">
        <w:r w:rsidRPr="00955586">
          <w:rPr>
            <w:rStyle w:val="Hyperlink"/>
            <w:rFonts w:eastAsiaTheme="majorEastAsia"/>
          </w:rPr>
          <w:t>https://link.springer.com/article/10.1007/s10579-021-09562-4</w:t>
        </w:r>
      </w:hyperlink>
      <w:r w:rsidRPr="00955586">
        <w:t xml:space="preserve"> </w:t>
      </w:r>
      <w:hyperlink r:id="rId13" w:tgtFrame="_blank" w:history="1">
        <w:r w:rsidRPr="00955586">
          <w:rPr>
            <w:rStyle w:val="max-w-15ch"/>
            <w:color w:val="0000FF"/>
            <w:u w:val="single"/>
          </w:rPr>
          <w:t>SpringerLink</w:t>
        </w:r>
      </w:hyperlink>
    </w:p>
    <w:p w14:paraId="75933529" w14:textId="77777777" w:rsidR="00C23BD5" w:rsidRPr="00955586" w:rsidRDefault="00C23BD5" w:rsidP="00C23BD5">
      <w:pPr>
        <w:pStyle w:val="NormalWeb"/>
        <w:numPr>
          <w:ilvl w:val="0"/>
          <w:numId w:val="9"/>
        </w:numPr>
        <w:spacing w:after="0" w:afterAutospacing="0"/>
      </w:pPr>
      <w:r w:rsidRPr="00955586">
        <w:t xml:space="preserve">Campisi, G., </w:t>
      </w:r>
      <w:proofErr w:type="spellStart"/>
      <w:r w:rsidRPr="00955586">
        <w:t>Muzzioli</w:t>
      </w:r>
      <w:proofErr w:type="spellEnd"/>
      <w:r w:rsidRPr="00955586">
        <w:t xml:space="preserve">, S., &amp; De </w:t>
      </w:r>
      <w:proofErr w:type="spellStart"/>
      <w:r w:rsidRPr="00955586">
        <w:t>Baets</w:t>
      </w:r>
      <w:proofErr w:type="spellEnd"/>
      <w:r w:rsidRPr="00955586">
        <w:t xml:space="preserve">, B. (2024). A comparison of machine-learning methods for predicting the direction of the US stock market </w:t>
      </w:r>
      <w:proofErr w:type="gramStart"/>
      <w:r w:rsidRPr="00955586">
        <w:t>on the basis of</w:t>
      </w:r>
      <w:proofErr w:type="gramEnd"/>
      <w:r w:rsidRPr="00955586">
        <w:t xml:space="preserve"> volatility indices. </w:t>
      </w:r>
      <w:r w:rsidRPr="00955586">
        <w:rPr>
          <w:rStyle w:val="Emphasis"/>
          <w:rFonts w:eastAsiaTheme="majorEastAsia"/>
        </w:rPr>
        <w:t>International Journal of Forecasting</w:t>
      </w:r>
      <w:r w:rsidRPr="00955586">
        <w:t>, 40(3), 869–880.</w:t>
      </w:r>
      <w:r w:rsidRPr="00955586">
        <w:br/>
        <w:t xml:space="preserve">Link: </w:t>
      </w:r>
      <w:hyperlink r:id="rId14" w:tgtFrame="_new" w:history="1">
        <w:r w:rsidRPr="00955586">
          <w:rPr>
            <w:rStyle w:val="Hyperlink"/>
            <w:rFonts w:eastAsiaTheme="majorEastAsia"/>
          </w:rPr>
          <w:t>https://iris.unimore.it/retrieve/ae40a0e8-0abf-4324-86c3-daa0d3e19e0e/1-s2.0-S0169207023000729-main.pdf</w:t>
        </w:r>
      </w:hyperlink>
      <w:r w:rsidRPr="00955586">
        <w:t xml:space="preserve"> </w:t>
      </w:r>
      <w:hyperlink r:id="rId15" w:tgtFrame="_blank" w:history="1">
        <w:r w:rsidRPr="00955586">
          <w:rPr>
            <w:rStyle w:val="max-w-15ch"/>
            <w:color w:val="0000FF"/>
            <w:u w:val="single"/>
          </w:rPr>
          <w:t>Iris</w:t>
        </w:r>
      </w:hyperlink>
    </w:p>
    <w:p w14:paraId="2B6B5397" w14:textId="77777777" w:rsidR="00C23BD5" w:rsidRPr="00955586" w:rsidRDefault="00C23BD5" w:rsidP="00C23BD5">
      <w:pPr>
        <w:pStyle w:val="NormalWeb"/>
        <w:numPr>
          <w:ilvl w:val="0"/>
          <w:numId w:val="9"/>
        </w:numPr>
        <w:spacing w:after="0" w:afterAutospacing="0"/>
      </w:pPr>
      <w:proofErr w:type="spellStart"/>
      <w:r w:rsidRPr="00955586">
        <w:lastRenderedPageBreak/>
        <w:t>Bâra</w:t>
      </w:r>
      <w:proofErr w:type="spellEnd"/>
      <w:r w:rsidRPr="00955586">
        <w:t xml:space="preserve">, A., Oprea, S.-V., &amp; Georgescu, I.-A. (2023). Understanding electricity price evolution – Day-ahead market competitiveness in Romania. </w:t>
      </w:r>
      <w:r w:rsidRPr="00955586">
        <w:rPr>
          <w:rStyle w:val="Emphasis"/>
          <w:rFonts w:eastAsiaTheme="majorEastAsia"/>
        </w:rPr>
        <w:t>Journal of Business Economics and Management</w:t>
      </w:r>
      <w:r w:rsidRPr="00955586">
        <w:t>, 24(2), 221–244.</w:t>
      </w:r>
      <w:r w:rsidRPr="00955586">
        <w:br/>
        <w:t xml:space="preserve">Link: </w:t>
      </w:r>
      <w:hyperlink r:id="rId16" w:tgtFrame="_new" w:history="1">
        <w:r w:rsidRPr="00955586">
          <w:rPr>
            <w:rStyle w:val="Hyperlink"/>
            <w:rFonts w:eastAsiaTheme="majorEastAsia"/>
          </w:rPr>
          <w:t>https://www.econstor.eu/bitstream/10419/317622/1/1857944119.pdf</w:t>
        </w:r>
      </w:hyperlink>
      <w:r w:rsidRPr="00955586">
        <w:t xml:space="preserve"> </w:t>
      </w:r>
      <w:hyperlink r:id="rId17" w:tgtFrame="_blank" w:history="1">
        <w:proofErr w:type="spellStart"/>
        <w:r w:rsidRPr="00955586">
          <w:rPr>
            <w:rStyle w:val="max-w-15ch"/>
            <w:color w:val="0000FF"/>
            <w:u w:val="single"/>
          </w:rPr>
          <w:t>EconStor</w:t>
        </w:r>
        <w:proofErr w:type="spellEnd"/>
      </w:hyperlink>
    </w:p>
    <w:p w14:paraId="4F729EB2" w14:textId="77777777" w:rsidR="00C23BD5" w:rsidRPr="00955586" w:rsidRDefault="00C23BD5" w:rsidP="00C23BD5">
      <w:pPr>
        <w:pStyle w:val="NormalWeb"/>
        <w:numPr>
          <w:ilvl w:val="0"/>
          <w:numId w:val="9"/>
        </w:numPr>
        <w:spacing w:after="0" w:afterAutospacing="0"/>
      </w:pPr>
      <w:r w:rsidRPr="00955586">
        <w:t xml:space="preserve">Lin, Y., Ji, H., &amp; Han, J. (2020). A joint neural model for information extraction with global features (ONEIE). </w:t>
      </w:r>
      <w:r w:rsidRPr="00955586">
        <w:rPr>
          <w:rStyle w:val="Emphasis"/>
          <w:rFonts w:eastAsiaTheme="majorEastAsia"/>
        </w:rPr>
        <w:t>ACL 2020</w:t>
      </w:r>
      <w:r w:rsidRPr="00955586">
        <w:t>.</w:t>
      </w:r>
      <w:r w:rsidRPr="00955586">
        <w:br/>
        <w:t xml:space="preserve">Link: </w:t>
      </w:r>
      <w:hyperlink r:id="rId18" w:tgtFrame="_new" w:history="1">
        <w:r w:rsidRPr="00955586">
          <w:rPr>
            <w:rStyle w:val="Hyperlink"/>
            <w:rFonts w:eastAsiaTheme="majorEastAsia"/>
          </w:rPr>
          <w:t>https://blender.cs.illinois.edu/paper/jointiesentence2020.pdf</w:t>
        </w:r>
      </w:hyperlink>
      <w:r w:rsidRPr="00955586">
        <w:t xml:space="preserve"> </w:t>
      </w:r>
      <w:hyperlink r:id="rId19" w:tgtFrame="_blank" w:history="1">
        <w:r w:rsidRPr="00955586">
          <w:rPr>
            <w:rStyle w:val="max-w-15ch"/>
            <w:color w:val="0000FF"/>
            <w:u w:val="single"/>
          </w:rPr>
          <w:t>BLENDER Lab</w:t>
        </w:r>
      </w:hyperlink>
    </w:p>
    <w:p w14:paraId="7B3F0081" w14:textId="77777777" w:rsidR="00C23BD5" w:rsidRPr="00955586" w:rsidRDefault="00C23BD5" w:rsidP="00C23BD5">
      <w:pPr>
        <w:pStyle w:val="NormalWeb"/>
        <w:numPr>
          <w:ilvl w:val="0"/>
          <w:numId w:val="9"/>
        </w:numPr>
        <w:spacing w:after="0" w:afterAutospacing="0"/>
      </w:pPr>
      <w:r w:rsidRPr="00955586">
        <w:t>Wadden, D., Wennberg, U., Luan, Y., &amp; Hajishirzi, H. (2019). Entity, relation, and event extraction with contextualized span representations (</w:t>
      </w:r>
      <w:proofErr w:type="spellStart"/>
      <w:r w:rsidRPr="00955586">
        <w:t>DyGIE</w:t>
      </w:r>
      <w:proofErr w:type="spellEnd"/>
      <w:r w:rsidRPr="00955586">
        <w:t xml:space="preserve">++). </w:t>
      </w:r>
      <w:r w:rsidRPr="00955586">
        <w:rPr>
          <w:rStyle w:val="Emphasis"/>
          <w:rFonts w:eastAsiaTheme="majorEastAsia"/>
        </w:rPr>
        <w:t>EMNLP-IJCNLP 2019</w:t>
      </w:r>
      <w:r w:rsidRPr="00955586">
        <w:t>.</w:t>
      </w:r>
      <w:r w:rsidRPr="00955586">
        <w:br/>
        <w:t xml:space="preserve">Link: </w:t>
      </w:r>
      <w:hyperlink r:id="rId20" w:tgtFrame="_new" w:history="1">
        <w:r w:rsidRPr="00955586">
          <w:rPr>
            <w:rStyle w:val="Hyperlink"/>
            <w:rFonts w:eastAsiaTheme="majorEastAsia"/>
          </w:rPr>
          <w:t>https://aclanthology.org/D19-1585.pdf</w:t>
        </w:r>
      </w:hyperlink>
      <w:r w:rsidRPr="00955586">
        <w:t xml:space="preserve"> </w:t>
      </w:r>
      <w:hyperlink r:id="rId21" w:tgtFrame="_blank" w:history="1">
        <w:r w:rsidRPr="00955586">
          <w:rPr>
            <w:rStyle w:val="max-w-15ch"/>
            <w:color w:val="0000FF"/>
            <w:u w:val="single"/>
          </w:rPr>
          <w:t>ACL Anthology</w:t>
        </w:r>
      </w:hyperlink>
    </w:p>
    <w:p w14:paraId="3B036001" w14:textId="77777777" w:rsidR="00C23BD5" w:rsidRPr="00955586" w:rsidRDefault="00C23BD5" w:rsidP="00C23BD5">
      <w:pPr>
        <w:pStyle w:val="NormalWeb"/>
        <w:numPr>
          <w:ilvl w:val="0"/>
          <w:numId w:val="9"/>
        </w:numPr>
        <w:spacing w:after="0" w:afterAutospacing="0"/>
      </w:pPr>
      <w:r w:rsidRPr="00955586">
        <w:t xml:space="preserve">Lu, Y., Li, X., He, H., Ren, X., &amp; Sun, M. (2021). Text2Event: Controllable sequence-to-structure generation for end-to-end event extraction. </w:t>
      </w:r>
      <w:r w:rsidRPr="00955586">
        <w:rPr>
          <w:rStyle w:val="Emphasis"/>
          <w:rFonts w:eastAsiaTheme="majorEastAsia"/>
        </w:rPr>
        <w:t>ACL-IJCNLP 2021</w:t>
      </w:r>
      <w:r w:rsidRPr="00955586">
        <w:t>.</w:t>
      </w:r>
      <w:r w:rsidRPr="00955586">
        <w:br/>
        <w:t xml:space="preserve">Link: </w:t>
      </w:r>
      <w:hyperlink r:id="rId22" w:tgtFrame="_new" w:history="1">
        <w:r w:rsidRPr="00955586">
          <w:rPr>
            <w:rStyle w:val="Hyperlink"/>
            <w:rFonts w:eastAsiaTheme="majorEastAsia"/>
          </w:rPr>
          <w:t>https://aclanthology.org/2021.acl-long.217.pdf</w:t>
        </w:r>
      </w:hyperlink>
      <w:r w:rsidRPr="00955586">
        <w:t xml:space="preserve"> </w:t>
      </w:r>
      <w:hyperlink r:id="rId23" w:tgtFrame="_blank" w:history="1">
        <w:r w:rsidRPr="00955586">
          <w:rPr>
            <w:rStyle w:val="max-w-15ch"/>
            <w:color w:val="0000FF"/>
            <w:u w:val="single"/>
          </w:rPr>
          <w:t>ACL Anthology</w:t>
        </w:r>
      </w:hyperlink>
    </w:p>
    <w:p w14:paraId="0B86EC0B" w14:textId="77777777" w:rsidR="00C23BD5" w:rsidRPr="00955586" w:rsidRDefault="00C23BD5" w:rsidP="00C23BD5">
      <w:pPr>
        <w:pStyle w:val="NormalWeb"/>
        <w:numPr>
          <w:ilvl w:val="0"/>
          <w:numId w:val="9"/>
        </w:numPr>
        <w:spacing w:after="0" w:afterAutospacing="0"/>
      </w:pPr>
      <w:proofErr w:type="spellStart"/>
      <w:r w:rsidRPr="00955586">
        <w:t>MacKinlay</w:t>
      </w:r>
      <w:proofErr w:type="spellEnd"/>
      <w:r w:rsidRPr="00955586">
        <w:t xml:space="preserve">, A. C. (1997). Event studies in economics and finance. </w:t>
      </w:r>
      <w:r w:rsidRPr="00955586">
        <w:rPr>
          <w:rStyle w:val="Emphasis"/>
          <w:rFonts w:eastAsiaTheme="majorEastAsia"/>
        </w:rPr>
        <w:t>Journal of Economic Literature</w:t>
      </w:r>
      <w:r w:rsidRPr="00955586">
        <w:t>, 35(1), 13–39.</w:t>
      </w:r>
      <w:r w:rsidRPr="00955586">
        <w:br/>
        <w:t xml:space="preserve">Link: </w:t>
      </w:r>
      <w:hyperlink r:id="rId24" w:tgtFrame="_new" w:history="1">
        <w:r w:rsidRPr="00955586">
          <w:rPr>
            <w:rStyle w:val="Hyperlink"/>
            <w:rFonts w:eastAsiaTheme="majorEastAsia"/>
          </w:rPr>
          <w:t>https://www.bu.edu/econ/files/2011/01/MacKinlay-1996-Event-Studies-in-Economics-and-Finance.pdf</w:t>
        </w:r>
      </w:hyperlink>
      <w:r w:rsidRPr="00955586">
        <w:t xml:space="preserve"> </w:t>
      </w:r>
      <w:hyperlink r:id="rId25" w:tgtFrame="_blank" w:history="1">
        <w:r w:rsidRPr="00955586">
          <w:rPr>
            <w:rStyle w:val="max-w-15ch"/>
            <w:color w:val="0000FF"/>
            <w:u w:val="single"/>
          </w:rPr>
          <w:t>Boston University</w:t>
        </w:r>
      </w:hyperlink>
    </w:p>
    <w:p w14:paraId="32F211F3" w14:textId="77777777" w:rsidR="007361E5" w:rsidRDefault="00C23BD5" w:rsidP="007361E5">
      <w:pPr>
        <w:pStyle w:val="NormalWeb"/>
        <w:numPr>
          <w:ilvl w:val="0"/>
          <w:numId w:val="9"/>
        </w:numPr>
        <w:spacing w:after="0" w:afterAutospacing="0"/>
      </w:pPr>
      <w:r w:rsidRPr="00955586">
        <w:t xml:space="preserve">Campbell, J. Y., Lo, A. W., &amp; </w:t>
      </w:r>
      <w:proofErr w:type="spellStart"/>
      <w:r w:rsidRPr="00955586">
        <w:t>MacKinlay</w:t>
      </w:r>
      <w:proofErr w:type="spellEnd"/>
      <w:r w:rsidRPr="00955586">
        <w:t xml:space="preserve">, A. C. (1997). </w:t>
      </w:r>
      <w:r w:rsidRPr="00955586">
        <w:rPr>
          <w:rStyle w:val="Emphasis"/>
          <w:rFonts w:eastAsiaTheme="majorEastAsia"/>
        </w:rPr>
        <w:t>The econometrics of financial markets</w:t>
      </w:r>
      <w:r w:rsidRPr="00955586">
        <w:t>. Princeton University Press.</w:t>
      </w:r>
      <w:r w:rsidRPr="00955586">
        <w:br/>
        <w:t xml:space="preserve">Link: </w:t>
      </w:r>
      <w:hyperlink r:id="rId26" w:tgtFrame="_new" w:history="1">
        <w:r w:rsidRPr="00955586">
          <w:rPr>
            <w:rStyle w:val="Hyperlink"/>
            <w:rFonts w:eastAsiaTheme="majorEastAsia"/>
          </w:rPr>
          <w:t>https://www.nrc.gov/docs/ml1208/ML12088A329.pdf</w:t>
        </w:r>
      </w:hyperlink>
      <w:r w:rsidRPr="00955586">
        <w:t xml:space="preserve"> </w:t>
      </w:r>
      <w:hyperlink r:id="rId27" w:tgtFrame="_blank" w:history="1">
        <w:r w:rsidRPr="00955586">
          <w:rPr>
            <w:rStyle w:val="max-w-15ch"/>
            <w:color w:val="0000FF"/>
            <w:u w:val="single"/>
          </w:rPr>
          <w:t>Nuclear Regulatory Commission</w:t>
        </w:r>
      </w:hyperlink>
    </w:p>
    <w:p w14:paraId="32EDBCA7" w14:textId="63C90C84" w:rsidR="00C23BD5" w:rsidRPr="00955586" w:rsidRDefault="00C23BD5" w:rsidP="007361E5">
      <w:pPr>
        <w:pStyle w:val="NormalWeb"/>
        <w:numPr>
          <w:ilvl w:val="0"/>
          <w:numId w:val="9"/>
        </w:numPr>
        <w:spacing w:after="0" w:afterAutospacing="0"/>
      </w:pPr>
      <w:r w:rsidRPr="00955586">
        <w:t xml:space="preserve">Angelopoulos, A. N., &amp; Bates, S. (2023). Conformal prediction: A gentle introduction. </w:t>
      </w:r>
      <w:r w:rsidRPr="007361E5">
        <w:rPr>
          <w:rStyle w:val="Emphasis"/>
          <w:rFonts w:eastAsiaTheme="majorEastAsia"/>
        </w:rPr>
        <w:t>Foundations and Trends in Machine Learning</w:t>
      </w:r>
      <w:r w:rsidRPr="00955586">
        <w:t>, 16(1–2), 1–210.</w:t>
      </w:r>
      <w:r w:rsidRPr="00955586">
        <w:br/>
        <w:t xml:space="preserve">Link: </w:t>
      </w:r>
      <w:hyperlink r:id="rId28" w:tgtFrame="_new" w:history="1">
        <w:r w:rsidRPr="007361E5">
          <w:rPr>
            <w:rStyle w:val="Hyperlink"/>
            <w:rFonts w:eastAsiaTheme="majorEastAsia"/>
          </w:rPr>
          <w:t>https://people.eecs.berkeley.edu/~angelopoulos/publications/downloads/gentle_intro_conformal_dfuq.pdf</w:t>
        </w:r>
      </w:hyperlink>
    </w:p>
    <w:p w14:paraId="656B3173" w14:textId="77777777" w:rsidR="00C23BD5" w:rsidRPr="00955586" w:rsidRDefault="00C23BD5" w:rsidP="00C23BD5">
      <w:pPr>
        <w:pStyle w:val="NormalWeb"/>
        <w:numPr>
          <w:ilvl w:val="0"/>
          <w:numId w:val="9"/>
        </w:numPr>
        <w:spacing w:after="0" w:afterAutospacing="0"/>
      </w:pPr>
      <w:r w:rsidRPr="00955586">
        <w:t xml:space="preserve">Romano, Y., Patterson, E., &amp; </w:t>
      </w:r>
      <w:proofErr w:type="spellStart"/>
      <w:r w:rsidRPr="00955586">
        <w:t>Candès</w:t>
      </w:r>
      <w:proofErr w:type="spellEnd"/>
      <w:r w:rsidRPr="00955586">
        <w:t xml:space="preserve">, E. J. (2019). </w:t>
      </w:r>
      <w:proofErr w:type="spellStart"/>
      <w:r w:rsidRPr="00955586">
        <w:t>Conformalized</w:t>
      </w:r>
      <w:proofErr w:type="spellEnd"/>
      <w:r w:rsidRPr="00955586">
        <w:t xml:space="preserve"> quantile regression. </w:t>
      </w:r>
      <w:proofErr w:type="spellStart"/>
      <w:r w:rsidRPr="00955586">
        <w:rPr>
          <w:rStyle w:val="Emphasis"/>
          <w:rFonts w:eastAsiaTheme="majorEastAsia"/>
        </w:rPr>
        <w:t>NeurIPS</w:t>
      </w:r>
      <w:proofErr w:type="spellEnd"/>
      <w:r w:rsidRPr="00955586">
        <w:rPr>
          <w:rStyle w:val="Emphasis"/>
          <w:rFonts w:eastAsiaTheme="majorEastAsia"/>
        </w:rPr>
        <w:t xml:space="preserve"> 2019</w:t>
      </w:r>
      <w:r w:rsidRPr="00955586">
        <w:t>.</w:t>
      </w:r>
      <w:r w:rsidRPr="00955586">
        <w:br/>
        <w:t xml:space="preserve">Link: </w:t>
      </w:r>
      <w:hyperlink r:id="rId29" w:tgtFrame="_new" w:history="1">
        <w:r w:rsidRPr="00955586">
          <w:rPr>
            <w:rStyle w:val="Hyperlink"/>
            <w:rFonts w:eastAsiaTheme="majorEastAsia"/>
          </w:rPr>
          <w:t>https://papers.neurips.cc/paper/8613-conformalized-quantile-regression.pdf</w:t>
        </w:r>
      </w:hyperlink>
    </w:p>
    <w:p w14:paraId="5C55005D" w14:textId="77777777" w:rsidR="00C23BD5" w:rsidRPr="00955586" w:rsidRDefault="00C23BD5" w:rsidP="00C23BD5">
      <w:pPr>
        <w:pStyle w:val="NormalWeb"/>
        <w:numPr>
          <w:ilvl w:val="0"/>
          <w:numId w:val="9"/>
        </w:numPr>
        <w:spacing w:after="0" w:afterAutospacing="0"/>
      </w:pPr>
      <w:r w:rsidRPr="00955586">
        <w:t xml:space="preserve">Campos, M., Angelopoulos, A. N., Bates, S., &amp; </w:t>
      </w:r>
      <w:proofErr w:type="spellStart"/>
      <w:r w:rsidRPr="00955586">
        <w:t>Zrnić</w:t>
      </w:r>
      <w:proofErr w:type="spellEnd"/>
      <w:r w:rsidRPr="00955586">
        <w:t xml:space="preserve">, T. (2024). Conformal prediction for natural language processing: A survey. </w:t>
      </w:r>
      <w:r w:rsidRPr="00955586">
        <w:rPr>
          <w:rStyle w:val="Emphasis"/>
          <w:rFonts w:eastAsiaTheme="majorEastAsia"/>
        </w:rPr>
        <w:t>TACL</w:t>
      </w:r>
      <w:r w:rsidRPr="00955586">
        <w:t>.</w:t>
      </w:r>
      <w:r w:rsidRPr="00955586">
        <w:br/>
        <w:t xml:space="preserve">Link: </w:t>
      </w:r>
      <w:hyperlink r:id="rId30" w:tgtFrame="_new" w:history="1">
        <w:r w:rsidRPr="00955586">
          <w:rPr>
            <w:rStyle w:val="Hyperlink"/>
            <w:rFonts w:eastAsiaTheme="majorEastAsia"/>
          </w:rPr>
          <w:t>https://aclanthology.org/2024.tacl-1.82.pdf</w:t>
        </w:r>
      </w:hyperlink>
    </w:p>
    <w:p w14:paraId="43FBC5BA" w14:textId="77777777" w:rsidR="00C23BD5" w:rsidRPr="00955586" w:rsidRDefault="00C23BD5" w:rsidP="00C23BD5">
      <w:pPr>
        <w:pStyle w:val="NormalWeb"/>
        <w:numPr>
          <w:ilvl w:val="0"/>
          <w:numId w:val="9"/>
        </w:numPr>
        <w:spacing w:after="0" w:afterAutospacing="0"/>
      </w:pPr>
      <w:r w:rsidRPr="00955586">
        <w:t xml:space="preserve">Hu, Z., Liu, W., Bian, J., Liu, X., &amp; Liu, T.-Y. (2018). Listening to chaotic whispers: A deep learning framework for news-oriented stock trend prediction. </w:t>
      </w:r>
      <w:r w:rsidRPr="00955586">
        <w:rPr>
          <w:rStyle w:val="Emphasis"/>
          <w:rFonts w:eastAsiaTheme="majorEastAsia"/>
        </w:rPr>
        <w:t>WSDM 2018</w:t>
      </w:r>
      <w:r w:rsidRPr="00955586">
        <w:t>.</w:t>
      </w:r>
      <w:r w:rsidRPr="00955586">
        <w:br/>
        <w:t xml:space="preserve">Link: </w:t>
      </w:r>
      <w:hyperlink r:id="rId31" w:history="1">
        <w:r w:rsidRPr="00955586">
          <w:rPr>
            <w:rStyle w:val="Hyperlink"/>
          </w:rPr>
          <w:t>https://acbull.github</w:t>
        </w:r>
        <w:r w:rsidRPr="00955586">
          <w:rPr>
            <w:rStyle w:val="Hyperlink"/>
          </w:rPr>
          <w:t>.</w:t>
        </w:r>
        <w:r w:rsidRPr="00955586">
          <w:rPr>
            <w:rStyle w:val="Hyperlink"/>
          </w:rPr>
          <w:t>io/pdf/wsdm18-stock.pdf</w:t>
        </w:r>
      </w:hyperlink>
      <w:r w:rsidRPr="00955586">
        <w:t xml:space="preserve"> </w:t>
      </w:r>
    </w:p>
    <w:p w14:paraId="2CDD5786" w14:textId="77777777" w:rsidR="00C23BD5" w:rsidRPr="00955586" w:rsidRDefault="00C23BD5" w:rsidP="00C23BD5">
      <w:pPr>
        <w:pStyle w:val="NormalWeb"/>
        <w:numPr>
          <w:ilvl w:val="0"/>
          <w:numId w:val="9"/>
        </w:numPr>
        <w:spacing w:after="0" w:afterAutospacing="0"/>
      </w:pPr>
      <w:r w:rsidRPr="00955586">
        <w:t xml:space="preserve">Duan, J., Zhang, Y., Ding, X., Chang, C.-Y., &amp; Liu, T. (2018). Learning target-specific representations of financial news for cumulative abnormal return prediction. </w:t>
      </w:r>
      <w:r w:rsidRPr="00955586">
        <w:rPr>
          <w:rStyle w:val="Emphasis"/>
          <w:rFonts w:eastAsiaTheme="majorEastAsia"/>
        </w:rPr>
        <w:t>COLING 2018</w:t>
      </w:r>
      <w:r w:rsidRPr="00955586">
        <w:t>, 2823–2833.</w:t>
      </w:r>
      <w:r w:rsidRPr="00955586">
        <w:br/>
        <w:t xml:space="preserve">Link: </w:t>
      </w:r>
      <w:hyperlink r:id="rId32" w:tgtFrame="_new" w:history="1">
        <w:r w:rsidRPr="00955586">
          <w:rPr>
            <w:rStyle w:val="Hyperlink"/>
            <w:rFonts w:eastAsiaTheme="majorEastAsia"/>
          </w:rPr>
          <w:t>https://aclantholog</w:t>
        </w:r>
        <w:r w:rsidRPr="00955586">
          <w:rPr>
            <w:rStyle w:val="Hyperlink"/>
            <w:rFonts w:eastAsiaTheme="majorEastAsia"/>
          </w:rPr>
          <w:t>y</w:t>
        </w:r>
        <w:r w:rsidRPr="00955586">
          <w:rPr>
            <w:rStyle w:val="Hyperlink"/>
            <w:rFonts w:eastAsiaTheme="majorEastAsia"/>
          </w:rPr>
          <w:t>.org/C18-1239.pdf</w:t>
        </w:r>
      </w:hyperlink>
    </w:p>
    <w:p w14:paraId="3B6EC43F" w14:textId="77777777" w:rsidR="00C23BD5" w:rsidRPr="00955586" w:rsidRDefault="00C23BD5" w:rsidP="00C23BD5">
      <w:pPr>
        <w:spacing w:after="0"/>
        <w:jc w:val="both"/>
        <w:rPr>
          <w:rFonts w:ascii="Times New Roman" w:hAnsi="Times New Roman" w:cs="Times New Roman"/>
        </w:rPr>
      </w:pPr>
    </w:p>
    <w:sectPr w:rsidR="00C23BD5" w:rsidRPr="00955586" w:rsidSect="00792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3E41"/>
    <w:multiLevelType w:val="multilevel"/>
    <w:tmpl w:val="1784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A130B"/>
    <w:multiLevelType w:val="multilevel"/>
    <w:tmpl w:val="5E42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258B3"/>
    <w:multiLevelType w:val="multilevel"/>
    <w:tmpl w:val="0B10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83D64"/>
    <w:multiLevelType w:val="multilevel"/>
    <w:tmpl w:val="B852C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47ACB"/>
    <w:multiLevelType w:val="multilevel"/>
    <w:tmpl w:val="094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B797F"/>
    <w:multiLevelType w:val="multilevel"/>
    <w:tmpl w:val="7D7C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E52FF"/>
    <w:multiLevelType w:val="multilevel"/>
    <w:tmpl w:val="B57C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03D7B"/>
    <w:multiLevelType w:val="multilevel"/>
    <w:tmpl w:val="D356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23DC9"/>
    <w:multiLevelType w:val="multilevel"/>
    <w:tmpl w:val="128C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D6279"/>
    <w:multiLevelType w:val="multilevel"/>
    <w:tmpl w:val="1918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D3080"/>
    <w:multiLevelType w:val="multilevel"/>
    <w:tmpl w:val="9FA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6580B"/>
    <w:multiLevelType w:val="multilevel"/>
    <w:tmpl w:val="C95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22034"/>
    <w:multiLevelType w:val="multilevel"/>
    <w:tmpl w:val="36E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A051F"/>
    <w:multiLevelType w:val="multilevel"/>
    <w:tmpl w:val="30E0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D3016"/>
    <w:multiLevelType w:val="multilevel"/>
    <w:tmpl w:val="D5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957AF"/>
    <w:multiLevelType w:val="multilevel"/>
    <w:tmpl w:val="3580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4D405F"/>
    <w:multiLevelType w:val="multilevel"/>
    <w:tmpl w:val="90F2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E55EF"/>
    <w:multiLevelType w:val="multilevel"/>
    <w:tmpl w:val="E5B0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754CD"/>
    <w:multiLevelType w:val="multilevel"/>
    <w:tmpl w:val="05A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E35B5"/>
    <w:multiLevelType w:val="multilevel"/>
    <w:tmpl w:val="19AC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405F9"/>
    <w:multiLevelType w:val="multilevel"/>
    <w:tmpl w:val="9488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B3E98"/>
    <w:multiLevelType w:val="hybridMultilevel"/>
    <w:tmpl w:val="3AE01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8A12DD"/>
    <w:multiLevelType w:val="multilevel"/>
    <w:tmpl w:val="C68C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B574C"/>
    <w:multiLevelType w:val="multilevel"/>
    <w:tmpl w:val="840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60354"/>
    <w:multiLevelType w:val="multilevel"/>
    <w:tmpl w:val="D5AC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B2145"/>
    <w:multiLevelType w:val="multilevel"/>
    <w:tmpl w:val="080E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A2F76"/>
    <w:multiLevelType w:val="multilevel"/>
    <w:tmpl w:val="F93A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0A4313"/>
    <w:multiLevelType w:val="multilevel"/>
    <w:tmpl w:val="EBA4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2737C"/>
    <w:multiLevelType w:val="multilevel"/>
    <w:tmpl w:val="7B0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1F7E33"/>
    <w:multiLevelType w:val="multilevel"/>
    <w:tmpl w:val="851C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294CA8"/>
    <w:multiLevelType w:val="multilevel"/>
    <w:tmpl w:val="2D84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FB1CFE"/>
    <w:multiLevelType w:val="multilevel"/>
    <w:tmpl w:val="EA38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6B02F3"/>
    <w:multiLevelType w:val="multilevel"/>
    <w:tmpl w:val="A4E2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D221AE"/>
    <w:multiLevelType w:val="multilevel"/>
    <w:tmpl w:val="795A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C8178A"/>
    <w:multiLevelType w:val="multilevel"/>
    <w:tmpl w:val="8908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67936">
    <w:abstractNumId w:val="2"/>
  </w:num>
  <w:num w:numId="2" w16cid:durableId="1751661904">
    <w:abstractNumId w:val="20"/>
  </w:num>
  <w:num w:numId="3" w16cid:durableId="1579753923">
    <w:abstractNumId w:val="28"/>
  </w:num>
  <w:num w:numId="4" w16cid:durableId="1342850843">
    <w:abstractNumId w:val="29"/>
  </w:num>
  <w:num w:numId="5" w16cid:durableId="859199190">
    <w:abstractNumId w:val="9"/>
  </w:num>
  <w:num w:numId="6" w16cid:durableId="1654406350">
    <w:abstractNumId w:val="11"/>
  </w:num>
  <w:num w:numId="7" w16cid:durableId="283388157">
    <w:abstractNumId w:val="26"/>
  </w:num>
  <w:num w:numId="8" w16cid:durableId="2036729953">
    <w:abstractNumId w:val="13"/>
  </w:num>
  <w:num w:numId="9" w16cid:durableId="234170747">
    <w:abstractNumId w:val="5"/>
  </w:num>
  <w:num w:numId="10" w16cid:durableId="2135713654">
    <w:abstractNumId w:val="3"/>
  </w:num>
  <w:num w:numId="11" w16cid:durableId="381905610">
    <w:abstractNumId w:val="24"/>
  </w:num>
  <w:num w:numId="12" w16cid:durableId="1284461423">
    <w:abstractNumId w:val="4"/>
  </w:num>
  <w:num w:numId="13" w16cid:durableId="407188645">
    <w:abstractNumId w:val="8"/>
  </w:num>
  <w:num w:numId="14" w16cid:durableId="1155145744">
    <w:abstractNumId w:val="23"/>
  </w:num>
  <w:num w:numId="15" w16cid:durableId="332029255">
    <w:abstractNumId w:val="14"/>
  </w:num>
  <w:num w:numId="16" w16cid:durableId="632953254">
    <w:abstractNumId w:val="12"/>
  </w:num>
  <w:num w:numId="17" w16cid:durableId="807208517">
    <w:abstractNumId w:val="7"/>
  </w:num>
  <w:num w:numId="18" w16cid:durableId="1654719030">
    <w:abstractNumId w:val="19"/>
  </w:num>
  <w:num w:numId="19" w16cid:durableId="80496772">
    <w:abstractNumId w:val="32"/>
  </w:num>
  <w:num w:numId="20" w16cid:durableId="1939555764">
    <w:abstractNumId w:val="17"/>
  </w:num>
  <w:num w:numId="21" w16cid:durableId="722485875">
    <w:abstractNumId w:val="25"/>
  </w:num>
  <w:num w:numId="22" w16cid:durableId="199972135">
    <w:abstractNumId w:val="30"/>
  </w:num>
  <w:num w:numId="23" w16cid:durableId="625503679">
    <w:abstractNumId w:val="31"/>
  </w:num>
  <w:num w:numId="24" w16cid:durableId="1351644159">
    <w:abstractNumId w:val="6"/>
  </w:num>
  <w:num w:numId="25" w16cid:durableId="374474794">
    <w:abstractNumId w:val="22"/>
  </w:num>
  <w:num w:numId="26" w16cid:durableId="573592516">
    <w:abstractNumId w:val="27"/>
  </w:num>
  <w:num w:numId="27" w16cid:durableId="1008403845">
    <w:abstractNumId w:val="18"/>
  </w:num>
  <w:num w:numId="28" w16cid:durableId="1528525824">
    <w:abstractNumId w:val="33"/>
  </w:num>
  <w:num w:numId="29" w16cid:durableId="336924649">
    <w:abstractNumId w:val="34"/>
  </w:num>
  <w:num w:numId="30" w16cid:durableId="590815872">
    <w:abstractNumId w:val="1"/>
  </w:num>
  <w:num w:numId="31" w16cid:durableId="2010714430">
    <w:abstractNumId w:val="16"/>
  </w:num>
  <w:num w:numId="32" w16cid:durableId="1247229785">
    <w:abstractNumId w:val="15"/>
  </w:num>
  <w:num w:numId="33" w16cid:durableId="1978799575">
    <w:abstractNumId w:val="10"/>
  </w:num>
  <w:num w:numId="34" w16cid:durableId="1063022729">
    <w:abstractNumId w:val="0"/>
  </w:num>
  <w:num w:numId="35" w16cid:durableId="2686595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06"/>
    <w:rsid w:val="00081A2B"/>
    <w:rsid w:val="000B0930"/>
    <w:rsid w:val="000C2EC1"/>
    <w:rsid w:val="000C5169"/>
    <w:rsid w:val="00115B80"/>
    <w:rsid w:val="001A665F"/>
    <w:rsid w:val="001B37F1"/>
    <w:rsid w:val="002979E8"/>
    <w:rsid w:val="003A16DF"/>
    <w:rsid w:val="003F4B90"/>
    <w:rsid w:val="004B1E06"/>
    <w:rsid w:val="004F0FB0"/>
    <w:rsid w:val="00527BE8"/>
    <w:rsid w:val="005F57A9"/>
    <w:rsid w:val="007361E5"/>
    <w:rsid w:val="00792DAA"/>
    <w:rsid w:val="00955586"/>
    <w:rsid w:val="009E73EE"/>
    <w:rsid w:val="00A32E06"/>
    <w:rsid w:val="00BC0A12"/>
    <w:rsid w:val="00C23BD5"/>
    <w:rsid w:val="00CF247B"/>
    <w:rsid w:val="00D72C37"/>
    <w:rsid w:val="00E16AB0"/>
    <w:rsid w:val="00F0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03D8"/>
  <w15:chartTrackingRefBased/>
  <w15:docId w15:val="{341898FE-9F0B-4A56-989E-87D0169EC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E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2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72C37"/>
    <w:rPr>
      <w:i/>
      <w:iCs/>
    </w:rPr>
  </w:style>
  <w:style w:type="character" w:styleId="Hyperlink">
    <w:name w:val="Hyperlink"/>
    <w:basedOn w:val="DefaultParagraphFont"/>
    <w:uiPriority w:val="99"/>
    <w:unhideWhenUsed/>
    <w:rsid w:val="00D72C37"/>
    <w:rPr>
      <w:color w:val="0000FF"/>
      <w:u w:val="single"/>
    </w:rPr>
  </w:style>
  <w:style w:type="character" w:customStyle="1" w:styleId="ms-1">
    <w:name w:val="ms-1"/>
    <w:basedOn w:val="DefaultParagraphFont"/>
    <w:rsid w:val="000C2EC1"/>
  </w:style>
  <w:style w:type="character" w:customStyle="1" w:styleId="max-w-15ch">
    <w:name w:val="max-w-[15ch]"/>
    <w:basedOn w:val="DefaultParagraphFont"/>
    <w:rsid w:val="000C2EC1"/>
  </w:style>
  <w:style w:type="character" w:customStyle="1" w:styleId="-me-1">
    <w:name w:val="-me-1"/>
    <w:basedOn w:val="DefaultParagraphFont"/>
    <w:rsid w:val="000C2EC1"/>
  </w:style>
  <w:style w:type="character" w:styleId="UnresolvedMention">
    <w:name w:val="Unresolved Mention"/>
    <w:basedOn w:val="DefaultParagraphFont"/>
    <w:uiPriority w:val="99"/>
    <w:semiHidden/>
    <w:unhideWhenUsed/>
    <w:rsid w:val="000C2E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57A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nk.springer.com/article/10.1007/s10579-021-09562-4" TargetMode="External"/><Relationship Id="rId18" Type="http://schemas.openxmlformats.org/officeDocument/2006/relationships/hyperlink" Target="https://blender.cs.illinois.edu/paper/jointiesentence2020.pdf" TargetMode="External"/><Relationship Id="rId26" Type="http://schemas.openxmlformats.org/officeDocument/2006/relationships/hyperlink" Target="https://www.nrc.gov/docs/ml1208/ML12088A329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clanthology.org/D19-1585.pdf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ijcai.org/Proceedings/15/Papers/329.pdf" TargetMode="External"/><Relationship Id="rId12" Type="http://schemas.openxmlformats.org/officeDocument/2006/relationships/hyperlink" Target="https://link.springer.com/article/10.1007/s10579-021-09562-4" TargetMode="External"/><Relationship Id="rId17" Type="http://schemas.openxmlformats.org/officeDocument/2006/relationships/hyperlink" Target="https://www.econstor.eu/bitstream/10419/317622/1/1857944119.pdf" TargetMode="External"/><Relationship Id="rId25" Type="http://schemas.openxmlformats.org/officeDocument/2006/relationships/hyperlink" Target="https://www.bu.edu/econ/files/2011/01/MacKinlay-1996-Event-Studies-in-Economics-and-Finance.pdf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econstor.eu/bitstream/10419/317622/1/1857944119.pdf" TargetMode="External"/><Relationship Id="rId20" Type="http://schemas.openxmlformats.org/officeDocument/2006/relationships/hyperlink" Target="https://aclanthology.org/D19-1585.pdf" TargetMode="External"/><Relationship Id="rId29" Type="http://schemas.openxmlformats.org/officeDocument/2006/relationships/hyperlink" Target="https://papers.neurips.cc/paper/8613-conformalized-quantile-regression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clanthology.org/D14-1148.pdf?utm_source=chatgpt.com" TargetMode="External"/><Relationship Id="rId11" Type="http://schemas.openxmlformats.org/officeDocument/2006/relationships/hyperlink" Target="https://arxiv.org/pdf/2102.07372" TargetMode="External"/><Relationship Id="rId24" Type="http://schemas.openxmlformats.org/officeDocument/2006/relationships/hyperlink" Target="https://www.bu.edu/econ/files/2011/01/MacKinlay-1996-Event-Studies-in-Economics-and-Finance.pdf" TargetMode="External"/><Relationship Id="rId32" Type="http://schemas.openxmlformats.org/officeDocument/2006/relationships/hyperlink" Target="https://aclanthology.org/C18-1239.pdf" TargetMode="External"/><Relationship Id="rId5" Type="http://schemas.openxmlformats.org/officeDocument/2006/relationships/hyperlink" Target="https://aclanthology.org/D14-1148.pdf" TargetMode="External"/><Relationship Id="rId15" Type="http://schemas.openxmlformats.org/officeDocument/2006/relationships/hyperlink" Target="https://iris.unimore.it/retrieve/ae40a0e8-0abf-4324-86c3-daa0d3e19e0e/1-s2.0-S0169207023000729-main.pdf" TargetMode="External"/><Relationship Id="rId23" Type="http://schemas.openxmlformats.org/officeDocument/2006/relationships/hyperlink" Target="https://aclanthology.org/2021.acl-long.217.pdf" TargetMode="External"/><Relationship Id="rId28" Type="http://schemas.openxmlformats.org/officeDocument/2006/relationships/hyperlink" Target="https://people.eecs.berkeley.edu/~angelopoulos/publications/downloads/gentle_intro_conformal_dfuq.pdf" TargetMode="External"/><Relationship Id="rId10" Type="http://schemas.openxmlformats.org/officeDocument/2006/relationships/hyperlink" Target="https://arxiv.org/pdf/2102.07372" TargetMode="External"/><Relationship Id="rId19" Type="http://schemas.openxmlformats.org/officeDocument/2006/relationships/hyperlink" Target="https://blender.cs.illinois.edu/paper/jointiesentence2020.pdf" TargetMode="External"/><Relationship Id="rId31" Type="http://schemas.openxmlformats.org/officeDocument/2006/relationships/hyperlink" Target="https://acbull.github.io/pdf/wsdm18-stock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105.12825" TargetMode="External"/><Relationship Id="rId14" Type="http://schemas.openxmlformats.org/officeDocument/2006/relationships/hyperlink" Target="https://iris.unimore.it/retrieve/ae40a0e8-0abf-4324-86c3-daa0d3e19e0e/1-s2.0-S0169207023000729-main.pdf" TargetMode="External"/><Relationship Id="rId22" Type="http://schemas.openxmlformats.org/officeDocument/2006/relationships/hyperlink" Target="https://aclanthology.org/2021.acl-long.217.pdf" TargetMode="External"/><Relationship Id="rId27" Type="http://schemas.openxmlformats.org/officeDocument/2006/relationships/hyperlink" Target="https://www.nrc.gov/docs/ml1208/ML12088A329.pdf" TargetMode="External"/><Relationship Id="rId30" Type="http://schemas.openxmlformats.org/officeDocument/2006/relationships/hyperlink" Target="https://aclanthology.org/2024.tacl-1.82.pdf" TargetMode="External"/><Relationship Id="rId8" Type="http://schemas.openxmlformats.org/officeDocument/2006/relationships/hyperlink" Target="https://www.ijcai.org/Proceedings/15/Papers/329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3</Pages>
  <Words>1370</Words>
  <Characters>7810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OANCEA-NEGOIȚĂ</dc:creator>
  <cp:keywords/>
  <dc:description/>
  <cp:lastModifiedBy>TEODORA OANCEA-NEGOIȚĂ</cp:lastModifiedBy>
  <cp:revision>3</cp:revision>
  <dcterms:created xsi:type="dcterms:W3CDTF">2025-10-29T06:14:00Z</dcterms:created>
  <dcterms:modified xsi:type="dcterms:W3CDTF">2025-10-29T12:55:00Z</dcterms:modified>
</cp:coreProperties>
</file>