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CÔNG TY ECOGARMENT VIETNAM JSC</w:t>
        <w:br/>
        <w:t>--------------***--------------</w:t>
        <w:br/>
      </w:r>
    </w:p>
    <w:p>
      <w:pPr>
        <w:jc w:val="center"/>
      </w:pPr>
      <w:r>
        <w:rPr>
          <w:b/>
          <w:color w:val="003366"/>
          <w:sz w:val="32"/>
        </w:rPr>
        <w:t>BÁO CÁO</w:t>
        <w:br/>
        <w:t>KẾT QUẢ KIỂM KÊ KHÍ NHÀ KÍNH CHO NĂM 2026</w:t>
        <w:br/>
      </w:r>
    </w:p>
    <w:p>
      <w:pPr>
        <w:jc w:val="center"/>
      </w:pPr>
      <w:r>
        <w:rPr>
          <w:b/>
          <w:i/>
          <w:sz w:val="28"/>
        </w:rPr>
        <w:t>của cơ sở “Nhà máy May &amp; Năng lượng Hà Nam”</w:t>
        <w:br/>
      </w:r>
    </w:p>
    <w:p>
      <w:r>
        <w:br w:type="page"/>
      </w:r>
    </w:p>
    <w:p>
      <w:pPr>
        <w:pStyle w:val="Heading1"/>
      </w:pPr>
      <w:r>
        <w:t>DANH MỤC CÁC CHỮ VIẾT TẮT</w:t>
      </w:r>
    </w:p>
    <w:p>
      <w:r>
        <w:t>BĐKH</w:t>
        <w:tab/>
        <w:t>Biến đổi khí hậu</w:t>
        <w:br/>
        <w:t>EF</w:t>
        <w:tab/>
        <w:t>Hệ số phát thải (Emission Factor)</w:t>
        <w:br/>
        <w:t>GHG</w:t>
        <w:tab/>
        <w:t>Khí nhà kính</w:t>
        <w:br/>
        <w:t>GWP</w:t>
        <w:tab/>
        <w:t xml:space="preserve">Tiềm năng nóng lên toàn cầu </w:t>
        <w:br/>
        <w:t>IPCC</w:t>
        <w:tab/>
        <w:t>Ban liên Chính phủ về biến đổi khí hậu</w:t>
        <w:br/>
        <w:t>SLHĐ</w:t>
        <w:tab/>
        <w:t>Số liệu hoạt động (Activity Data)</w:t>
        <w:br/>
        <w:t>TN&amp;MT</w:t>
        <w:tab/>
        <w:t>Tài nguyên và Môi trường</w:t>
        <w:br/>
      </w:r>
    </w:p>
    <w:p>
      <w:r>
        <w:br w:type="page"/>
      </w:r>
    </w:p>
    <w:p>
      <w:pPr>
        <w:pStyle w:val="Heading1"/>
      </w:pPr>
      <w:r>
        <w:t>MỤC LỤC</w:t>
      </w:r>
    </w:p>
    <w:p>
      <w:r>
        <w:t>I. Thông tin của cơ sở phải thực hiện kiểm kê khí nhà kính</w:t>
        <w:br/>
        <w:t>II. Thông tin về hoạt động sản xuất kinh doanh và số liệu hoạt động</w:t>
        <w:br/>
        <w:t>III. Kết quả thực hiện kiểm kê phát thải khí nhà kính</w:t>
        <w:br/>
        <w:t>IV. Kết luận và kiến nghị</w:t>
      </w:r>
    </w:p>
    <w:p>
      <w:r>
        <w:br w:type="page"/>
      </w:r>
    </w:p>
    <w:p>
      <w:pPr>
        <w:pStyle w:val="Heading1"/>
      </w:pPr>
      <w:r>
        <w:t>I. Thông tin của cơ sở phải thực hiện kiểm kê khí nhà kính</w:t>
      </w:r>
    </w:p>
    <w:p>
      <w:pPr>
        <w:pStyle w:val="Heading2"/>
      </w:pPr>
      <w:r>
        <w:t>1. Tên cơ sở, địa chỉ</w:t>
      </w:r>
    </w:p>
    <w:p>
      <w:r>
        <w:t>- Tên doanh nghiệp: EcoGarment Vietnam JSC</w:t>
        <w:br/>
        <w:t>- Cơ sở: Nhà máy May &amp; Năng lượng Hà Nam</w:t>
        <w:br/>
        <w:t>- Năm kiểm kê: 2026</w:t>
      </w:r>
    </w:p>
    <w:p>
      <w:pPr>
        <w:pStyle w:val="Heading2"/>
      </w:pPr>
      <w:r>
        <w:t>2. Lĩnh vực hoạt động</w:t>
      </w:r>
    </w:p>
    <w:p>
      <w:r>
        <w:t>Lĩnh vực: May mặc &amp; Công nghiệp phụ trợ</w:t>
      </w:r>
    </w:p>
    <w:p>
      <w:pPr>
        <w:pStyle w:val="Heading1"/>
      </w:pPr>
      <w:r>
        <w:t>II. Thông tin về hoạt động sản xuất kinh doanh và số liệu hoạt động của cơ sở</w:t>
      </w:r>
    </w:p>
    <w:p>
      <w:pPr>
        <w:pStyle w:val="Heading2"/>
      </w:pPr>
      <w:r>
        <w:t>1. Ranh giới và phạm vi hoạt động</w:t>
      </w:r>
    </w:p>
    <w:p>
      <w:r>
        <w:t>Ranh giới kiểm kê bao gồm toàn bộ hoạt động bên trong ranh giới cơ sở Nhà máy May &amp; Năng lượng Hà Nam. Các nguồn phát thải được kiểm kê trong kỳ này bao gồm Phạm vi 1 (Phát thải trực tiếp từ đốt nhiên liệu) và Phạm vi 2 (Phát thải gián tiếp từ điện tiêu thụ).</w:t>
      </w:r>
    </w:p>
    <w:p>
      <w:r>
        <w:t>Lưu ý: Các nguồn sau chưa được đưa vào phạm vi tính toán (loại trừ theo giới hạn hệ thống):</w:t>
      </w:r>
    </w:p>
    <w:p>
      <w:pPr>
        <w:pStyle w:val="ListBullet"/>
      </w:pPr>
      <w:r>
        <w:t>- Khí rò rỉ môi chất lạnh (F-gases) từ hệ thống điều hòa/làm mát</w:t>
      </w:r>
    </w:p>
    <w:p>
      <w:pPr>
        <w:pStyle w:val="ListBullet"/>
      </w:pPr>
      <w:r>
        <w:t>- Nước thải công nghiệp và sinh hoạt chưa được xử lý</w:t>
      </w:r>
    </w:p>
    <w:p>
      <w:pPr>
        <w:pStyle w:val="ListBullet"/>
      </w:pPr>
      <w:r>
        <w:t>- Chất thải rắn chôn lấp (Scope 1/3 tùy ranh giới)</w:t>
      </w:r>
    </w:p>
    <w:p>
      <w:pPr>
        <w:pStyle w:val="ListBullet"/>
      </w:pPr>
      <w:r>
        <w:t>- Lượng nhiên liệu sử dụng cho phương tiện vận tải bên thứ ba (Scope 3 - không đưa vào tính toán giới hạn đợt 1)</w:t>
      </w:r>
    </w:p>
    <w:p>
      <w:pPr>
        <w:pStyle w:val="ListBullet"/>
      </w:pPr>
      <w:r>
        <w:t>- Phát thải từ chuỗi cung ứng nguyên vật liệu (Scope 3)</w:t>
      </w:r>
    </w:p>
    <w:p>
      <w:pPr>
        <w:pStyle w:val="Heading1"/>
      </w:pPr>
      <w:r>
        <w:t>III. Kết quả thực hiện kiểm kê phát thải khí nhà kính</w:t>
      </w:r>
    </w:p>
    <w:p>
      <w:pPr>
        <w:pStyle w:val="Heading2"/>
      </w:pPr>
      <w:r>
        <w:t>1. Phương pháp luận</w:t>
      </w:r>
    </w:p>
    <w:p>
      <w:r>
        <w:t>Kiểm kê được thực hiện dựa trên hướng dẫn của IPCC và các quy định của Bộ TN&amp;MT (NĐ 06/2022/NĐ-CP). Phương pháp chung: PT = AD x EF</w:t>
      </w:r>
    </w:p>
    <w:p>
      <w:pPr>
        <w:pStyle w:val="Heading2"/>
      </w:pPr>
      <w:r>
        <w:t>2. Số liệu hoạt động và hệ số phát thải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Nguồn phát thải</w:t>
            </w:r>
          </w:p>
        </w:tc>
        <w:tc>
          <w:tcPr>
            <w:tcW w:type="dxa" w:w="2160"/>
          </w:tcPr>
          <w:p>
            <w:r>
              <w:t>Phạm vi</w:t>
            </w:r>
          </w:p>
        </w:tc>
        <w:tc>
          <w:tcPr>
            <w:tcW w:type="dxa" w:w="2160"/>
          </w:tcPr>
          <w:p>
            <w:r>
              <w:t>Lượng (AD)</w:t>
            </w:r>
          </w:p>
        </w:tc>
        <w:tc>
          <w:tcPr>
            <w:tcW w:type="dxa" w:w="2160"/>
          </w:tcPr>
          <w:p>
            <w:r>
              <w:t>Hệ số (EF)</w:t>
            </w:r>
          </w:p>
        </w:tc>
      </w:tr>
      <w:tr>
        <w:tc>
          <w:tcPr>
            <w:tcW w:type="dxa" w:w="2160"/>
          </w:tcPr>
          <w:p>
            <w:r>
              <w:t>Nhiên liệu Dầu DO 0.05S (Diesel Fuel Combustion)</w:t>
            </w:r>
          </w:p>
        </w:tc>
        <w:tc>
          <w:tcPr>
            <w:tcW w:type="dxa" w:w="2160"/>
          </w:tcPr>
          <w:p>
            <w:r>
              <w:t>Scope 1</w:t>
            </w:r>
          </w:p>
        </w:tc>
        <w:tc>
          <w:tcPr>
            <w:tcW w:type="dxa" w:w="2160"/>
          </w:tcPr>
          <w:p>
            <w:r>
              <w:t>2026.0 liter</w:t>
            </w:r>
          </w:p>
        </w:tc>
        <w:tc>
          <w:tcPr>
            <w:tcW w:type="dxa" w:w="2160"/>
          </w:tcPr>
          <w:p>
            <w:r>
              <w:t>2.68</w:t>
            </w:r>
          </w:p>
        </w:tc>
      </w:tr>
      <w:tr>
        <w:tc>
          <w:tcPr>
            <w:tcW w:type="dxa" w:w="2160"/>
          </w:tcPr>
          <w:p>
            <w:r>
              <w:t>Nhiên liệu Xăng RON 95 (Mobile Vehicle Combustion)</w:t>
            </w:r>
          </w:p>
        </w:tc>
        <w:tc>
          <w:tcPr>
            <w:tcW w:type="dxa" w:w="2160"/>
          </w:tcPr>
          <w:p>
            <w:r>
              <w:t>Scope 1</w:t>
            </w:r>
          </w:p>
        </w:tc>
        <w:tc>
          <w:tcPr>
            <w:tcW w:type="dxa" w:w="2160"/>
          </w:tcPr>
          <w:p>
            <w:r>
              <w:t>2026.0 liter</w:t>
            </w:r>
          </w:p>
        </w:tc>
        <w:tc>
          <w:tcPr>
            <w:tcW w:type="dxa" w:w="2160"/>
          </w:tcPr>
          <w:p>
            <w:r>
              <w:t>2.31</w:t>
            </w:r>
          </w:p>
        </w:tc>
      </w:tr>
      <w:tr>
        <w:tc>
          <w:tcPr>
            <w:tcW w:type="dxa" w:w="2160"/>
          </w:tcPr>
          <w:p>
            <w:r>
              <w:t>Than đá công nghiệp đốt lò hơi (Industrial Coal Combustion)</w:t>
            </w:r>
          </w:p>
        </w:tc>
        <w:tc>
          <w:tcPr>
            <w:tcW w:type="dxa" w:w="2160"/>
          </w:tcPr>
          <w:p>
            <w:r>
              <w:t>Scope 1</w:t>
            </w:r>
          </w:p>
        </w:tc>
        <w:tc>
          <w:tcPr>
            <w:tcW w:type="dxa" w:w="2160"/>
          </w:tcPr>
          <w:p>
            <w:r>
              <w:t>2026000.0 kg</w:t>
            </w:r>
          </w:p>
        </w:tc>
        <w:tc>
          <w:tcPr>
            <w:tcW w:type="dxa" w:w="2160"/>
          </w:tcPr>
          <w:p>
            <w:r>
              <w:t>2.42</w:t>
            </w:r>
          </w:p>
        </w:tc>
      </w:tr>
      <w:tr>
        <w:tc>
          <w:tcPr>
            <w:tcW w:type="dxa" w:w="2160"/>
          </w:tcPr>
          <w:p>
            <w:r>
              <w:t>Khí hóa lỏng LPG (LPG Industrial Heating - 600 kg)</w:t>
            </w:r>
          </w:p>
        </w:tc>
        <w:tc>
          <w:tcPr>
            <w:tcW w:type="dxa" w:w="2160"/>
          </w:tcPr>
          <w:p>
            <w:r>
              <w:t>Scope 1</w:t>
            </w:r>
          </w:p>
        </w:tc>
        <w:tc>
          <w:tcPr>
            <w:tcW w:type="dxa" w:w="2160"/>
          </w:tcPr>
          <w:p>
            <w:r>
              <w:t>600.0 kg</w:t>
            </w:r>
          </w:p>
        </w:tc>
        <w:tc>
          <w:tcPr>
            <w:tcW w:type="dxa" w:w="2160"/>
          </w:tcPr>
          <w:p>
            <w:r>
              <w:t>2.98</w:t>
            </w:r>
          </w:p>
        </w:tc>
      </w:tr>
      <w:tr>
        <w:tc>
          <w:tcPr>
            <w:tcW w:type="dxa" w:w="2160"/>
          </w:tcPr>
          <w:p>
            <w:r>
              <w:t>Điện lưới EVN Tháng 01/2026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02/2026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03/2026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04/2026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05/2026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06/2026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08/2026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09/2026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10/2026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11/2026 (Purchased Grid Electricity)</w:t>
            </w:r>
          </w:p>
        </w:tc>
        <w:tc>
          <w:tcPr>
            <w:tcW w:type="dxa" w:w="2160"/>
          </w:tcPr>
          <w:p>
            <w:r>
              <w:t>Scope 2</w:t>
            </w:r>
          </w:p>
        </w:tc>
        <w:tc>
          <w:tcPr>
            <w:tcW w:type="dxa" w:w="2160"/>
          </w:tcPr>
          <w:p>
            <w:r>
              <w:t>2026.0 kWh</w:t>
            </w:r>
          </w:p>
        </w:tc>
        <w:tc>
          <w:tcPr>
            <w:tcW w:type="dxa" w:w="2160"/>
          </w:tcPr>
          <w:p>
            <w:r>
              <w:t>0.7221</w:t>
            </w:r>
          </w:p>
        </w:tc>
      </w:tr>
      <w:tr>
        <w:tc>
          <w:tcPr>
            <w:tcW w:type="dxa" w:w="2160"/>
          </w:tcPr>
          <w:p>
            <w:r>
              <w:t>Điện lưới EVN Tháng 12/2026 (Purchased Grid Electricity)</w:t>
            </w:r>
          </w:p>
        </w:tc>
        <w:tc>
          <w:tcPr>
            <w:tcW w:type="dxa" w:w="2160"/>
          </w:tcPr>
          <w:p>
            <w:r>
              <w:t>Scope 2</w:t>
            </w:r>
          </w:p>
        </w:tc>
        <w:tc>
          <w:tcPr>
            <w:tcW w:type="dxa" w:w="2160"/>
          </w:tcPr>
          <w:p>
            <w:r>
              <w:t>4000.0 kWh</w:t>
            </w:r>
          </w:p>
        </w:tc>
        <w:tc>
          <w:tcPr>
            <w:tcW w:type="dxa" w:w="2160"/>
          </w:tcPr>
          <w:p>
            <w:r>
              <w:t>0.7221</w:t>
            </w:r>
          </w:p>
        </w:tc>
      </w:tr>
      <w:tr>
        <w:tc>
          <w:tcPr>
            <w:tcW w:type="dxa" w:w="2160"/>
          </w:tcPr>
          <w:p>
            <w:r>
              <w:t>Điện lưới EVN Tháng 07/2026 (Nội suy số liệu thiếu - Estimated)</w:t>
            </w:r>
          </w:p>
        </w:tc>
        <w:tc>
          <w:tcPr>
            <w:tcW w:type="dxa" w:w="2160"/>
          </w:tcPr>
          <w:p>
            <w:r>
              <w:t>Scope 2</w:t>
            </w:r>
          </w:p>
        </w:tc>
        <w:tc>
          <w:tcPr>
            <w:tcW w:type="dxa" w:w="2160"/>
          </w:tcPr>
          <w:p>
            <w:r>
              <w:t>2026.0 kWh</w:t>
            </w:r>
          </w:p>
        </w:tc>
        <w:tc>
          <w:tcPr>
            <w:tcW w:type="dxa" w:w="2160"/>
          </w:tcPr>
          <w:p>
            <w:r>
              <w:t>0.7221</w:t>
            </w:r>
          </w:p>
        </w:tc>
      </w:tr>
    </w:tbl>
    <w:p>
      <w:pPr>
        <w:pStyle w:val="Heading2"/>
      </w:pPr>
      <w:r>
        <w:t>3. Tổng hợp Kết quả phát thải KNK</w:t>
      </w:r>
    </w:p>
    <w:p>
      <w:r>
        <w:t>Tổng phát thải ròng toàn cơ sở: 4933.799 tCO2e</w:t>
      </w:r>
    </w:p>
    <w:p>
      <w:r>
        <w:t>- Scope 1 (Trực tiếp): 4914.818 tCO2e</w:t>
      </w:r>
    </w:p>
    <w:p>
      <w:r>
        <w:t>- Scope 2 (Gián tiếp): 18.981 tCO2e</w:t>
      </w:r>
    </w:p>
    <w:p>
      <w:r>
        <w:t>- Khoảng tin cậy: [4443.507 - 5424.092] tCO2e</w:t>
      </w:r>
    </w:p>
    <w:p>
      <w:pPr>
        <w:pStyle w:val="Heading1"/>
      </w:pPr>
      <w:r>
        <w:t>IV. Kết luận và kiến nghị</w:t>
      </w:r>
    </w:p>
    <w:p>
      <w:r>
        <w:t>Hệ thống đạt điểm tin cậy là 73.4%. Dữ liệu đã được kiểm soát bởi EcoStream AI.</w:t>
      </w:r>
    </w:p>
    <w:p>
      <w:pPr>
        <w:pStyle w:val="ListBullet"/>
      </w:pPr>
      <w:r>
        <w:t>Kiến nghị MEDIUM: Chuẩn hóa nhật ký tiêu hao nhiên liệu máy phát và phương tiện - Số hóa sổ giao nhận nhiên liệu nội bộ, ghi nhận số giờ chạy máy phát điện dự phòng và số km công tơ mét từng xe hàng tháng để giám sát định mức tiêu hao.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