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left"/>
      </w:pPr>
      <w:r>
        <w:rPr>
          <w:rFonts w:ascii="Arial" w:hAnsi="Arial"/>
          <w:b/>
          <w:color w:val="00467F"/>
          <w:sz w:val="52"/>
        </w:rPr>
        <w:t>Onboarding EDA Tool</w:t>
      </w:r>
    </w:p>
    <w:p>
      <w:pPr>
        <w:spacing w:after="80"/>
      </w:pPr>
      <w:r>
        <w:rPr>
          <w:rFonts w:ascii="Arial" w:hAnsi="Arial"/>
          <w:b w:val="0"/>
          <w:color w:val="595959"/>
          <w:sz w:val="32"/>
        </w:rPr>
        <w:t>Code &amp; Logic Review</w:t>
      </w:r>
    </w:p>
    <w:p>
      <w:pPr>
        <w:spacing w:after="40"/>
      </w:pPr>
      <w:r>
        <w:rPr>
          <w:rFonts w:ascii="Arial" w:hAnsi="Arial"/>
          <w:b/>
          <w:color w:val="00467F"/>
          <w:sz w:val="20"/>
        </w:rPr>
        <w:t xml:space="preserve">Property:  </w:t>
      </w:r>
      <w:r>
        <w:rPr>
          <w:rFonts w:ascii="Arial" w:hAnsi="Arial"/>
          <w:b w:val="0"/>
          <w:sz w:val="20"/>
        </w:rPr>
        <w:t>LaFave Zion (first fully-wired example)</w:t>
      </w:r>
    </w:p>
    <w:p>
      <w:pPr>
        <w:spacing w:after="40"/>
      </w:pPr>
      <w:r>
        <w:rPr>
          <w:rFonts w:ascii="Arial" w:hAnsi="Arial"/>
          <w:b/>
          <w:color w:val="00467F"/>
          <w:sz w:val="20"/>
        </w:rPr>
        <w:t xml:space="preserve">Review Date:  </w:t>
      </w:r>
      <w:r>
        <w:rPr>
          <w:rFonts w:ascii="Arial" w:hAnsi="Arial"/>
          <w:b w:val="0"/>
          <w:sz w:val="20"/>
        </w:rPr>
        <w:t>March 28, 2026</w:t>
      </w:r>
    </w:p>
    <w:p>
      <w:pPr>
        <w:spacing w:after="40"/>
      </w:pPr>
      <w:r>
        <w:rPr>
          <w:rFonts w:ascii="Arial" w:hAnsi="Arial"/>
          <w:b/>
          <w:color w:val="00467F"/>
          <w:sz w:val="20"/>
        </w:rPr>
        <w:t xml:space="preserve">Reviewer:  </w:t>
      </w:r>
      <w:r>
        <w:rPr>
          <w:rFonts w:ascii="Arial" w:hAnsi="Arial"/>
          <w:b w:val="0"/>
          <w:sz w:val="20"/>
        </w:rPr>
        <w:t>Claude (Cowork)</w:t>
      </w:r>
    </w:p>
    <w:p>
      <w:pPr>
        <w:spacing w:after="40"/>
      </w:pPr>
      <w:r>
        <w:rPr>
          <w:rFonts w:ascii="Arial" w:hAnsi="Arial"/>
          <w:b/>
          <w:color w:val="00467F"/>
          <w:sz w:val="20"/>
        </w:rPr>
        <w:t xml:space="preserve">Files Reviewed:  </w:t>
      </w:r>
      <w:r>
        <w:rPr>
          <w:rFonts w:ascii="Arial" w:hAnsi="Arial"/>
          <w:b w:val="0"/>
          <w:sz w:val="20"/>
        </w:rPr>
        <w:t>src/parser.py, src/validation.py, src/analysis.py, src/pricing_matrix.py, src/property_config.py, config/properties/lafave_zion.yaml</w:t>
      </w:r>
    </w:p>
    <w:p>
      <w:pPr>
        <w:spacing w:before="80" w:after="80"/>
        <w:pBdr>
          <w:bottom w:val="single" w:sz="4" w:space="1" w:color="AAAAAA"/>
        </w:pBdr>
      </w:pPr>
    </w:p>
    <w:p>
      <w:pPr>
        <w:spacing w:before="280" w:after="80"/>
      </w:pPr>
      <w:r>
        <w:rPr>
          <w:rFonts w:ascii="Arial" w:hAnsi="Arial"/>
          <w:b/>
          <w:color w:val="00467F"/>
          <w:sz w:val="32"/>
        </w:rPr>
        <w:t>Overall Verdict</w:t>
      </w:r>
    </w:p>
    <w:p>
      <w:pPr>
        <w:spacing w:after="80"/>
        <w:ind w:left="0"/>
      </w:pPr>
      <w:r>
        <w:rPr>
          <w:rFonts w:ascii="Arial" w:hAnsi="Arial"/>
          <w:b w:val="0"/>
          <w:sz w:val="22"/>
        </w:rPr>
        <w:t>The Onboarding EDA Tool is well-architected. The config-driven, PMS-agnostic design is the correct approach for multi-property scale: adding a new property requires only a YAML config file, and adding a new PMS requires only a new parser in the registry. The canonical schema, multi-level validation pipeline, and performance scoring system are all sound foundations.</w:t>
      </w:r>
    </w:p>
    <w:p>
      <w:pPr>
        <w:spacing w:after="80"/>
        <w:ind w:left="0"/>
      </w:pPr>
      <w:r>
        <w:rPr>
          <w:rFonts w:ascii="Arial" w:hAnsi="Arial"/>
          <w:b w:val="0"/>
          <w:sz w:val="22"/>
        </w:rPr>
        <w:t>The areas flagged below relate primarily to pricing model methodology, code maintainability, and data quality controls — not to the overall architecture, which is solid.</w:t>
      </w:r>
    </w:p>
    <w:p>
      <w:pPr>
        <w:spacing w:before="280" w:after="80"/>
      </w:pPr>
      <w:r>
        <w:rPr>
          <w:rFonts w:ascii="Arial" w:hAnsi="Arial"/>
          <w:b/>
          <w:color w:val="00467F"/>
          <w:sz w:val="32"/>
        </w:rPr>
        <w:t>LaFave Zion — Property Snapshot</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F497D"/>
          </w:tcPr>
          <w:p>
            <w:r>
              <w:rPr>
                <w:rFonts w:ascii="Arial" w:hAnsi="Arial"/>
                <w:b/>
                <w:color w:val="FFFFFF"/>
                <w:sz w:val="20"/>
              </w:rPr>
              <w:t>Metric</w:t>
            </w:r>
          </w:p>
        </w:tc>
        <w:tc>
          <w:tcPr>
            <w:tcW w:type="dxa" w:w="2340"/>
            <w:shd w:val="clear" w:color="auto" w:fill="1F497D"/>
          </w:tcPr>
          <w:p>
            <w:r>
              <w:rPr>
                <w:rFonts w:ascii="Arial" w:hAnsi="Arial"/>
                <w:b/>
                <w:color w:val="FFFFFF"/>
                <w:sz w:val="20"/>
              </w:rPr>
              <w:t>Value</w:t>
            </w:r>
          </w:p>
        </w:tc>
        <w:tc>
          <w:tcPr>
            <w:tcW w:type="dxa" w:w="2340"/>
            <w:shd w:val="clear" w:color="auto" w:fill="1F497D"/>
          </w:tcPr>
          <w:p>
            <w:r>
              <w:rPr>
                <w:rFonts w:ascii="Arial" w:hAnsi="Arial"/>
                <w:b/>
                <w:color w:val="FFFFFF"/>
                <w:sz w:val="20"/>
              </w:rPr>
              <w:t>Metric</w:t>
            </w:r>
          </w:p>
        </w:tc>
        <w:tc>
          <w:tcPr>
            <w:tcW w:type="dxa" w:w="2340"/>
            <w:shd w:val="clear" w:color="auto" w:fill="1F497D"/>
          </w:tcPr>
          <w:p>
            <w:r>
              <w:rPr>
                <w:rFonts w:ascii="Arial" w:hAnsi="Arial"/>
                <w:b/>
                <w:color w:val="FFFFFF"/>
                <w:sz w:val="20"/>
              </w:rPr>
              <w:t>Value</w:t>
            </w:r>
          </w:p>
        </w:tc>
      </w:tr>
      <w:tr>
        <w:tc>
          <w:tcPr>
            <w:tcW w:type="dxa" w:w="2340"/>
          </w:tcPr>
          <w:p>
            <w:r>
              <w:rPr>
                <w:rFonts w:ascii="Arial" w:hAnsi="Arial"/>
                <w:b/>
                <w:sz w:val="20"/>
              </w:rPr>
              <w:t>Total 2-Year Revenue</w:t>
            </w:r>
          </w:p>
        </w:tc>
        <w:tc>
          <w:tcPr>
            <w:tcW w:type="dxa" w:w="2340"/>
          </w:tcPr>
          <w:p>
            <w:r>
              <w:rPr>
                <w:rFonts w:ascii="Arial" w:hAnsi="Arial"/>
                <w:b w:val="0"/>
                <w:sz w:val="20"/>
              </w:rPr>
              <w:t>$7.37M</w:t>
            </w:r>
          </w:p>
        </w:tc>
        <w:tc>
          <w:tcPr>
            <w:tcW w:type="dxa" w:w="2340"/>
          </w:tcPr>
          <w:p>
            <w:r>
              <w:rPr>
                <w:rFonts w:ascii="Arial" w:hAnsi="Arial"/>
                <w:b/>
                <w:sz w:val="20"/>
              </w:rPr>
              <w:t>Portfolio ADR</w:t>
            </w:r>
          </w:p>
        </w:tc>
        <w:tc>
          <w:tcPr>
            <w:tcW w:type="dxa" w:w="2340"/>
          </w:tcPr>
          <w:p>
            <w:r>
              <w:rPr>
                <w:rFonts w:ascii="Arial" w:hAnsi="Arial"/>
                <w:b w:val="0"/>
                <w:sz w:val="20"/>
              </w:rPr>
              <w:t>$639</w:t>
            </w:r>
          </w:p>
        </w:tc>
      </w:tr>
      <w:tr>
        <w:tc>
          <w:tcPr>
            <w:tcW w:type="dxa" w:w="2340"/>
          </w:tcPr>
          <w:p>
            <w:r>
              <w:rPr>
                <w:rFonts w:ascii="Arial" w:hAnsi="Arial"/>
                <w:b/>
                <w:sz w:val="20"/>
              </w:rPr>
              <w:t>Room Count</w:t>
            </w:r>
          </w:p>
        </w:tc>
        <w:tc>
          <w:tcPr>
            <w:tcW w:type="dxa" w:w="2340"/>
          </w:tcPr>
          <w:p>
            <w:r>
              <w:rPr>
                <w:rFonts w:ascii="Arial" w:hAnsi="Arial"/>
                <w:b w:val="0"/>
                <w:sz w:val="20"/>
              </w:rPr>
              <w:t>32 units</w:t>
            </w:r>
          </w:p>
        </w:tc>
        <w:tc>
          <w:tcPr>
            <w:tcW w:type="dxa" w:w="2340"/>
          </w:tcPr>
          <w:p>
            <w:r>
              <w:rPr>
                <w:rFonts w:ascii="Arial" w:hAnsi="Arial"/>
                <w:b/>
                <w:sz w:val="20"/>
              </w:rPr>
              <w:t>Occupancy (avg)</w:t>
            </w:r>
          </w:p>
        </w:tc>
        <w:tc>
          <w:tcPr>
            <w:tcW w:type="dxa" w:w="2340"/>
          </w:tcPr>
          <w:p>
            <w:r>
              <w:rPr>
                <w:rFonts w:ascii="Arial" w:hAnsi="Arial"/>
                <w:b w:val="0"/>
                <w:sz w:val="20"/>
              </w:rPr>
              <w:t>49.3%</w:t>
            </w:r>
          </w:p>
        </w:tc>
      </w:tr>
      <w:tr>
        <w:tc>
          <w:tcPr>
            <w:tcW w:type="dxa" w:w="2340"/>
          </w:tcPr>
          <w:p>
            <w:r>
              <w:rPr>
                <w:rFonts w:ascii="Arial" w:hAnsi="Arial"/>
                <w:b/>
                <w:sz w:val="20"/>
              </w:rPr>
              <w:t>RevPAR</w:t>
            </w:r>
          </w:p>
        </w:tc>
        <w:tc>
          <w:tcPr>
            <w:tcW w:type="dxa" w:w="2340"/>
          </w:tcPr>
          <w:p>
            <w:r>
              <w:rPr>
                <w:rFonts w:ascii="Arial" w:hAnsi="Arial"/>
                <w:b w:val="0"/>
                <w:sz w:val="20"/>
              </w:rPr>
              <w:t>$315</w:t>
            </w:r>
          </w:p>
        </w:tc>
        <w:tc>
          <w:tcPr>
            <w:tcW w:type="dxa" w:w="2340"/>
          </w:tcPr>
          <w:p>
            <w:r>
              <w:rPr>
                <w:rFonts w:ascii="Arial" w:hAnsi="Arial"/>
                <w:b/>
                <w:sz w:val="20"/>
              </w:rPr>
              <w:t>YoY Revenue</w:t>
            </w:r>
          </w:p>
        </w:tc>
        <w:tc>
          <w:tcPr>
            <w:tcW w:type="dxa" w:w="2340"/>
          </w:tcPr>
          <w:p>
            <w:r>
              <w:rPr>
                <w:rFonts w:ascii="Arial" w:hAnsi="Arial"/>
                <w:b w:val="0"/>
                <w:sz w:val="20"/>
              </w:rPr>
              <w:t>-0.86%</w:t>
            </w:r>
          </w:p>
        </w:tc>
      </w:tr>
      <w:tr>
        <w:tc>
          <w:tcPr>
            <w:tcW w:type="dxa" w:w="2340"/>
          </w:tcPr>
          <w:p>
            <w:r>
              <w:rPr>
                <w:rFonts w:ascii="Arial" w:hAnsi="Arial"/>
                <w:b/>
                <w:sz w:val="20"/>
              </w:rPr>
              <w:t>Total Bookings</w:t>
            </w:r>
          </w:p>
        </w:tc>
        <w:tc>
          <w:tcPr>
            <w:tcW w:type="dxa" w:w="2340"/>
          </w:tcPr>
          <w:p>
            <w:r>
              <w:rPr>
                <w:rFonts w:ascii="Arial" w:hAnsi="Arial"/>
                <w:b w:val="0"/>
                <w:sz w:val="20"/>
              </w:rPr>
              <w:t>3,793</w:t>
            </w:r>
          </w:p>
        </w:tc>
        <w:tc>
          <w:tcPr>
            <w:tcW w:type="dxa" w:w="2340"/>
          </w:tcPr>
          <w:p>
            <w:r>
              <w:rPr>
                <w:rFonts w:ascii="Arial" w:hAnsi="Arial"/>
                <w:b/>
                <w:sz w:val="20"/>
              </w:rPr>
              <w:t>YoY ADR</w:t>
            </w:r>
          </w:p>
        </w:tc>
        <w:tc>
          <w:tcPr>
            <w:tcW w:type="dxa" w:w="2340"/>
          </w:tcPr>
          <w:p>
            <w:r>
              <w:rPr>
                <w:rFonts w:ascii="Arial" w:hAnsi="Arial"/>
                <w:b w:val="0"/>
                <w:sz w:val="20"/>
              </w:rPr>
              <w:t>+1.59%</w:t>
            </w:r>
          </w:p>
        </w:tc>
      </w:tr>
    </w:tbl>
    <w:p/>
    <w:p>
      <w:pPr>
        <w:spacing w:after="80"/>
        <w:ind w:left="0"/>
      </w:pPr>
      <w:r>
        <w:rPr>
          <w:rFonts w:ascii="Arial" w:hAnsi="Arial"/>
          <w:b w:val="0"/>
          <w:sz w:val="22"/>
        </w:rPr>
        <w:t>Note: Units 103 (The Zion Suite), 300 (Bridge Mountain), and 301 (West Temple) show YoY revenue declines of 73–95%. These are likely data/onboarding gaps rather than real performance declines. Their historical ADR should be validated before being used as pricing anchors.</w:t>
      </w:r>
    </w:p>
    <w:p>
      <w:pPr>
        <w:spacing w:before="80" w:after="80"/>
        <w:pBdr>
          <w:bottom w:val="single" w:sz="4" w:space="1" w:color="AAAAAA"/>
        </w:pBdr>
      </w:pPr>
    </w:p>
    <w:p>
      <w:pPr>
        <w:spacing w:before="280" w:after="80"/>
      </w:pPr>
      <w:r>
        <w:rPr>
          <w:rFonts w:ascii="Arial" w:hAnsi="Arial"/>
          <w:b/>
          <w:color w:val="00467F"/>
          <w:sz w:val="32"/>
        </w:rPr>
        <w:t>Findings</w:t>
      </w:r>
    </w:p>
    <w:p>
      <w:pPr>
        <w:spacing w:before="240" w:after="40"/>
      </w:pPr>
      <w:r>
        <w:rPr>
          <w:rFonts w:ascii="Arial" w:hAnsi="Arial"/>
          <w:b/>
          <w:color w:val="00467F"/>
          <w:sz w:val="26"/>
        </w:rPr>
        <w:t xml:space="preserve">Finding 1  </w:t>
      </w:r>
      <w:r>
        <w:rPr>
          <w:rFonts w:ascii="Arial" w:hAnsi="Arial"/>
          <w:b/>
          <w:color w:val="C00000"/>
          <w:sz w:val="20"/>
        </w:rPr>
        <w:t>[HIGH PRIORITY]</w:t>
      </w:r>
    </w:p>
    <w:p>
      <w:pPr>
        <w:spacing w:before="0" w:after="80"/>
      </w:pPr>
      <w:r>
        <w:rPr>
          <w:rFonts w:ascii="Arial" w:hAnsi="Arial"/>
          <w:b/>
          <w:sz w:val="24"/>
        </w:rPr>
        <w:t>Additive pricing formula should be multiplicative</w:t>
      </w:r>
    </w:p>
    <w:p>
      <w:pPr>
        <w:spacing w:after="80"/>
        <w:ind w:left="0"/>
      </w:pPr>
      <w:r>
        <w:rPr>
          <w:rFonts w:ascii="Arial" w:hAnsi="Arial"/>
          <w:b w:val="0"/>
          <w:sz w:val="22"/>
        </w:rPr>
        <w:t>The draft ADR is computed using an additive combination of adjustment factors:</w:t>
      </w:r>
    </w:p>
    <w:p>
      <w:pPr>
        <w:spacing w:after="80"/>
        <w:ind w:left="576"/>
      </w:pPr>
      <w:r>
        <w:rPr>
          <w:rFonts w:ascii="Courier New" w:hAnsi="Courier New"/>
          <w:color w:val="B40000"/>
          <w:sz w:val="20"/>
        </w:rPr>
        <w:t>raw = base_adr × (1.0 + listing_adj + month_adj + dow_adj)</w:t>
      </w:r>
    </w:p>
    <w:p>
      <w:pPr>
        <w:spacing w:after="80"/>
        <w:ind w:left="0"/>
      </w:pPr>
      <w:r>
        <w:rPr>
          <w:rFonts w:ascii="Arial" w:hAnsi="Arial"/>
          <w:b w:val="0"/>
          <w:sz w:val="22"/>
        </w:rPr>
        <w:t>Standard revenue management practice uses a multiplicative model:</w:t>
      </w:r>
    </w:p>
    <w:p>
      <w:pPr>
        <w:spacing w:after="80"/>
        <w:ind w:left="576"/>
      </w:pPr>
      <w:r>
        <w:rPr>
          <w:rFonts w:ascii="Courier New" w:hAnsi="Courier New"/>
          <w:color w:val="B40000"/>
          <w:sz w:val="20"/>
        </w:rPr>
        <w:t>raw = base_adr × listing_factor × month_factor × dow_factor</w:t>
      </w:r>
    </w:p>
    <w:p>
      <w:pPr>
        <w:spacing w:after="80"/>
        <w:ind w:left="0"/>
      </w:pPr>
      <w:r>
        <w:rPr>
          <w:rFonts w:ascii="Arial" w:hAnsi="Arial"/>
          <w:b w:val="0"/>
          <w:sz w:val="22"/>
        </w:rPr>
        <w:t>The difference is most significant when all three adjustments are active simultaneously. For example: a high-RevPAR listing (factor 1.10), peak season month (factor 1.25), on a Saturday (factor 1.20):</w:t>
      </w:r>
    </w:p>
    <w:p>
      <w:pPr>
        <w:pStyle w:val="ListBullet"/>
        <w:spacing w:after="60"/>
        <w:ind w:left="360"/>
      </w:pPr>
      <w:r>
        <w:rPr>
          <w:rFonts w:ascii="Arial" w:hAnsi="Arial"/>
          <w:b w:val="0"/>
          <w:sz w:val="22"/>
        </w:rPr>
        <w:t>Additive result:       base × (1 + 0.10 + 0.25 + 0.20) = base × 1.55</w:t>
      </w:r>
    </w:p>
    <w:p>
      <w:pPr>
        <w:pStyle w:val="ListBullet"/>
        <w:spacing w:after="60"/>
        <w:ind w:left="360"/>
      </w:pPr>
      <w:r>
        <w:rPr>
          <w:rFonts w:ascii="Arial" w:hAnsi="Arial"/>
          <w:b w:val="0"/>
          <w:sz w:val="22"/>
        </w:rPr>
        <w:t>Multiplicative result: base × 1.10 × 1.25 × 1.20       = base × 1.65</w:t>
      </w:r>
    </w:p>
    <w:p>
      <w:pPr>
        <w:spacing w:after="80"/>
        <w:ind w:left="0"/>
      </w:pPr>
      <w:r>
        <w:rPr>
          <w:rFonts w:ascii="Arial" w:hAnsi="Arial"/>
          <w:b w:val="0"/>
          <w:sz w:val="22"/>
        </w:rPr>
        <w:t>The additive model underestimates compound upside on premium listing/date combinations and leaves revenue on the table during peak windows.</w:t>
      </w:r>
    </w:p>
    <w:p>
      <w:pPr>
        <w:spacing w:before="80" w:after="80"/>
        <w:pBdr>
          <w:bottom w:val="single" w:sz="4" w:space="1" w:color="AAAAAA"/>
        </w:pBdr>
      </w:pPr>
    </w:p>
    <w:p>
      <w:pPr>
        <w:spacing w:before="240" w:after="40"/>
      </w:pPr>
      <w:r>
        <w:rPr>
          <w:rFonts w:ascii="Arial" w:hAnsi="Arial"/>
          <w:b/>
          <w:color w:val="00467F"/>
          <w:sz w:val="26"/>
        </w:rPr>
        <w:t xml:space="preserve">Finding 2  </w:t>
      </w:r>
      <w:r>
        <w:rPr>
          <w:rFonts w:ascii="Arial" w:hAnsi="Arial"/>
          <w:b/>
          <w:color w:val="C58200"/>
          <w:sz w:val="20"/>
        </w:rPr>
        <w:t>[MEDIUM PRIORITY]</w:t>
      </w:r>
    </w:p>
    <w:p>
      <w:pPr>
        <w:spacing w:before="0" w:after="80"/>
      </w:pPr>
      <w:r>
        <w:rPr>
          <w:rFonts w:ascii="Arial" w:hAnsi="Arial"/>
          <w:b/>
          <w:sz w:val="24"/>
        </w:rPr>
        <w:t>Season definitions hardcoded in two places</w:t>
      </w:r>
    </w:p>
    <w:p>
      <w:pPr>
        <w:spacing w:after="80"/>
        <w:ind w:left="0"/>
      </w:pPr>
      <w:r>
        <w:rPr>
          <w:rFonts w:ascii="Arial" w:hAnsi="Arial"/>
          <w:b w:val="0"/>
          <w:sz w:val="22"/>
        </w:rPr>
        <w:t>The season-to-month mapping is hardcoded identically in two separate files:</w:t>
      </w:r>
    </w:p>
    <w:p>
      <w:pPr>
        <w:pStyle w:val="ListBullet"/>
        <w:spacing w:after="60"/>
        <w:ind w:left="360"/>
      </w:pPr>
      <w:r>
        <w:rPr>
          <w:rFonts w:ascii="Arial" w:hAnsi="Arial"/>
          <w:b w:val="0"/>
          <w:sz w:val="22"/>
        </w:rPr>
        <w:t>src/analysis.py  — function build_listing_season_performance()</w:t>
      </w:r>
    </w:p>
    <w:p>
      <w:pPr>
        <w:pStyle w:val="ListBullet"/>
        <w:spacing w:after="60"/>
        <w:ind w:left="360"/>
      </w:pPr>
      <w:r>
        <w:rPr>
          <w:rFonts w:ascii="Arial" w:hAnsi="Arial"/>
          <w:b w:val="0"/>
          <w:sz w:val="22"/>
        </w:rPr>
        <w:t>src/pricing_matrix.py  — function build_pricing_matrix() and _apply_bounds()</w:t>
      </w:r>
    </w:p>
    <w:p>
      <w:pPr>
        <w:spacing w:after="80"/>
        <w:ind w:left="0"/>
      </w:pPr>
      <w:r>
        <w:rPr>
          <w:rFonts w:ascii="Arial" w:hAnsi="Arial"/>
          <w:b w:val="0"/>
          <w:sz w:val="22"/>
        </w:rPr>
        <w:t>The current definition (High: Apr/May/Jun/Sep/Oct; Low: Jan/Feb/Dec; Shoulder: Mar/Jul/Aug/Nov) is correct for a Zion National Park destination property. However, if a new property is onboarded with different seasonality — for example, a ski resort where December/January are peak and June/July are low — the season logic would need to be changed in at least two places, creating a risk of inconsistency.</w:t>
      </w:r>
    </w:p>
    <w:p>
      <w:pPr>
        <w:spacing w:after="80"/>
        <w:ind w:left="0"/>
      </w:pPr>
      <w:r>
        <w:rPr>
          <w:rFonts w:ascii="Arial" w:hAnsi="Arial"/>
          <w:b w:val="0"/>
          <w:sz w:val="22"/>
        </w:rPr>
        <w:t>The season definition should be a property-level config field in the YAML, read once and passed into both analysis and pricing functions.</w:t>
      </w:r>
    </w:p>
    <w:p>
      <w:pPr>
        <w:spacing w:before="80" w:after="80"/>
        <w:pBdr>
          <w:bottom w:val="single" w:sz="4" w:space="1" w:color="AAAAAA"/>
        </w:pBdr>
      </w:pPr>
    </w:p>
    <w:p>
      <w:pPr>
        <w:spacing w:before="240" w:after="40"/>
      </w:pPr>
      <w:r>
        <w:rPr>
          <w:rFonts w:ascii="Arial" w:hAnsi="Arial"/>
          <w:b/>
          <w:color w:val="00467F"/>
          <w:sz w:val="26"/>
        </w:rPr>
        <w:t xml:space="preserve">Finding 3  </w:t>
      </w:r>
      <w:r>
        <w:rPr>
          <w:rFonts w:ascii="Arial" w:hAnsi="Arial"/>
          <w:b/>
          <w:color w:val="C58200"/>
          <w:sz w:val="20"/>
        </w:rPr>
        <w:t>[MEDIUM PRIORITY]</w:t>
      </w:r>
    </w:p>
    <w:p>
      <w:pPr>
        <w:spacing w:before="0" w:after="80"/>
      </w:pPr>
      <w:r>
        <w:rPr>
          <w:rFonts w:ascii="Arial" w:hAnsi="Arial"/>
          <w:b/>
          <w:sz w:val="24"/>
        </w:rPr>
        <w:t>Month hierarchy enforcement can flatten natural price dips</w:t>
      </w:r>
    </w:p>
    <w:p>
      <w:pPr>
        <w:spacing w:after="80"/>
        <w:ind w:left="0"/>
      </w:pPr>
      <w:r>
        <w:rPr>
          <w:rFonts w:ascii="Arial" w:hAnsi="Arial"/>
          <w:b w:val="0"/>
          <w:sz w:val="22"/>
        </w:rPr>
        <w:t>The _enforce_month_hierarchy() function applies cummax() sorted by month performance score, ensuring prices never decrease as scores increase. While this prevents pricing dips in high-score months, it also prevents legitimate natural price patterns.</w:t>
      </w:r>
    </w:p>
    <w:p>
      <w:pPr>
        <w:spacing w:after="80"/>
        <w:ind w:left="0"/>
      </w:pPr>
      <w:r>
        <w:rPr>
          <w:rFonts w:ascii="Arial" w:hAnsi="Arial"/>
          <w:b w:val="0"/>
          <w:sz w:val="22"/>
        </w:rPr>
        <w:t>Example scenario: March scores 8 and April scores 5. Under the current logic, April's price is bumped up to match March's level — even if April genuinely receives lower ADR historically and should be priced lower. The enforcement is monotone-increasing and never allows a score to decrease a price relative to a higher-scoring prior month.</w:t>
      </w:r>
    </w:p>
    <w:p>
      <w:pPr>
        <w:spacing w:after="80"/>
        <w:ind w:left="0"/>
      </w:pPr>
      <w:r>
        <w:rPr>
          <w:rFonts w:ascii="Arial" w:hAnsi="Arial"/>
          <w:b w:val="0"/>
          <w:sz w:val="22"/>
        </w:rPr>
        <w:t>A configurable tolerance (e.g. allow up to 10% dip between non-adjacent score levels) would preserve natural pricing patterns while still enforcing major structural hierarchy.</w:t>
      </w:r>
    </w:p>
    <w:p>
      <w:pPr>
        <w:spacing w:before="80" w:after="80"/>
        <w:pBdr>
          <w:bottom w:val="single" w:sz="4" w:space="1" w:color="AAAAAA"/>
        </w:pBdr>
      </w:pPr>
    </w:p>
    <w:p>
      <w:pPr>
        <w:spacing w:before="240" w:after="40"/>
      </w:pPr>
      <w:r>
        <w:rPr>
          <w:rFonts w:ascii="Arial" w:hAnsi="Arial"/>
          <w:b/>
          <w:color w:val="00467F"/>
          <w:sz w:val="26"/>
        </w:rPr>
        <w:t xml:space="preserve">Finding 4  </w:t>
      </w:r>
      <w:r>
        <w:rPr>
          <w:rFonts w:ascii="Arial" w:hAnsi="Arial"/>
          <w:b/>
          <w:color w:val="C58200"/>
          <w:sz w:val="20"/>
        </w:rPr>
        <w:t>[MEDIUM PRIORITY]</w:t>
      </w:r>
    </w:p>
    <w:p>
      <w:pPr>
        <w:spacing w:before="0" w:after="80"/>
      </w:pPr>
      <w:r>
        <w:rPr>
          <w:rFonts w:ascii="Arial" w:hAnsi="Arial"/>
          <w:b/>
          <w:sz w:val="24"/>
        </w:rPr>
        <w:t>ADR bounds fallback logic is duplicated</w:t>
      </w:r>
    </w:p>
    <w:p>
      <w:pPr>
        <w:spacing w:after="80"/>
        <w:ind w:left="0"/>
      </w:pPr>
      <w:r>
        <w:rPr>
          <w:rFonts w:ascii="Arial" w:hAnsi="Arial"/>
          <w:b w:val="0"/>
          <w:sz w:val="22"/>
        </w:rPr>
        <w:t>The ADR bounds calculation and its fallback chain (specific month → same season → listing-wide → portfolio-wide) appears twice in pricing_matrix.py:</w:t>
      </w:r>
    </w:p>
    <w:p>
      <w:pPr>
        <w:pStyle w:val="ListBullet"/>
        <w:spacing w:after="60"/>
        <w:ind w:left="360"/>
      </w:pPr>
      <w:r>
        <w:rPr>
          <w:rFonts w:ascii="Arial" w:hAnsi="Arial"/>
          <w:b w:val="0"/>
          <w:sz w:val="22"/>
        </w:rPr>
        <w:t>First in the main build_pricing_matrix() loop (lines ~254–289)</w:t>
      </w:r>
    </w:p>
    <w:p>
      <w:pPr>
        <w:pStyle w:val="ListBullet"/>
        <w:spacing w:after="60"/>
        <w:ind w:left="360"/>
      </w:pPr>
      <w:r>
        <w:rPr>
          <w:rFonts w:ascii="Arial" w:hAnsi="Arial"/>
          <w:b w:val="0"/>
          <w:sz w:val="22"/>
        </w:rPr>
        <w:t>Again inside the _apply_bounds() group-apply function (lines ~391–410)</w:t>
      </w:r>
    </w:p>
    <w:p>
      <w:pPr>
        <w:spacing w:after="80"/>
        <w:ind w:left="0"/>
      </w:pPr>
      <w:r>
        <w:rPr>
          <w:rFonts w:ascii="Arial" w:hAnsi="Arial"/>
          <w:b w:val="0"/>
          <w:sz w:val="22"/>
        </w:rPr>
        <w:t>This is a DRY (Don't Repeat Yourself) violation. If the fallback logic is updated in one location but not the other, the two passes can produce different floor/ceiling values for the same listing × month combination, leading to subtle and hard-to-diagnose pricing inconsistencies.</w:t>
      </w:r>
    </w:p>
    <w:p>
      <w:pPr>
        <w:spacing w:after="80"/>
        <w:ind w:left="0"/>
      </w:pPr>
      <w:r>
        <w:rPr>
          <w:rFonts w:ascii="Arial" w:hAnsi="Arial"/>
          <w:b w:val="0"/>
          <w:sz w:val="22"/>
        </w:rPr>
        <w:t>The fallback chain should be extracted into a single helper function that both the main loop and _apply_bounds() call.</w:t>
      </w:r>
    </w:p>
    <w:p>
      <w:pPr>
        <w:spacing w:before="80" w:after="80"/>
        <w:pBdr>
          <w:bottom w:val="single" w:sz="4" w:space="1" w:color="AAAAAA"/>
        </w:pBdr>
      </w:pPr>
    </w:p>
    <w:p>
      <w:pPr>
        <w:spacing w:before="240" w:after="40"/>
      </w:pPr>
      <w:r>
        <w:rPr>
          <w:rFonts w:ascii="Arial" w:hAnsi="Arial"/>
          <w:b/>
          <w:color w:val="00467F"/>
          <w:sz w:val="26"/>
        </w:rPr>
        <w:t xml:space="preserve">Finding 5  </w:t>
      </w:r>
      <w:r>
        <w:rPr>
          <w:rFonts w:ascii="Arial" w:hAnsi="Arial"/>
          <w:b/>
          <w:color w:val="4472C4"/>
          <w:sz w:val="20"/>
        </w:rPr>
        <w:t>[LOW PRIORITY]</w:t>
      </w:r>
    </w:p>
    <w:p>
      <w:pPr>
        <w:spacing w:before="0" w:after="80"/>
      </w:pPr>
      <w:r>
        <w:rPr>
          <w:rFonts w:ascii="Arial" w:hAnsi="Arial"/>
          <w:b/>
          <w:sz w:val="24"/>
        </w:rPr>
        <w:t>Three event multipliers are 1.00 (no-ops)</w:t>
      </w:r>
    </w:p>
    <w:p>
      <w:pPr>
        <w:spacing w:after="80"/>
        <w:ind w:left="0"/>
      </w:pPr>
      <w:r>
        <w:rPr>
          <w:rFonts w:ascii="Arial" w:hAnsi="Arial"/>
          <w:b w:val="0"/>
          <w:sz w:val="22"/>
        </w:rPr>
        <w:t>Three events in the lafave_zion.yaml config have a multiplier of exactly 1.00, making them no-ops that do not affect pricing:</w:t>
      </w:r>
    </w:p>
    <w:p>
      <w:pPr>
        <w:pStyle w:val="ListBullet"/>
        <w:spacing w:after="60"/>
        <w:ind w:left="360"/>
      </w:pPr>
      <w:r>
        <w:rPr>
          <w:rFonts w:ascii="Arial" w:hAnsi="Arial"/>
          <w:b w:val="0"/>
          <w:sz w:val="22"/>
        </w:rPr>
        <w:t>Labor Day Weekend (2026-09-04 to 2026-09-07)   — multiplier: 1.00</w:t>
      </w:r>
    </w:p>
    <w:p>
      <w:pPr>
        <w:pStyle w:val="ListBullet"/>
        <w:spacing w:after="60"/>
        <w:ind w:left="360"/>
      </w:pPr>
      <w:r>
        <w:rPr>
          <w:rFonts w:ascii="Arial" w:hAnsi="Arial"/>
          <w:b w:val="0"/>
          <w:sz w:val="22"/>
        </w:rPr>
        <w:t>Columbus Day Weekend (2026-10-09 to 2026-10-12) — multiplier: 1.00</w:t>
      </w:r>
    </w:p>
    <w:p>
      <w:pPr>
        <w:pStyle w:val="ListBullet"/>
        <w:spacing w:after="60"/>
        <w:ind w:left="360"/>
      </w:pPr>
      <w:r>
        <w:rPr>
          <w:rFonts w:ascii="Arial" w:hAnsi="Arial"/>
          <w:b w:val="0"/>
          <w:sz w:val="22"/>
        </w:rPr>
        <w:t>Pre-Christmas Travel Period (2026-12-17 to 2026-12-23) — multiplier: 1.00</w:t>
      </w:r>
    </w:p>
    <w:p>
      <w:pPr>
        <w:spacing w:after="80"/>
        <w:ind w:left="0"/>
      </w:pPr>
      <w:r>
        <w:rPr>
          <w:rFonts w:ascii="Arial" w:hAnsi="Arial"/>
          <w:b w:val="0"/>
          <w:sz w:val="22"/>
        </w:rPr>
        <w:t>If these dates were intentionally set to 1.00 as placeholders pending research, they should be flagged clearly in the config with a comment. If they were meant to apply a real uplift, the multiplier values should be updated based on historical demand data for those periods.</w:t>
      </w:r>
    </w:p>
    <w:p>
      <w:pPr>
        <w:spacing w:before="80" w:after="80"/>
        <w:pBdr>
          <w:bottom w:val="single" w:sz="4" w:space="1" w:color="AAAAAA"/>
        </w:pBdr>
      </w:pPr>
    </w:p>
    <w:p>
      <w:pPr>
        <w:spacing w:before="240" w:after="40"/>
      </w:pPr>
      <w:r>
        <w:rPr>
          <w:rFonts w:ascii="Arial" w:hAnsi="Arial"/>
          <w:b/>
          <w:color w:val="00467F"/>
          <w:sz w:val="26"/>
        </w:rPr>
        <w:t xml:space="preserve">Finding 6  </w:t>
      </w:r>
      <w:r>
        <w:rPr>
          <w:rFonts w:ascii="Arial" w:hAnsi="Arial"/>
          <w:b/>
          <w:color w:val="C58200"/>
          <w:sz w:val="20"/>
        </w:rPr>
        <w:t>[MEDIUM PRIORITY]</w:t>
      </w:r>
    </w:p>
    <w:p>
      <w:pPr>
        <w:spacing w:before="0" w:after="80"/>
      </w:pPr>
      <w:r>
        <w:rPr>
          <w:rFonts w:ascii="Arial" w:hAnsi="Arial"/>
          <w:b/>
          <w:sz w:val="24"/>
        </w:rPr>
        <w:t>Partially-paid reservations silently excluded from analysis</w:t>
      </w:r>
    </w:p>
    <w:p>
      <w:pPr>
        <w:spacing w:after="80"/>
        <w:ind w:left="0"/>
      </w:pPr>
      <w:r>
        <w:rPr>
          <w:rFonts w:ascii="Arial" w:hAnsi="Arial"/>
          <w:b w:val="0"/>
          <w:sz w:val="22"/>
        </w:rPr>
        <w:t>In src/parser.py, the normalize() function excludes any reservation where amount_paid is less than the revenue value:</w:t>
      </w:r>
    </w:p>
    <w:p>
      <w:pPr>
        <w:spacing w:after="80"/>
        <w:ind w:left="576"/>
      </w:pPr>
      <w:r>
        <w:rPr>
          <w:rFonts w:ascii="Courier New" w:hAnsi="Courier New"/>
          <w:color w:val="B40000"/>
          <w:sz w:val="20"/>
        </w:rPr>
        <w:t>mask = df['amount_paid'].notna() &amp; (df['amount_paid'] &gt;= df['revenue'])</w:t>
      </w:r>
    </w:p>
    <w:p>
      <w:pPr>
        <w:spacing w:after="80"/>
        <w:ind w:left="0"/>
      </w:pPr>
      <w:r>
        <w:rPr>
          <w:rFonts w:ascii="Arial" w:hAnsi="Arial"/>
          <w:b w:val="0"/>
          <w:sz w:val="22"/>
        </w:rPr>
        <w:t>This filter silently drops any partially-paid reservation from analysis. In a short-term rental context, partial payments are common — a guest may have paid a deposit but not yet settled the balance, especially for future stays. Dropping these bookings from the analysis underrepresents forward-looking demand and distorts occupancy and revenue figures.</w:t>
      </w:r>
    </w:p>
    <w:p>
      <w:pPr>
        <w:spacing w:after="80"/>
        <w:ind w:left="0"/>
      </w:pPr>
      <w:r>
        <w:rPr>
          <w:rFonts w:ascii="Arial" w:hAnsi="Arial"/>
          <w:b w:val="0"/>
          <w:sz w:val="22"/>
        </w:rPr>
        <w:t>A more appropriate approach would be to retain partially-paid reservations but flag them (e.g. a 'payment_status' column in the canonical schema), so analysts can choose whether to include or exclude them per analysis context.</w:t>
      </w:r>
    </w:p>
    <w:p>
      <w:pPr>
        <w:spacing w:before="80" w:after="80"/>
        <w:pBdr>
          <w:bottom w:val="single" w:sz="4" w:space="1" w:color="AAAAAA"/>
        </w:pBdr>
      </w:pPr>
    </w:p>
    <w:p>
      <w:pPr>
        <w:spacing w:before="240" w:after="40"/>
      </w:pPr>
      <w:r>
        <w:rPr>
          <w:rFonts w:ascii="Arial" w:hAnsi="Arial"/>
          <w:b/>
          <w:color w:val="00467F"/>
          <w:sz w:val="26"/>
        </w:rPr>
        <w:t xml:space="preserve">Finding 7  </w:t>
      </w:r>
      <w:r>
        <w:rPr>
          <w:rFonts w:ascii="Arial" w:hAnsi="Arial"/>
          <w:b/>
          <w:color w:val="C58200"/>
          <w:sz w:val="20"/>
        </w:rPr>
        <w:t>[MEDIUM PRIORITY]</w:t>
      </w:r>
    </w:p>
    <w:p>
      <w:pPr>
        <w:spacing w:before="0" w:after="80"/>
      </w:pPr>
      <w:r>
        <w:rPr>
          <w:rFonts w:ascii="Arial" w:hAnsi="Arial"/>
          <w:b/>
          <w:sz w:val="24"/>
        </w:rPr>
        <w:t>No length-of-stay (LOS) pricing dimension</w:t>
      </w:r>
    </w:p>
    <w:p>
      <w:pPr>
        <w:spacing w:after="80"/>
        <w:ind w:left="0"/>
      </w:pPr>
      <w:r>
        <w:rPr>
          <w:rFonts w:ascii="Arial" w:hAnsi="Arial"/>
          <w:b w:val="0"/>
          <w:sz w:val="22"/>
        </w:rPr>
        <w:t>The current pricing model has no length-of-stay (LOS) dimension. Every night of a booking is priced identically within a listing × month × day-of-week bucket, regardless of whether the guest is staying 1 night or 14 nights.</w:t>
      </w:r>
    </w:p>
    <w:p>
      <w:pPr>
        <w:spacing w:after="80"/>
        <w:ind w:left="0"/>
      </w:pPr>
      <w:r>
        <w:rPr>
          <w:rFonts w:ascii="Arial" w:hAnsi="Arial"/>
          <w:b w:val="0"/>
          <w:sz w:val="22"/>
        </w:rPr>
        <w:t>In short-term rental markets, LOS-based pricing is standard practice and typically drives meaningful revenue improvement:</w:t>
      </w:r>
    </w:p>
    <w:p>
      <w:pPr>
        <w:pStyle w:val="ListBullet"/>
        <w:spacing w:after="60"/>
        <w:ind w:left="360"/>
      </w:pPr>
      <w:r>
        <w:rPr>
          <w:rFonts w:ascii="Arial" w:hAnsi="Arial"/>
          <w:b w:val="0"/>
          <w:sz w:val="22"/>
        </w:rPr>
        <w:t>Minimum night requirements by season (e.g. 3-night min in High season, 2-night min in Shoulder)</w:t>
      </w:r>
    </w:p>
    <w:p>
      <w:pPr>
        <w:pStyle w:val="ListBullet"/>
        <w:spacing w:after="60"/>
        <w:ind w:left="360"/>
      </w:pPr>
      <w:r>
        <w:rPr>
          <w:rFonts w:ascii="Arial" w:hAnsi="Arial"/>
          <w:b w:val="0"/>
          <w:sz w:val="22"/>
        </w:rPr>
        <w:t>Last-minute discount for short stays to fill gaps (e.g. &lt;3 nights, &lt;7 days out)</w:t>
      </w:r>
    </w:p>
    <w:p>
      <w:pPr>
        <w:pStyle w:val="ListBullet"/>
        <w:spacing w:after="60"/>
        <w:ind w:left="360"/>
      </w:pPr>
      <w:r>
        <w:rPr>
          <w:rFonts w:ascii="Arial" w:hAnsi="Arial"/>
          <w:b w:val="0"/>
          <w:sz w:val="22"/>
        </w:rPr>
        <w:t>Weekly/monthly discount tiers (e.g. -10% for 7+ nights, -20% for 28+ nights)</w:t>
      </w:r>
    </w:p>
    <w:p>
      <w:pPr>
        <w:spacing w:after="80"/>
        <w:ind w:left="0"/>
      </w:pPr>
      <w:r>
        <w:rPr>
          <w:rFonts w:ascii="Arial" w:hAnsi="Arial"/>
          <w:b w:val="0"/>
          <w:sz w:val="22"/>
        </w:rPr>
        <w:t>For a 32-unit premium resort like LaFave Zion with ADRs between $400–$1,300, LOS-based pricing could have a material impact on both revenue and occupancy optimization.</w:t>
      </w:r>
    </w:p>
    <w:p>
      <w:pPr>
        <w:spacing w:before="80" w:after="80"/>
        <w:pBdr>
          <w:bottom w:val="single" w:sz="4" w:space="1" w:color="AAAAAA"/>
        </w:pBdr>
      </w:pPr>
    </w:p>
    <w:p>
      <w:pPr>
        <w:spacing w:before="240" w:after="40"/>
      </w:pPr>
      <w:r>
        <w:rPr>
          <w:rFonts w:ascii="Arial" w:hAnsi="Arial"/>
          <w:b/>
          <w:color w:val="00467F"/>
          <w:sz w:val="26"/>
        </w:rPr>
        <w:t xml:space="preserve">Finding 8  </w:t>
      </w:r>
      <w:r>
        <w:rPr>
          <w:rFonts w:ascii="Arial" w:hAnsi="Arial"/>
          <w:b/>
          <w:color w:val="4472C4"/>
          <w:sz w:val="20"/>
        </w:rPr>
        <w:t>[LOW PRIORITY]</w:t>
      </w:r>
    </w:p>
    <w:p>
      <w:pPr>
        <w:spacing w:before="0" w:after="80"/>
      </w:pPr>
      <w:r>
        <w:rPr>
          <w:rFonts w:ascii="Arial" w:hAnsi="Arial"/>
          <w:b/>
          <w:sz w:val="24"/>
        </w:rPr>
        <w:t>No market/competitive benchmarking input</w:t>
      </w:r>
    </w:p>
    <w:p>
      <w:pPr>
        <w:spacing w:after="80"/>
        <w:ind w:left="0"/>
      </w:pPr>
      <w:r>
        <w:rPr>
          <w:rFonts w:ascii="Arial" w:hAnsi="Arial"/>
          <w:b w:val="0"/>
          <w:sz w:val="22"/>
        </w:rPr>
        <w:t>All pricing in the tool is anchored exclusively to the property's own historical ADR. There is no mechanism to incorporate external market data to validate whether those historical rates were competitive.</w:t>
      </w:r>
    </w:p>
    <w:p>
      <w:pPr>
        <w:spacing w:after="80"/>
        <w:ind w:left="0"/>
      </w:pPr>
      <w:r>
        <w:rPr>
          <w:rFonts w:ascii="Arial" w:hAnsi="Arial"/>
          <w:b w:val="0"/>
          <w:sz w:val="22"/>
        </w:rPr>
        <w:t>This creates a compounding risk: if a new client was chronically under-priced in their previous management arrangement, the tool will anchor draft rates to those under-priced levels. The 1–10 scoring system ranks performance relative to the property itself — a score of 10 means 'best month for this property,' not 'best rates in the market.'</w:t>
      </w:r>
    </w:p>
    <w:p>
      <w:pPr>
        <w:spacing w:after="80"/>
        <w:ind w:left="0"/>
      </w:pPr>
      <w:r>
        <w:rPr>
          <w:rFonts w:ascii="Arial" w:hAnsi="Arial"/>
          <w:b w:val="0"/>
          <w:sz w:val="22"/>
        </w:rPr>
        <w:t>Incorporating a market benchmarking step — even a lightweight one using AirDNA, OccupancyManager, or manually-entered comp set ADRs — would allow the onboarding analyst to sanity-check and adjust anchors before generating final draft rates.</w:t>
      </w:r>
    </w:p>
    <w:p>
      <w:pPr>
        <w:spacing w:before="80" w:after="80"/>
        <w:pBdr>
          <w:bottom w:val="single" w:sz="4" w:space="1" w:color="AAAAAA"/>
        </w:pBdr>
      </w:pPr>
    </w:p>
    <w:p>
      <w:pPr>
        <w:spacing w:before="280" w:after="80"/>
      </w:pPr>
      <w:r>
        <w:rPr>
          <w:rFonts w:ascii="Arial" w:hAnsi="Arial"/>
          <w:b/>
          <w:color w:val="00467F"/>
          <w:sz w:val="32"/>
        </w:rPr>
        <w:t>Summary</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F497D"/>
          </w:tcPr>
          <w:p>
            <w:r>
              <w:rPr>
                <w:rFonts w:ascii="Arial" w:hAnsi="Arial"/>
                <w:b/>
                <w:color w:val="FFFFFF"/>
                <w:sz w:val="20"/>
              </w:rPr>
              <w:t>#</w:t>
            </w:r>
          </w:p>
        </w:tc>
        <w:tc>
          <w:tcPr>
            <w:tcW w:type="dxa" w:w="2340"/>
            <w:shd w:val="clear" w:color="auto" w:fill="1F497D"/>
          </w:tcPr>
          <w:p>
            <w:r>
              <w:rPr>
                <w:rFonts w:ascii="Arial" w:hAnsi="Arial"/>
                <w:b/>
                <w:color w:val="FFFFFF"/>
                <w:sz w:val="20"/>
              </w:rPr>
              <w:t>Finding</w:t>
            </w:r>
          </w:p>
        </w:tc>
        <w:tc>
          <w:tcPr>
            <w:tcW w:type="dxa" w:w="2340"/>
            <w:shd w:val="clear" w:color="auto" w:fill="1F497D"/>
          </w:tcPr>
          <w:p>
            <w:r>
              <w:rPr>
                <w:rFonts w:ascii="Arial" w:hAnsi="Arial"/>
                <w:b/>
                <w:color w:val="FFFFFF"/>
                <w:sz w:val="20"/>
              </w:rPr>
              <w:t>Area</w:t>
            </w:r>
          </w:p>
        </w:tc>
        <w:tc>
          <w:tcPr>
            <w:tcW w:type="dxa" w:w="2340"/>
            <w:shd w:val="clear" w:color="auto" w:fill="1F497D"/>
          </w:tcPr>
          <w:p>
            <w:r>
              <w:rPr>
                <w:rFonts w:ascii="Arial" w:hAnsi="Arial"/>
                <w:b/>
                <w:color w:val="FFFFFF"/>
                <w:sz w:val="20"/>
              </w:rPr>
              <w:t>Priority</w:t>
            </w:r>
          </w:p>
        </w:tc>
      </w:tr>
      <w:tr>
        <w:tc>
          <w:tcPr>
            <w:tcW w:type="dxa" w:w="2340"/>
          </w:tcPr>
          <w:p>
            <w:r>
              <w:rPr>
                <w:rFonts w:ascii="Arial" w:hAnsi="Arial"/>
                <w:b/>
                <w:sz w:val="20"/>
              </w:rPr>
              <w:t>1</w:t>
            </w:r>
          </w:p>
        </w:tc>
        <w:tc>
          <w:tcPr>
            <w:tcW w:type="dxa" w:w="2340"/>
          </w:tcPr>
          <w:p>
            <w:r>
              <w:rPr>
                <w:rFonts w:ascii="Arial" w:hAnsi="Arial"/>
                <w:b w:val="0"/>
                <w:sz w:val="20"/>
              </w:rPr>
              <w:t>Additive pricing formula should be multiplicative</w:t>
            </w:r>
          </w:p>
        </w:tc>
        <w:tc>
          <w:tcPr>
            <w:tcW w:type="dxa" w:w="2340"/>
          </w:tcPr>
          <w:p>
            <w:r>
              <w:rPr>
                <w:rFonts w:ascii="Arial" w:hAnsi="Arial"/>
                <w:b w:val="0"/>
                <w:sz w:val="20"/>
              </w:rPr>
              <w:t>Pricing Logic</w:t>
            </w:r>
          </w:p>
        </w:tc>
        <w:tc>
          <w:tcPr>
            <w:tcW w:type="dxa" w:w="2340"/>
          </w:tcPr>
          <w:p>
            <w:r>
              <w:rPr>
                <w:rFonts w:ascii="Arial" w:hAnsi="Arial"/>
                <w:b/>
                <w:color w:val="C00000"/>
                <w:sz w:val="20"/>
              </w:rPr>
              <w:t>High</w:t>
            </w:r>
          </w:p>
        </w:tc>
      </w:tr>
      <w:tr>
        <w:tc>
          <w:tcPr>
            <w:tcW w:type="dxa" w:w="2340"/>
          </w:tcPr>
          <w:p>
            <w:r>
              <w:rPr>
                <w:rFonts w:ascii="Arial" w:hAnsi="Arial"/>
                <w:b/>
                <w:sz w:val="20"/>
              </w:rPr>
              <w:t>2</w:t>
            </w:r>
          </w:p>
        </w:tc>
        <w:tc>
          <w:tcPr>
            <w:tcW w:type="dxa" w:w="2340"/>
          </w:tcPr>
          <w:p>
            <w:r>
              <w:rPr>
                <w:rFonts w:ascii="Arial" w:hAnsi="Arial"/>
                <w:b w:val="0"/>
                <w:sz w:val="20"/>
              </w:rPr>
              <w:t>Season definitions hardcoded in two places</w:t>
            </w:r>
          </w:p>
        </w:tc>
        <w:tc>
          <w:tcPr>
            <w:tcW w:type="dxa" w:w="2340"/>
          </w:tcPr>
          <w:p>
            <w:r>
              <w:rPr>
                <w:rFonts w:ascii="Arial" w:hAnsi="Arial"/>
                <w:b w:val="0"/>
                <w:sz w:val="20"/>
              </w:rPr>
              <w:t>Architecture</w:t>
            </w:r>
          </w:p>
        </w:tc>
        <w:tc>
          <w:tcPr>
            <w:tcW w:type="dxa" w:w="2340"/>
          </w:tcPr>
          <w:p>
            <w:r>
              <w:rPr>
                <w:rFonts w:ascii="Arial" w:hAnsi="Arial"/>
                <w:b/>
                <w:color w:val="C58200"/>
                <w:sz w:val="20"/>
              </w:rPr>
              <w:t>Medium</w:t>
            </w:r>
          </w:p>
        </w:tc>
      </w:tr>
      <w:tr>
        <w:tc>
          <w:tcPr>
            <w:tcW w:type="dxa" w:w="2340"/>
          </w:tcPr>
          <w:p>
            <w:r>
              <w:rPr>
                <w:rFonts w:ascii="Arial" w:hAnsi="Arial"/>
                <w:b/>
                <w:sz w:val="20"/>
              </w:rPr>
              <w:t>3</w:t>
            </w:r>
          </w:p>
        </w:tc>
        <w:tc>
          <w:tcPr>
            <w:tcW w:type="dxa" w:w="2340"/>
          </w:tcPr>
          <w:p>
            <w:r>
              <w:rPr>
                <w:rFonts w:ascii="Arial" w:hAnsi="Arial"/>
                <w:b w:val="0"/>
                <w:sz w:val="20"/>
              </w:rPr>
              <w:t>Month hierarchy enforcement flattens natural dips</w:t>
            </w:r>
          </w:p>
        </w:tc>
        <w:tc>
          <w:tcPr>
            <w:tcW w:type="dxa" w:w="2340"/>
          </w:tcPr>
          <w:p>
            <w:r>
              <w:rPr>
                <w:rFonts w:ascii="Arial" w:hAnsi="Arial"/>
                <w:b w:val="0"/>
                <w:sz w:val="20"/>
              </w:rPr>
              <w:t>Pricing Logic</w:t>
            </w:r>
          </w:p>
        </w:tc>
        <w:tc>
          <w:tcPr>
            <w:tcW w:type="dxa" w:w="2340"/>
          </w:tcPr>
          <w:p>
            <w:r>
              <w:rPr>
                <w:rFonts w:ascii="Arial" w:hAnsi="Arial"/>
                <w:b/>
                <w:color w:val="C58200"/>
                <w:sz w:val="20"/>
              </w:rPr>
              <w:t>Medium</w:t>
            </w:r>
          </w:p>
        </w:tc>
      </w:tr>
      <w:tr>
        <w:tc>
          <w:tcPr>
            <w:tcW w:type="dxa" w:w="2340"/>
          </w:tcPr>
          <w:p>
            <w:r>
              <w:rPr>
                <w:rFonts w:ascii="Arial" w:hAnsi="Arial"/>
                <w:b/>
                <w:sz w:val="20"/>
              </w:rPr>
              <w:t>4</w:t>
            </w:r>
          </w:p>
        </w:tc>
        <w:tc>
          <w:tcPr>
            <w:tcW w:type="dxa" w:w="2340"/>
          </w:tcPr>
          <w:p>
            <w:r>
              <w:rPr>
                <w:rFonts w:ascii="Arial" w:hAnsi="Arial"/>
                <w:b w:val="0"/>
                <w:sz w:val="20"/>
              </w:rPr>
              <w:t>ADR bounds fallback logic is duplicated</w:t>
            </w:r>
          </w:p>
        </w:tc>
        <w:tc>
          <w:tcPr>
            <w:tcW w:type="dxa" w:w="2340"/>
          </w:tcPr>
          <w:p>
            <w:r>
              <w:rPr>
                <w:rFonts w:ascii="Arial" w:hAnsi="Arial"/>
                <w:b w:val="0"/>
                <w:sz w:val="20"/>
              </w:rPr>
              <w:t>Code Quality</w:t>
            </w:r>
          </w:p>
        </w:tc>
        <w:tc>
          <w:tcPr>
            <w:tcW w:type="dxa" w:w="2340"/>
          </w:tcPr>
          <w:p>
            <w:r>
              <w:rPr>
                <w:rFonts w:ascii="Arial" w:hAnsi="Arial"/>
                <w:b/>
                <w:color w:val="C58200"/>
                <w:sz w:val="20"/>
              </w:rPr>
              <w:t>Medium</w:t>
            </w:r>
          </w:p>
        </w:tc>
      </w:tr>
      <w:tr>
        <w:tc>
          <w:tcPr>
            <w:tcW w:type="dxa" w:w="2340"/>
          </w:tcPr>
          <w:p>
            <w:r>
              <w:rPr>
                <w:rFonts w:ascii="Arial" w:hAnsi="Arial"/>
                <w:b/>
                <w:sz w:val="20"/>
              </w:rPr>
              <w:t>5</w:t>
            </w:r>
          </w:p>
        </w:tc>
        <w:tc>
          <w:tcPr>
            <w:tcW w:type="dxa" w:w="2340"/>
          </w:tcPr>
          <w:p>
            <w:r>
              <w:rPr>
                <w:rFonts w:ascii="Arial" w:hAnsi="Arial"/>
                <w:b w:val="0"/>
                <w:sz w:val="20"/>
              </w:rPr>
              <w:t>Three event multipliers are 1.00 (no-ops)</w:t>
            </w:r>
          </w:p>
        </w:tc>
        <w:tc>
          <w:tcPr>
            <w:tcW w:type="dxa" w:w="2340"/>
          </w:tcPr>
          <w:p>
            <w:r>
              <w:rPr>
                <w:rFonts w:ascii="Arial" w:hAnsi="Arial"/>
                <w:b w:val="0"/>
                <w:sz w:val="20"/>
              </w:rPr>
              <w:t>Config</w:t>
            </w:r>
          </w:p>
        </w:tc>
        <w:tc>
          <w:tcPr>
            <w:tcW w:type="dxa" w:w="2340"/>
          </w:tcPr>
          <w:p>
            <w:r>
              <w:rPr>
                <w:rFonts w:ascii="Arial" w:hAnsi="Arial"/>
                <w:b/>
                <w:color w:val="4472C4"/>
                <w:sz w:val="20"/>
              </w:rPr>
              <w:t>Low</w:t>
            </w:r>
          </w:p>
        </w:tc>
      </w:tr>
      <w:tr>
        <w:tc>
          <w:tcPr>
            <w:tcW w:type="dxa" w:w="2340"/>
          </w:tcPr>
          <w:p>
            <w:r>
              <w:rPr>
                <w:rFonts w:ascii="Arial" w:hAnsi="Arial"/>
                <w:b/>
                <w:sz w:val="20"/>
              </w:rPr>
              <w:t>6</w:t>
            </w:r>
          </w:p>
        </w:tc>
        <w:tc>
          <w:tcPr>
            <w:tcW w:type="dxa" w:w="2340"/>
          </w:tcPr>
          <w:p>
            <w:r>
              <w:rPr>
                <w:rFonts w:ascii="Arial" w:hAnsi="Arial"/>
                <w:b w:val="0"/>
                <w:sz w:val="20"/>
              </w:rPr>
              <w:t>Partially-paid reservations silently excluded</w:t>
            </w:r>
          </w:p>
        </w:tc>
        <w:tc>
          <w:tcPr>
            <w:tcW w:type="dxa" w:w="2340"/>
          </w:tcPr>
          <w:p>
            <w:r>
              <w:rPr>
                <w:rFonts w:ascii="Arial" w:hAnsi="Arial"/>
                <w:b w:val="0"/>
                <w:sz w:val="20"/>
              </w:rPr>
              <w:t>Data Quality</w:t>
            </w:r>
          </w:p>
        </w:tc>
        <w:tc>
          <w:tcPr>
            <w:tcW w:type="dxa" w:w="2340"/>
          </w:tcPr>
          <w:p>
            <w:r>
              <w:rPr>
                <w:rFonts w:ascii="Arial" w:hAnsi="Arial"/>
                <w:b/>
                <w:color w:val="C58200"/>
                <w:sz w:val="20"/>
              </w:rPr>
              <w:t>Medium</w:t>
            </w:r>
          </w:p>
        </w:tc>
      </w:tr>
      <w:tr>
        <w:tc>
          <w:tcPr>
            <w:tcW w:type="dxa" w:w="2340"/>
          </w:tcPr>
          <w:p>
            <w:r>
              <w:rPr>
                <w:rFonts w:ascii="Arial" w:hAnsi="Arial"/>
                <w:b/>
                <w:sz w:val="20"/>
              </w:rPr>
              <w:t>7</w:t>
            </w:r>
          </w:p>
        </w:tc>
        <w:tc>
          <w:tcPr>
            <w:tcW w:type="dxa" w:w="2340"/>
          </w:tcPr>
          <w:p>
            <w:r>
              <w:rPr>
                <w:rFonts w:ascii="Arial" w:hAnsi="Arial"/>
                <w:b w:val="0"/>
                <w:sz w:val="20"/>
              </w:rPr>
              <w:t>No length-of-stay (LOS) pricing dimension</w:t>
            </w:r>
          </w:p>
        </w:tc>
        <w:tc>
          <w:tcPr>
            <w:tcW w:type="dxa" w:w="2340"/>
          </w:tcPr>
          <w:p>
            <w:r>
              <w:rPr>
                <w:rFonts w:ascii="Arial" w:hAnsi="Arial"/>
                <w:b w:val="0"/>
                <w:sz w:val="20"/>
              </w:rPr>
              <w:t>Pricing Model</w:t>
            </w:r>
          </w:p>
        </w:tc>
        <w:tc>
          <w:tcPr>
            <w:tcW w:type="dxa" w:w="2340"/>
          </w:tcPr>
          <w:p>
            <w:r>
              <w:rPr>
                <w:rFonts w:ascii="Arial" w:hAnsi="Arial"/>
                <w:b/>
                <w:color w:val="C58200"/>
                <w:sz w:val="20"/>
              </w:rPr>
              <w:t>Medium</w:t>
            </w:r>
          </w:p>
        </w:tc>
      </w:tr>
      <w:tr>
        <w:tc>
          <w:tcPr>
            <w:tcW w:type="dxa" w:w="2340"/>
          </w:tcPr>
          <w:p>
            <w:r>
              <w:rPr>
                <w:rFonts w:ascii="Arial" w:hAnsi="Arial"/>
                <w:b/>
                <w:sz w:val="20"/>
              </w:rPr>
              <w:t>8</w:t>
            </w:r>
          </w:p>
        </w:tc>
        <w:tc>
          <w:tcPr>
            <w:tcW w:type="dxa" w:w="2340"/>
          </w:tcPr>
          <w:p>
            <w:r>
              <w:rPr>
                <w:rFonts w:ascii="Arial" w:hAnsi="Arial"/>
                <w:b w:val="0"/>
                <w:sz w:val="20"/>
              </w:rPr>
              <w:t>No market/competitive benchmarking input</w:t>
            </w:r>
          </w:p>
        </w:tc>
        <w:tc>
          <w:tcPr>
            <w:tcW w:type="dxa" w:w="2340"/>
          </w:tcPr>
          <w:p>
            <w:r>
              <w:rPr>
                <w:rFonts w:ascii="Arial" w:hAnsi="Arial"/>
                <w:b w:val="0"/>
                <w:sz w:val="20"/>
              </w:rPr>
              <w:t>Business Logic</w:t>
            </w:r>
          </w:p>
        </w:tc>
        <w:tc>
          <w:tcPr>
            <w:tcW w:type="dxa" w:w="2340"/>
          </w:tcPr>
          <w:p>
            <w:r>
              <w:rPr>
                <w:rFonts w:ascii="Arial" w:hAnsi="Arial"/>
                <w:b/>
                <w:color w:val="4472C4"/>
                <w:sz w:val="20"/>
              </w:rPr>
              <w:t>Low</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