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040"/>
        <w:gridCol w:w="5040"/>
      </w:tblGrid>
      <w:tr>
        <w:tc>
          <w:tcPr>
            <w:tcW w:type="dxa" w:w="8352"/>
            <w:shd w:fill="1A1F2B" w:color="auto"/>
            <w:tcMar>
              <w:top w:w="120" w:type="dxa"/>
              <w:start w:w="150" w:type="dxa"/>
              <w:bottom w:w="120" w:type="dxa"/>
              <w:end w:w="150" w:type="dxa"/>
            </w:tcMar>
            <w:tcBorders>
              <w:left w:sz="0" w:val="single" w:color="FFFFFF"/>
              <w:top w:sz="0" w:val="single" w:color="FFFFFF"/>
              <w:right w:sz="0" w:val="single" w:color="FFFFFF"/>
              <w:bottom w:sz="0" w:val="single" w:color="FFFFFF"/>
            </w:tcBorders>
          </w:tcPr>
          <w:p>
            <w:pPr>
              <w:spacing w:after="0"/>
            </w:pPr>
            <w:r>
              <w:rPr>
                <w:rFonts w:ascii="Calibri" w:hAnsi="Calibri"/>
                <w:b/>
                <w:i w:val="0"/>
                <w:color w:val="FFFFFF"/>
                <w:sz w:val="40"/>
              </w:rPr>
              <w:t>Halo Forge Prototype Overview</w:t>
              <w:br/>
            </w:r>
            <w:r>
              <w:rPr>
                <w:rFonts w:ascii="Calibri" w:hAnsi="Calibri"/>
                <w:b w:val="0"/>
                <w:i w:val="0"/>
                <w:color w:val="E5EBF0"/>
                <w:sz w:val="21"/>
              </w:rPr>
              <w:t>Architecture, interaction model, and reuse guide for Halo Forge: Create &amp; Publish Halo Knowledge Articles</w:t>
            </w:r>
          </w:p>
          <w:p>
            <w:pPr>
              <w:spacing w:after="0"/>
            </w:pPr>
            <w:r>
              <w:rPr>
                <w:rFonts w:ascii="Calibri" w:hAnsi="Calibri"/>
                <w:b w:val="0"/>
                <w:i/>
                <w:color w:val="D9E1E8"/>
                <w:sz w:val="18"/>
              </w:rPr>
              <w:t>Prepared as a handoff/reference document for future internal tool prototypes</w:t>
            </w:r>
          </w:p>
        </w:tc>
        <w:tc>
          <w:tcPr>
            <w:tcW w:type="dxa" w:w="2304"/>
            <w:shd w:fill="FFFFFF" w:color="auto"/>
            <w:tcMar>
              <w:top w:w="60" w:type="dxa"/>
              <w:start w:w="60" w:type="dxa"/>
              <w:bottom w:w="60" w:type="dxa"/>
              <w:end w:w="60" w:type="dxa"/>
            </w:tcMar>
            <w:tcBorders>
              <w:left w:sz="0" w:val="single" w:color="FFFFFF"/>
              <w:top w:sz="0" w:val="single" w:color="FFFFFF"/>
              <w:right w:sz="0" w:val="single" w:color="FFFFFF"/>
              <w:bottom w:sz="0" w:val="single" w:color="FFFFFF"/>
            </w:tcBorders>
          </w:tcPr>
          <w:p>
            <w:pPr>
              <w:jc w:val="right"/>
            </w:pPr>
            <w:r>
              <w:drawing>
                <wp:inline xmlns:a="http://schemas.openxmlformats.org/drawingml/2006/main" xmlns:pic="http://schemas.openxmlformats.org/drawingml/2006/picture">
                  <wp:extent cx="1143000" cy="251706"/>
                  <wp:docPr id="1" name="Picture 1"/>
                  <wp:cNvGraphicFramePr>
                    <a:graphicFrameLocks noChangeAspect="1"/>
                  </wp:cNvGraphicFramePr>
                  <a:graphic>
                    <a:graphicData uri="http://schemas.openxmlformats.org/drawingml/2006/picture">
                      <pic:pic>
                        <pic:nvPicPr>
                          <pic:cNvPr id="0" name="YorkULogo_DIGITAL_Hor_RGB.png"/>
                          <pic:cNvPicPr/>
                        </pic:nvPicPr>
                        <pic:blipFill>
                          <a:blip r:embed="rId10"/>
                          <a:stretch>
                            <a:fillRect/>
                          </a:stretch>
                        </pic:blipFill>
                        <pic:spPr>
                          <a:xfrm>
                            <a:off x="0" y="0"/>
                            <a:ext cx="1143000" cy="251706"/>
                          </a:xfrm>
                          <a:prstGeom prst="rect"/>
                        </pic:spPr>
                      </pic:pic>
                    </a:graphicData>
                  </a:graphic>
                </wp:inline>
              </w:drawing>
            </w:r>
          </w:p>
        </w:tc>
      </w:tr>
    </w:tbl>
    <w:p>
      <w:pPr>
        <w:spacing w:after="80"/>
      </w:pPr>
    </w:p>
    <w:tbl>
      <w:tblPr>
        <w:tblW w:type="auto" w:w="0"/>
        <w:jc w:val="center"/>
        <w:tblLook w:firstColumn="1" w:firstRow="1" w:lastColumn="0" w:lastRow="0" w:noHBand="0" w:noVBand="1" w:val="04A0"/>
      </w:tblPr>
      <w:tblGrid>
        <w:gridCol w:w="10080"/>
      </w:tblGrid>
      <w:tr>
        <w:tc>
          <w:tcPr>
            <w:tcW w:type="dxa" w:w="10080"/>
            <w:shd w:fill="F8F4F2" w:color="auto"/>
            <w:tcBorders>
              <w:left w:sz="10" w:val="single" w:color="810001"/>
              <w:top w:sz="10" w:val="single" w:color="810001"/>
              <w:right w:sz="10" w:val="single" w:color="810001"/>
              <w:bottom w:sz="10" w:val="single" w:color="810001"/>
            </w:tcBorders>
            <w:tcMar>
              <w:top w:w="110" w:type="dxa"/>
              <w:start w:w="140" w:type="dxa"/>
              <w:bottom w:w="110" w:type="dxa"/>
              <w:end w:w="140" w:type="dxa"/>
            </w:tcMar>
          </w:tcPr>
          <w:p>
            <w:pPr>
              <w:spacing w:after="40"/>
            </w:pPr>
            <w:r>
              <w:rPr>
                <w:rFonts w:ascii="Calibri" w:hAnsi="Calibri"/>
                <w:b/>
                <w:i w:val="0"/>
                <w:color w:val="810001"/>
                <w:sz w:val="21"/>
              </w:rPr>
              <w:t>What this document is</w:t>
            </w:r>
          </w:p>
          <w:p>
            <w:pPr>
              <w:spacing w:after="0"/>
            </w:pPr>
            <w:r>
              <w:rPr>
                <w:rFonts w:ascii="Calibri" w:hAnsi="Calibri"/>
                <w:b w:val="0"/>
                <w:i w:val="0"/>
                <w:color w:val="212529"/>
                <w:sz w:val="20"/>
              </w:rPr>
              <w:t>This is a plain-language explanation of the Halo Forge prototype: what it does, how it was produced, how the current single-file HTML prototype is structured, and how the same pattern can be reused for future internal tools or workflow pages.</w:t>
            </w:r>
          </w:p>
        </w:tc>
      </w:tr>
    </w:tbl>
    <w:p>
      <w:pPr>
        <w:spacing w:after="40"/>
      </w:pPr>
    </w:p>
    <w:p>
      <w:pPr>
        <w:spacing w:before="280" w:after="120"/>
      </w:pPr>
      <w:r>
        <w:rPr>
          <w:rFonts w:ascii="Calibri" w:hAnsi="Calibri"/>
          <w:b/>
          <w:i w:val="0"/>
          <w:color w:val="003366"/>
          <w:sz w:val="28"/>
        </w:rPr>
        <w:t>1. Executive summary</w:t>
      </w:r>
    </w:p>
    <w:p>
      <w:pPr>
        <w:spacing w:before="0" w:after="120" w:line="276" w:lineRule="auto"/>
      </w:pPr>
      <w:r>
        <w:rPr>
          <w:rFonts w:ascii="Calibri" w:hAnsi="Calibri"/>
          <w:b w:val="0"/>
          <w:i w:val="0"/>
          <w:color w:val="212529"/>
          <w:sz w:val="21"/>
        </w:rPr>
        <w:t>Halo Forge is a desktop-focused internal prototype for creating Halo-style knowledge base articles from uploaded or pasted source material. It lets a user assemble a saved batch of source content, generate article drafts, review and edit those drafts in a Halo-inspired form, and simulate publication in a clear four-step workflow.</w:t>
      </w:r>
    </w:p>
    <w:p>
      <w:pPr>
        <w:spacing w:before="0" w:after="120" w:line="276" w:lineRule="auto"/>
      </w:pPr>
      <w:r>
        <w:rPr>
          <w:rFonts w:ascii="Calibri" w:hAnsi="Calibri"/>
          <w:b w:val="0"/>
          <w:i w:val="0"/>
          <w:color w:val="212529"/>
          <w:sz w:val="21"/>
        </w:rPr>
        <w:t>The current artifact is intentionally a prototype, not a production application. It uses a single HTML file, Bootstrap 5, embedded CSS, vanilla JavaScript, mock generation behaviour, and browser localStorage to simulate persistence. It is meant to prove interaction design, information architecture, state behaviour, and visual direction before any real service integration is attempted.</w:t>
      </w:r>
    </w:p>
    <w:tbl>
      <w:tblPr>
        <w:tblW w:type="auto" w:w="0"/>
        <w:jc w:val="center"/>
        <w:tblLayout w:type="fixed"/>
        <w:tblLook w:firstColumn="1" w:firstRow="1" w:lastColumn="0" w:lastRow="0" w:noHBand="0" w:noVBand="1" w:val="04A0"/>
      </w:tblPr>
      <w:tblGrid>
        <w:gridCol w:w="5040"/>
        <w:gridCol w:w="5040"/>
      </w:tblGrid>
      <w:tr>
        <w:tc>
          <w:tcPr>
            <w:tcW w:type="dxa" w:w="2448"/>
            <w:tcMar>
              <w:top w:w="85" w:type="dxa"/>
              <w:start w:w="110" w:type="dxa"/>
              <w:bottom w:w="85" w:type="dxa"/>
              <w:end w:w="110" w:type="dxa"/>
            </w:tcMar>
            <w:vAlign w:val="center"/>
            <w:tcBorders>
              <w:left w:sz="6" w:val="single" w:color="D9D3D0"/>
              <w:top w:sz="6" w:val="single" w:color="D9D3D0"/>
              <w:right w:sz="6" w:val="single" w:color="D9D3D0"/>
              <w:bottom w:sz="6" w:val="single" w:color="D9D3D0"/>
            </w:tcBorders>
            <w:shd w:fill="EEE8E5" w:color="auto"/>
          </w:tcPr>
          <w:p>
            <w:r>
              <w:rPr>
                <w:rFonts w:ascii="Calibri" w:hAnsi="Calibri"/>
                <w:b/>
                <w:i w:val="0"/>
                <w:color w:val="1A1F2B"/>
                <w:sz w:val="20"/>
              </w:rPr>
              <w:t>Prototype name</w:t>
            </w:r>
          </w:p>
        </w:tc>
        <w:tc>
          <w:tcPr>
            <w:tcW w:type="dxa" w:w="7056"/>
            <w:tcMar>
              <w:top w:w="85" w:type="dxa"/>
              <w:start w:w="110" w:type="dxa"/>
              <w:bottom w:w="85" w:type="dxa"/>
              <w:end w:w="110" w:type="dxa"/>
            </w:tcMar>
            <w:vAlign w:val="center"/>
            <w:tcBorders>
              <w:left w:sz="6" w:val="single" w:color="D9D3D0"/>
              <w:top w:sz="6" w:val="single" w:color="D9D3D0"/>
              <w:right w:sz="6" w:val="single" w:color="D9D3D0"/>
              <w:bottom w:sz="6" w:val="single" w:color="D9D3D0"/>
            </w:tcBorders>
          </w:tcPr>
          <w:p>
            <w:r>
              <w:rPr>
                <w:rFonts w:ascii="Calibri" w:hAnsi="Calibri"/>
                <w:b w:val="0"/>
                <w:i w:val="0"/>
                <w:color w:val="212529"/>
                <w:sz w:val="21"/>
              </w:rPr>
              <w:t>Halo Forge: Create &amp; Publish Halo Knowledge Articles</w:t>
            </w:r>
          </w:p>
        </w:tc>
      </w:tr>
      <w:tr>
        <w:tc>
          <w:tcPr>
            <w:tcW w:type="dxa" w:w="2448"/>
            <w:tcMar>
              <w:top w:w="85" w:type="dxa"/>
              <w:start w:w="110" w:type="dxa"/>
              <w:bottom w:w="85" w:type="dxa"/>
              <w:end w:w="110" w:type="dxa"/>
            </w:tcMar>
            <w:vAlign w:val="center"/>
            <w:tcBorders>
              <w:left w:sz="6" w:val="single" w:color="D9D3D0"/>
              <w:top w:sz="6" w:val="single" w:color="D9D3D0"/>
              <w:right w:sz="6" w:val="single" w:color="D9D3D0"/>
              <w:bottom w:sz="6" w:val="single" w:color="D9D3D0"/>
            </w:tcBorders>
            <w:shd w:fill="EEE8E5" w:color="auto"/>
          </w:tcPr>
          <w:p>
            <w:r>
              <w:rPr>
                <w:rFonts w:ascii="Calibri" w:hAnsi="Calibri"/>
                <w:b/>
                <w:i w:val="0"/>
                <w:color w:val="1A1F2B"/>
                <w:sz w:val="20"/>
              </w:rPr>
              <w:t>Primary purpose</w:t>
            </w:r>
          </w:p>
        </w:tc>
        <w:tc>
          <w:tcPr>
            <w:tcW w:type="dxa" w:w="7056"/>
            <w:tcMar>
              <w:top w:w="85" w:type="dxa"/>
              <w:start w:w="110" w:type="dxa"/>
              <w:bottom w:w="85" w:type="dxa"/>
              <w:end w:w="110" w:type="dxa"/>
            </w:tcMar>
            <w:vAlign w:val="center"/>
            <w:tcBorders>
              <w:left w:sz="6" w:val="single" w:color="D9D3D0"/>
              <w:top w:sz="6" w:val="single" w:color="D9D3D0"/>
              <w:right w:sz="6" w:val="single" w:color="D9D3D0"/>
              <w:bottom w:sz="6" w:val="single" w:color="D9D3D0"/>
            </w:tcBorders>
          </w:tcPr>
          <w:p>
            <w:r>
              <w:rPr>
                <w:rFonts w:ascii="Calibri" w:hAnsi="Calibri"/>
                <w:b w:val="0"/>
                <w:i w:val="0"/>
                <w:color w:val="212529"/>
                <w:sz w:val="21"/>
              </w:rPr>
              <w:t>Turn source material into editable Halo-style KB article drafts and support a simple review/publish workflow.</w:t>
            </w:r>
          </w:p>
        </w:tc>
      </w:tr>
      <w:tr>
        <w:tc>
          <w:tcPr>
            <w:tcW w:type="dxa" w:w="2448"/>
            <w:tcMar>
              <w:top w:w="85" w:type="dxa"/>
              <w:start w:w="110" w:type="dxa"/>
              <w:bottom w:w="85" w:type="dxa"/>
              <w:end w:w="110" w:type="dxa"/>
            </w:tcMar>
            <w:vAlign w:val="center"/>
            <w:tcBorders>
              <w:left w:sz="6" w:val="single" w:color="D9D3D0"/>
              <w:top w:sz="6" w:val="single" w:color="D9D3D0"/>
              <w:right w:sz="6" w:val="single" w:color="D9D3D0"/>
              <w:bottom w:sz="6" w:val="single" w:color="D9D3D0"/>
            </w:tcBorders>
            <w:shd w:fill="EEE8E5" w:color="auto"/>
          </w:tcPr>
          <w:p>
            <w:r>
              <w:rPr>
                <w:rFonts w:ascii="Calibri" w:hAnsi="Calibri"/>
                <w:b/>
                <w:i w:val="0"/>
                <w:color w:val="1A1F2B"/>
                <w:sz w:val="20"/>
              </w:rPr>
              <w:t>Build approach</w:t>
            </w:r>
          </w:p>
        </w:tc>
        <w:tc>
          <w:tcPr>
            <w:tcW w:type="dxa" w:w="7056"/>
            <w:tcMar>
              <w:top w:w="85" w:type="dxa"/>
              <w:start w:w="110" w:type="dxa"/>
              <w:bottom w:w="85" w:type="dxa"/>
              <w:end w:w="110" w:type="dxa"/>
            </w:tcMar>
            <w:vAlign w:val="center"/>
            <w:tcBorders>
              <w:left w:sz="6" w:val="single" w:color="D9D3D0"/>
              <w:top w:sz="6" w:val="single" w:color="D9D3D0"/>
              <w:right w:sz="6" w:val="single" w:color="D9D3D0"/>
              <w:bottom w:sz="6" w:val="single" w:color="D9D3D0"/>
            </w:tcBorders>
          </w:tcPr>
          <w:p>
            <w:r>
              <w:rPr>
                <w:rFonts w:ascii="Calibri" w:hAnsi="Calibri"/>
                <w:b w:val="0"/>
                <w:i w:val="0"/>
                <w:color w:val="212529"/>
                <w:sz w:val="21"/>
              </w:rPr>
              <w:t>Prompt-driven, iterative front-end prototyping in ChatGPT with repeated HTML revisions based on annotated screenshots and UX feedback.</w:t>
            </w:r>
          </w:p>
        </w:tc>
      </w:tr>
      <w:tr>
        <w:tc>
          <w:tcPr>
            <w:tcW w:type="dxa" w:w="2448"/>
            <w:tcMar>
              <w:top w:w="85" w:type="dxa"/>
              <w:start w:w="110" w:type="dxa"/>
              <w:bottom w:w="85" w:type="dxa"/>
              <w:end w:w="110" w:type="dxa"/>
            </w:tcMar>
            <w:vAlign w:val="center"/>
            <w:tcBorders>
              <w:left w:sz="6" w:val="single" w:color="D9D3D0"/>
              <w:top w:sz="6" w:val="single" w:color="D9D3D0"/>
              <w:right w:sz="6" w:val="single" w:color="D9D3D0"/>
              <w:bottom w:sz="6" w:val="single" w:color="D9D3D0"/>
            </w:tcBorders>
            <w:shd w:fill="EEE8E5" w:color="auto"/>
          </w:tcPr>
          <w:p>
            <w:r>
              <w:rPr>
                <w:rFonts w:ascii="Calibri" w:hAnsi="Calibri"/>
                <w:b/>
                <w:i w:val="0"/>
                <w:color w:val="1A1F2B"/>
                <w:sz w:val="20"/>
              </w:rPr>
              <w:t>Runtime model</w:t>
            </w:r>
          </w:p>
        </w:tc>
        <w:tc>
          <w:tcPr>
            <w:tcW w:type="dxa" w:w="7056"/>
            <w:tcMar>
              <w:top w:w="85" w:type="dxa"/>
              <w:start w:w="110" w:type="dxa"/>
              <w:bottom w:w="85" w:type="dxa"/>
              <w:end w:w="110" w:type="dxa"/>
            </w:tcMar>
            <w:vAlign w:val="center"/>
            <w:tcBorders>
              <w:left w:sz="6" w:val="single" w:color="D9D3D0"/>
              <w:top w:sz="6" w:val="single" w:color="D9D3D0"/>
              <w:right w:sz="6" w:val="single" w:color="D9D3D0"/>
              <w:bottom w:sz="6" w:val="single" w:color="D9D3D0"/>
            </w:tcBorders>
          </w:tcPr>
          <w:p>
            <w:r>
              <w:rPr>
                <w:rFonts w:ascii="Calibri" w:hAnsi="Calibri"/>
                <w:b w:val="0"/>
                <w:i w:val="0"/>
                <w:color w:val="212529"/>
                <w:sz w:val="21"/>
              </w:rPr>
              <w:t>Single HTML file with embedded CSS and JavaScript; no build tools; no backend dependency.</w:t>
            </w:r>
          </w:p>
        </w:tc>
      </w:tr>
      <w:tr>
        <w:tc>
          <w:tcPr>
            <w:tcW w:type="dxa" w:w="2448"/>
            <w:tcMar>
              <w:top w:w="85" w:type="dxa"/>
              <w:start w:w="110" w:type="dxa"/>
              <w:bottom w:w="85" w:type="dxa"/>
              <w:end w:w="110" w:type="dxa"/>
            </w:tcMar>
            <w:vAlign w:val="center"/>
            <w:tcBorders>
              <w:left w:sz="6" w:val="single" w:color="D9D3D0"/>
              <w:top w:sz="6" w:val="single" w:color="D9D3D0"/>
              <w:right w:sz="6" w:val="single" w:color="D9D3D0"/>
              <w:bottom w:sz="6" w:val="single" w:color="D9D3D0"/>
            </w:tcBorders>
            <w:shd w:fill="EEE8E5" w:color="auto"/>
          </w:tcPr>
          <w:p>
            <w:r>
              <w:rPr>
                <w:rFonts w:ascii="Calibri" w:hAnsi="Calibri"/>
                <w:b/>
                <w:i w:val="0"/>
                <w:color w:val="1A1F2B"/>
                <w:sz w:val="20"/>
              </w:rPr>
              <w:t>Persistence model</w:t>
            </w:r>
          </w:p>
        </w:tc>
        <w:tc>
          <w:tcPr>
            <w:tcW w:type="dxa" w:w="7056"/>
            <w:tcMar>
              <w:top w:w="85" w:type="dxa"/>
              <w:start w:w="110" w:type="dxa"/>
              <w:bottom w:w="85" w:type="dxa"/>
              <w:end w:w="110" w:type="dxa"/>
            </w:tcMar>
            <w:vAlign w:val="center"/>
            <w:tcBorders>
              <w:left w:sz="6" w:val="single" w:color="D9D3D0"/>
              <w:top w:sz="6" w:val="single" w:color="D9D3D0"/>
              <w:right w:sz="6" w:val="single" w:color="D9D3D0"/>
              <w:bottom w:sz="6" w:val="single" w:color="D9D3D0"/>
            </w:tcBorders>
          </w:tcPr>
          <w:p>
            <w:r>
              <w:rPr>
                <w:rFonts w:ascii="Calibri" w:hAnsi="Calibri"/>
                <w:b w:val="0"/>
                <w:i w:val="0"/>
                <w:color w:val="212529"/>
                <w:sz w:val="21"/>
              </w:rPr>
              <w:t>Browser localStorage for saved batches, selected items, and simulated return-to-work behaviour.</w:t>
            </w:r>
          </w:p>
        </w:tc>
      </w:tr>
      <w:tr>
        <w:tc>
          <w:tcPr>
            <w:tcW w:type="dxa" w:w="2448"/>
            <w:tcMar>
              <w:top w:w="85" w:type="dxa"/>
              <w:start w:w="110" w:type="dxa"/>
              <w:bottom w:w="85" w:type="dxa"/>
              <w:end w:w="110" w:type="dxa"/>
            </w:tcMar>
            <w:vAlign w:val="center"/>
            <w:tcBorders>
              <w:left w:sz="6" w:val="single" w:color="D9D3D0"/>
              <w:top w:sz="6" w:val="single" w:color="D9D3D0"/>
              <w:right w:sz="6" w:val="single" w:color="D9D3D0"/>
              <w:bottom w:sz="6" w:val="single" w:color="D9D3D0"/>
            </w:tcBorders>
            <w:shd w:fill="EEE8E5" w:color="auto"/>
          </w:tcPr>
          <w:p>
            <w:r>
              <w:rPr>
                <w:rFonts w:ascii="Calibri" w:hAnsi="Calibri"/>
                <w:b/>
                <w:i w:val="0"/>
                <w:color w:val="1A1F2B"/>
                <w:sz w:val="20"/>
              </w:rPr>
              <w:t>Intended use</w:t>
            </w:r>
          </w:p>
        </w:tc>
        <w:tc>
          <w:tcPr>
            <w:tcW w:type="dxa" w:w="7056"/>
            <w:tcMar>
              <w:top w:w="85" w:type="dxa"/>
              <w:start w:w="110" w:type="dxa"/>
              <w:bottom w:w="85" w:type="dxa"/>
              <w:end w:w="110" w:type="dxa"/>
            </w:tcMar>
            <w:vAlign w:val="center"/>
            <w:tcBorders>
              <w:left w:sz="6" w:val="single" w:color="D9D3D0"/>
              <w:top w:sz="6" w:val="single" w:color="D9D3D0"/>
              <w:right w:sz="6" w:val="single" w:color="D9D3D0"/>
              <w:bottom w:sz="6" w:val="single" w:color="D9D3D0"/>
            </w:tcBorders>
          </w:tcPr>
          <w:p>
            <w:r>
              <w:rPr>
                <w:rFonts w:ascii="Calibri" w:hAnsi="Calibri"/>
                <w:b w:val="0"/>
                <w:i w:val="0"/>
                <w:color w:val="212529"/>
                <w:sz w:val="21"/>
              </w:rPr>
              <w:t>Design validation, developer handoff, stakeholder review, and reuse as a scaffold for similar internal tool pages.</w:t>
            </w:r>
          </w:p>
        </w:tc>
      </w:tr>
    </w:tbl>
    <w:p>
      <w:pPr>
        <w:spacing w:after="0"/>
      </w:pPr>
    </w:p>
    <w:p>
      <w:pPr>
        <w:spacing w:before="280" w:after="120"/>
      </w:pPr>
      <w:r>
        <w:rPr>
          <w:rFonts w:ascii="Calibri" w:hAnsi="Calibri"/>
          <w:b/>
          <w:i w:val="0"/>
          <w:color w:val="003366"/>
          <w:sz w:val="28"/>
        </w:rPr>
        <w:t>2. What built this</w:t>
      </w:r>
    </w:p>
    <w:p>
      <w:pPr>
        <w:spacing w:before="0" w:after="120" w:line="276" w:lineRule="auto"/>
      </w:pPr>
      <w:r>
        <w:rPr>
          <w:rFonts w:ascii="Calibri" w:hAnsi="Calibri"/>
          <w:b w:val="0"/>
          <w:i w:val="0"/>
          <w:color w:val="212529"/>
          <w:sz w:val="21"/>
        </w:rPr>
        <w:t>This prototype was built through an iterative AI-assisted front-end design loop. In practice, that means the starting point was a detailed functional brief, and the interface was then revised in successive passes based on direct user feedback, screenshots, and visual markup. Each round narrowed the gap between a generic prototype and the final Halo/YorkU-specific workflow.</w:t>
      </w:r>
    </w:p>
    <w:p>
      <w:pPr>
        <w:pStyle w:val="ListBullet"/>
        <w:spacing w:after="40"/>
        <w:ind w:left="216"/>
      </w:pPr>
      <w:r>
        <w:rPr>
          <w:rFonts w:ascii="Calibri" w:hAnsi="Calibri"/>
          <w:b w:val="0"/>
          <w:i w:val="0"/>
          <w:color w:val="212529"/>
          <w:sz w:val="20"/>
        </w:rPr>
        <w:t>Pass 1 established the core desktop shell, saved batch model, source upload area, generated article concept, and local mock persistence.</w:t>
      </w:r>
    </w:p>
    <w:p>
      <w:pPr>
        <w:pStyle w:val="ListBullet"/>
        <w:spacing w:after="40"/>
        <w:ind w:left="216"/>
      </w:pPr>
      <w:r>
        <w:rPr>
          <w:rFonts w:ascii="Calibri" w:hAnsi="Calibri"/>
          <w:b w:val="0"/>
          <w:i w:val="0"/>
          <w:color w:val="212529"/>
          <w:sz w:val="20"/>
        </w:rPr>
        <w:t>Pass 2 simplified the interaction model and removed unnecessary validation gates and extra admin-style chrome.</w:t>
      </w:r>
    </w:p>
    <w:p>
      <w:pPr>
        <w:pStyle w:val="ListBullet"/>
        <w:spacing w:after="40"/>
        <w:ind w:left="216"/>
      </w:pPr>
      <w:r>
        <w:rPr>
          <w:rFonts w:ascii="Calibri" w:hAnsi="Calibri"/>
          <w:b w:val="0"/>
          <w:i w:val="0"/>
          <w:color w:val="212529"/>
          <w:sz w:val="20"/>
        </w:rPr>
        <w:t>Pass 3 reshaped the article editing experience to mirror Halo more closely, including the field set and rich text editing surface.</w:t>
      </w:r>
    </w:p>
    <w:p>
      <w:pPr>
        <w:pStyle w:val="ListBullet"/>
        <w:spacing w:after="40"/>
        <w:ind w:left="216"/>
      </w:pPr>
      <w:r>
        <w:rPr>
          <w:rFonts w:ascii="Calibri" w:hAnsi="Calibri"/>
          <w:b w:val="0"/>
          <w:i w:val="0"/>
          <w:color w:val="212529"/>
          <w:sz w:val="20"/>
        </w:rPr>
        <w:t>Pass 4 clarified the mental model by separating batches from article drafts and simplifying the workflow to Source → Articles → Review Articles → Publish.</w:t>
      </w:r>
    </w:p>
    <w:p>
      <w:pPr>
        <w:pStyle w:val="ListBullet"/>
        <w:spacing w:after="40"/>
        <w:ind w:left="216"/>
      </w:pPr>
      <w:r>
        <w:rPr>
          <w:rFonts w:ascii="Calibri" w:hAnsi="Calibri"/>
          <w:b w:val="0"/>
          <w:i w:val="0"/>
          <w:color w:val="212529"/>
          <w:sz w:val="20"/>
        </w:rPr>
        <w:t>Pass 5 applied YorkU visual branding, tuned status colours, and refined sidebar actions, article locking, and publication behaviour.</w:t>
      </w:r>
    </w:p>
    <w:tbl>
      <w:tblPr>
        <w:tblW w:type="auto" w:w="0"/>
        <w:jc w:val="center"/>
        <w:tblLook w:firstColumn="1" w:firstRow="1" w:lastColumn="0" w:lastRow="0" w:noHBand="0" w:noVBand="1" w:val="04A0"/>
      </w:tblPr>
      <w:tblGrid>
        <w:gridCol w:w="10080"/>
      </w:tblGrid>
      <w:tr>
        <w:tc>
          <w:tcPr>
            <w:tcW w:type="dxa" w:w="10080"/>
            <w:shd w:fill="F6F8FA" w:color="auto"/>
            <w:tcBorders>
              <w:left w:sz="10" w:val="single" w:color="003366"/>
              <w:top w:sz="10" w:val="single" w:color="003366"/>
              <w:right w:sz="10" w:val="single" w:color="003366"/>
              <w:bottom w:sz="10" w:val="single" w:color="003366"/>
            </w:tcBorders>
            <w:tcMar>
              <w:top w:w="110" w:type="dxa"/>
              <w:start w:w="140" w:type="dxa"/>
              <w:bottom w:w="110" w:type="dxa"/>
              <w:end w:w="140" w:type="dxa"/>
            </w:tcMar>
          </w:tcPr>
          <w:p>
            <w:pPr>
              <w:spacing w:after="40"/>
            </w:pPr>
            <w:r>
              <w:rPr>
                <w:rFonts w:ascii="Calibri" w:hAnsi="Calibri"/>
                <w:b/>
                <w:i w:val="0"/>
                <w:color w:val="003366"/>
                <w:sz w:val="21"/>
              </w:rPr>
              <w:t>Practical takeaway</w:t>
            </w:r>
          </w:p>
          <w:p>
            <w:pPr>
              <w:spacing w:after="0"/>
            </w:pPr>
            <w:r>
              <w:rPr>
                <w:rFonts w:ascii="Calibri" w:hAnsi="Calibri"/>
                <w:b w:val="0"/>
                <w:i w:val="0"/>
                <w:color w:val="212529"/>
                <w:sz w:val="20"/>
              </w:rPr>
              <w:t>What built this was not a single one-shot prompt. It was a structured design conversation: define the product model, produce a working artifact, review visually, annotate friction points, and iterate until the UI matched the target mental model.</w:t>
            </w:r>
          </w:p>
        </w:tc>
      </w:tr>
    </w:tbl>
    <w:p>
      <w:pPr>
        <w:spacing w:after="40"/>
      </w:pPr>
    </w:p>
    <w:p>
      <w:pPr>
        <w:spacing w:before="280" w:after="120"/>
      </w:pPr>
      <w:r>
        <w:rPr>
          <w:rFonts w:ascii="Calibri" w:hAnsi="Calibri"/>
          <w:b/>
          <w:i w:val="0"/>
          <w:color w:val="003366"/>
          <w:sz w:val="28"/>
        </w:rPr>
        <w:t>3. Current technical architecture</w:t>
      </w:r>
    </w:p>
    <w:tbl>
      <w:tblPr>
        <w:tblW w:type="auto" w:w="0"/>
        <w:jc w:val="center"/>
        <w:tblLayout w:type="fixed"/>
        <w:tblLook w:firstColumn="1" w:firstRow="1" w:lastColumn="0" w:lastRow="0" w:noHBand="0" w:noVBand="1" w:val="04A0"/>
      </w:tblPr>
      <w:tblGrid>
        <w:gridCol w:w="5040"/>
        <w:gridCol w:w="5040"/>
      </w:tblGrid>
      <w:tr>
        <w:tc>
          <w:tcPr>
            <w:tcW w:type="dxa" w:w="2448"/>
            <w:shd w:fill="1A1F2B" w:color="auto"/>
            <w:tcMar>
              <w:top w:w="90" w:type="dxa"/>
              <w:start w:w="120" w:type="dxa"/>
              <w:bottom w:w="90" w:type="dxa"/>
              <w:end w:w="120" w:type="dxa"/>
            </w:tcMar>
            <w:tcBorders>
              <w:left w:sz="8" w:val="single" w:color="FFFFFF"/>
              <w:top w:sz="8" w:val="single" w:color="FFFFFF"/>
              <w:right w:sz="8" w:val="single" w:color="FFFFFF"/>
              <w:bottom w:sz="8" w:val="single" w:color="FFFFFF"/>
            </w:tcBorders>
            <w:vAlign w:val="center"/>
          </w:tcPr>
          <w:p>
            <w:pPr>
              <w:jc w:val="center"/>
            </w:pPr>
            <w:r>
              <w:rPr>
                <w:rFonts w:ascii="Calibri" w:hAnsi="Calibri"/>
                <w:b/>
                <w:i w:val="0"/>
                <w:color w:val="FFFFFF"/>
                <w:sz w:val="20"/>
              </w:rPr>
              <w:t>Layer</w:t>
            </w:r>
          </w:p>
        </w:tc>
        <w:tc>
          <w:tcPr>
            <w:tcW w:type="dxa" w:w="7344"/>
            <w:shd w:fill="1A1F2B" w:color="auto"/>
            <w:tcMar>
              <w:top w:w="90" w:type="dxa"/>
              <w:start w:w="120" w:type="dxa"/>
              <w:bottom w:w="90" w:type="dxa"/>
              <w:end w:w="120" w:type="dxa"/>
            </w:tcMar>
            <w:tcBorders>
              <w:left w:sz="8" w:val="single" w:color="FFFFFF"/>
              <w:top w:sz="8" w:val="single" w:color="FFFFFF"/>
              <w:right w:sz="8" w:val="single" w:color="FFFFFF"/>
              <w:bottom w:sz="8" w:val="single" w:color="FFFFFF"/>
            </w:tcBorders>
            <w:vAlign w:val="center"/>
          </w:tcPr>
          <w:p>
            <w:pPr>
              <w:jc w:val="center"/>
            </w:pPr>
            <w:r>
              <w:rPr>
                <w:rFonts w:ascii="Calibri" w:hAnsi="Calibri"/>
                <w:b/>
                <w:i w:val="0"/>
                <w:color w:val="FFFFFF"/>
                <w:sz w:val="20"/>
              </w:rPr>
              <w:t>Role in the prototype</w:t>
            </w:r>
          </w:p>
        </w:tc>
      </w:tr>
      <w:tr>
        <w:tc>
          <w:tcPr>
            <w:tcW w:type="dxa" w:w="2448"/>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Presentation layer</w:t>
            </w:r>
          </w:p>
        </w:tc>
        <w:tc>
          <w:tcPr>
            <w:tcW w:type="dxa" w:w="7344"/>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Bootstrap 5 via CDN, Bootstrap Icons via CDN, and embedded CSS variables for YorkU branding, layout, cards, badges, and state styling.</w:t>
            </w:r>
          </w:p>
        </w:tc>
      </w:tr>
      <w:tr>
        <w:tc>
          <w:tcPr>
            <w:tcW w:type="dxa" w:w="2448"/>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Interaction layer</w:t>
            </w:r>
          </w:p>
        </w:tc>
        <w:tc>
          <w:tcPr>
            <w:tcW w:type="dxa" w:w="7344"/>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Vanilla JavaScript renders each major view, binds events, updates the in-memory state object, and re-renders the UI after actions.</w:t>
            </w:r>
          </w:p>
        </w:tc>
      </w:tr>
      <w:tr>
        <w:tc>
          <w:tcPr>
            <w:tcW w:type="dxa" w:w="2448"/>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Persistence layer</w:t>
            </w:r>
          </w:p>
        </w:tc>
        <w:tc>
          <w:tcPr>
            <w:tcW w:type="dxa" w:w="7344"/>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Browser localStorage stores batches, sources, articles, selected IDs, and active step so the prototype feels persistent between sessions.</w:t>
            </w:r>
          </w:p>
        </w:tc>
      </w:tr>
      <w:tr>
        <w:tc>
          <w:tcPr>
            <w:tcW w:type="dxa" w:w="2448"/>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Editing layer</w:t>
            </w:r>
          </w:p>
        </w:tc>
        <w:tc>
          <w:tcPr>
            <w:tcW w:type="dxa" w:w="7344"/>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Rich text is simulated with lightweight contenteditable areas rather than exposing raw HTML to the user.</w:t>
            </w:r>
          </w:p>
        </w:tc>
      </w:tr>
      <w:tr>
        <w:tc>
          <w:tcPr>
            <w:tcW w:type="dxa" w:w="2448"/>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Integration layer</w:t>
            </w:r>
          </w:p>
        </w:tc>
        <w:tc>
          <w:tcPr>
            <w:tcW w:type="dxa" w:w="7344"/>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Generation, document parsing, and publish are mocked. Word extraction is placeholder-only, and publication is a simulated state transition.</w:t>
            </w:r>
          </w:p>
        </w:tc>
      </w:tr>
      <w:tr>
        <w:tc>
          <w:tcPr>
            <w:tcW w:type="dxa" w:w="2448"/>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Delivery model</w:t>
            </w:r>
          </w:p>
        </w:tc>
        <w:tc>
          <w:tcPr>
            <w:tcW w:type="dxa" w:w="7344"/>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Everything ships in one HTML file so it is portable, easy to inspect, easy to hand to a developer, and easy to reuse as a prototype base.</w:t>
            </w:r>
          </w:p>
        </w:tc>
      </w:tr>
    </w:tbl>
    <w:p>
      <w:pPr>
        <w:spacing w:after="0"/>
      </w:pPr>
    </w:p>
    <w:p>
      <w:pPr>
        <w:spacing w:before="280" w:after="120"/>
      </w:pPr>
      <w:r>
        <w:rPr>
          <w:rFonts w:ascii="Calibri" w:hAnsi="Calibri"/>
          <w:b/>
          <w:i w:val="0"/>
          <w:color w:val="003366"/>
          <w:sz w:val="28"/>
        </w:rPr>
        <w:t>4. Core object model</w:t>
      </w:r>
    </w:p>
    <w:p>
      <w:pPr>
        <w:spacing w:before="0" w:after="120" w:line="276" w:lineRule="auto"/>
      </w:pPr>
      <w:r>
        <w:rPr>
          <w:rFonts w:ascii="Calibri" w:hAnsi="Calibri"/>
          <w:b w:val="0"/>
          <w:i w:val="0"/>
          <w:color w:val="212529"/>
          <w:sz w:val="21"/>
        </w:rPr>
        <w:t>The cleanest way to understand the prototype is as three nested objects. The batch is the working container. Sources live inside the batch. Article drafts are outputs generated from those sources.</w:t>
      </w:r>
    </w:p>
    <w:tbl>
      <w:tblPr>
        <w:tblW w:type="auto" w:w="0"/>
        <w:jc w:val="center"/>
        <w:tblLayout w:type="fixed"/>
        <w:tblLook w:firstColumn="1" w:firstRow="1" w:lastColumn="0" w:lastRow="0" w:noHBand="0" w:noVBand="1" w:val="04A0"/>
      </w:tblPr>
      <w:tblGrid>
        <w:gridCol w:w="5040"/>
        <w:gridCol w:w="5040"/>
      </w:tblGrid>
      <w:tr>
        <w:tc>
          <w:tcPr>
            <w:tcW w:type="dxa" w:w="2304"/>
            <w:shd w:fill="1A1F2B" w:color="auto"/>
            <w:tcMar>
              <w:top w:w="90" w:type="dxa"/>
              <w:start w:w="120" w:type="dxa"/>
              <w:bottom w:w="90" w:type="dxa"/>
              <w:end w:w="120" w:type="dxa"/>
            </w:tcMar>
            <w:tcBorders>
              <w:left w:sz="8" w:val="single" w:color="FFFFFF"/>
              <w:top w:sz="8" w:val="single" w:color="FFFFFF"/>
              <w:right w:sz="8" w:val="single" w:color="FFFFFF"/>
              <w:bottom w:sz="8" w:val="single" w:color="FFFFFF"/>
            </w:tcBorders>
            <w:vAlign w:val="center"/>
          </w:tcPr>
          <w:p>
            <w:pPr>
              <w:jc w:val="center"/>
            </w:pPr>
            <w:r>
              <w:rPr>
                <w:rFonts w:ascii="Calibri" w:hAnsi="Calibri"/>
                <w:b/>
                <w:i w:val="0"/>
                <w:color w:val="FFFFFF"/>
                <w:sz w:val="20"/>
              </w:rPr>
              <w:t>Object</w:t>
            </w:r>
          </w:p>
        </w:tc>
        <w:tc>
          <w:tcPr>
            <w:tcW w:type="dxa" w:w="7488"/>
            <w:shd w:fill="1A1F2B" w:color="auto"/>
            <w:tcMar>
              <w:top w:w="90" w:type="dxa"/>
              <w:start w:w="120" w:type="dxa"/>
              <w:bottom w:w="90" w:type="dxa"/>
              <w:end w:w="120" w:type="dxa"/>
            </w:tcMar>
            <w:tcBorders>
              <w:left w:sz="8" w:val="single" w:color="FFFFFF"/>
              <w:top w:sz="8" w:val="single" w:color="FFFFFF"/>
              <w:right w:sz="8" w:val="single" w:color="FFFFFF"/>
              <w:bottom w:sz="8" w:val="single" w:color="FFFFFF"/>
            </w:tcBorders>
            <w:vAlign w:val="center"/>
          </w:tcPr>
          <w:p>
            <w:pPr>
              <w:jc w:val="center"/>
            </w:pPr>
            <w:r>
              <w:rPr>
                <w:rFonts w:ascii="Calibri" w:hAnsi="Calibri"/>
                <w:b/>
                <w:i w:val="0"/>
                <w:color w:val="FFFFFF"/>
                <w:sz w:val="20"/>
              </w:rPr>
              <w:t>Meaning</w:t>
            </w:r>
          </w:p>
        </w:tc>
      </w:tr>
      <w:tr>
        <w:tc>
          <w:tcPr>
            <w:tcW w:type="dxa" w:w="2304"/>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Batch</w:t>
            </w:r>
          </w:p>
        </w:tc>
        <w:tc>
          <w:tcPr>
            <w:tcW w:type="dxa" w:w="7488"/>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A saved working session. Holds title, timestamps, source items, generated article drafts, and overall status.</w:t>
            </w:r>
          </w:p>
        </w:tc>
      </w:tr>
      <w:tr>
        <w:tc>
          <w:tcPr>
            <w:tcW w:type="dxa" w:w="2304"/>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Source item</w:t>
            </w:r>
          </w:p>
        </w:tc>
        <w:tc>
          <w:tcPr>
            <w:tcW w:type="dxa" w:w="7488"/>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An uploaded or pasted input item. Holds name, type, and editable source content used to drive article generation.</w:t>
            </w:r>
          </w:p>
        </w:tc>
      </w:tr>
      <w:tr>
        <w:tc>
          <w:tcPr>
            <w:tcW w:type="dxa" w:w="2304"/>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Article draft</w:t>
            </w:r>
          </w:p>
        </w:tc>
        <w:tc>
          <w:tcPr>
            <w:tcW w:type="dxa" w:w="7488"/>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An individual Halo-style article output. Holds title, article metadata, rich text fields, attachments/tags/access fields, and publish state.</w:t>
            </w:r>
          </w:p>
        </w:tc>
      </w:tr>
    </w:tbl>
    <w:p>
      <w:pPr>
        <w:spacing w:after="0"/>
      </w:pPr>
    </w:p>
    <w:p>
      <w:pPr>
        <w:spacing w:before="280" w:after="120"/>
      </w:pPr>
      <w:r>
        <w:rPr>
          <w:rFonts w:ascii="Calibri" w:hAnsi="Calibri"/>
          <w:b/>
          <w:i w:val="0"/>
          <w:color w:val="003366"/>
          <w:sz w:val="28"/>
        </w:rPr>
        <w:t>5. Workflow and state behaviour</w:t>
      </w:r>
    </w:p>
    <w:p>
      <w:pPr>
        <w:spacing w:before="0" w:after="120" w:line="276" w:lineRule="auto"/>
      </w:pPr>
      <w:r>
        <w:rPr>
          <w:rFonts w:ascii="Calibri" w:hAnsi="Calibri"/>
          <w:b w:val="0"/>
          <w:i w:val="0"/>
          <w:color w:val="212529"/>
          <w:sz w:val="21"/>
        </w:rPr>
        <w:t>The final UX intentionally uses a simple four-step model so users do not have to reason about hidden states or separate admin workflows.</w:t>
      </w:r>
    </w:p>
    <w:tbl>
      <w:tblPr>
        <w:tblW w:type="auto" w:w="0"/>
        <w:jc w:val="center"/>
        <w:tblLayout w:type="fixed"/>
        <w:tblLook w:firstColumn="1" w:firstRow="1" w:lastColumn="0" w:lastRow="0" w:noHBand="0" w:noVBand="1" w:val="04A0"/>
      </w:tblPr>
      <w:tblGrid>
        <w:gridCol w:w="5040"/>
        <w:gridCol w:w="5040"/>
      </w:tblGrid>
      <w:tr>
        <w:tc>
          <w:tcPr>
            <w:tcW w:type="dxa" w:w="1872"/>
            <w:shd w:fill="1A1F2B" w:color="auto"/>
            <w:tcMar>
              <w:top w:w="90" w:type="dxa"/>
              <w:start w:w="120" w:type="dxa"/>
              <w:bottom w:w="90" w:type="dxa"/>
              <w:end w:w="120" w:type="dxa"/>
            </w:tcMar>
            <w:tcBorders>
              <w:left w:sz="8" w:val="single" w:color="FFFFFF"/>
              <w:top w:sz="8" w:val="single" w:color="FFFFFF"/>
              <w:right w:sz="8" w:val="single" w:color="FFFFFF"/>
              <w:bottom w:sz="8" w:val="single" w:color="FFFFFF"/>
            </w:tcBorders>
            <w:vAlign w:val="center"/>
          </w:tcPr>
          <w:p>
            <w:pPr>
              <w:jc w:val="center"/>
            </w:pPr>
            <w:r>
              <w:rPr>
                <w:rFonts w:ascii="Calibri" w:hAnsi="Calibri"/>
                <w:b/>
                <w:i w:val="0"/>
                <w:color w:val="FFFFFF"/>
                <w:sz w:val="20"/>
              </w:rPr>
              <w:t>Step</w:t>
            </w:r>
          </w:p>
        </w:tc>
        <w:tc>
          <w:tcPr>
            <w:tcW w:type="dxa" w:w="7920"/>
            <w:shd w:fill="1A1F2B" w:color="auto"/>
            <w:tcMar>
              <w:top w:w="90" w:type="dxa"/>
              <w:start w:w="120" w:type="dxa"/>
              <w:bottom w:w="90" w:type="dxa"/>
              <w:end w:w="120" w:type="dxa"/>
            </w:tcMar>
            <w:tcBorders>
              <w:left w:sz="8" w:val="single" w:color="FFFFFF"/>
              <w:top w:sz="8" w:val="single" w:color="FFFFFF"/>
              <w:right w:sz="8" w:val="single" w:color="FFFFFF"/>
              <w:bottom w:sz="8" w:val="single" w:color="FFFFFF"/>
            </w:tcBorders>
            <w:vAlign w:val="center"/>
          </w:tcPr>
          <w:p>
            <w:pPr>
              <w:jc w:val="center"/>
            </w:pPr>
            <w:r>
              <w:rPr>
                <w:rFonts w:ascii="Calibri" w:hAnsi="Calibri"/>
                <w:b/>
                <w:i w:val="0"/>
                <w:color w:val="FFFFFF"/>
                <w:sz w:val="20"/>
              </w:rPr>
              <w:t>Behaviour</w:t>
            </w:r>
          </w:p>
        </w:tc>
      </w:tr>
      <w:tr>
        <w:tc>
          <w:tcPr>
            <w:tcW w:type="dxa" w:w="1872"/>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1. Source</w:t>
            </w:r>
          </w:p>
        </w:tc>
        <w:tc>
          <w:tcPr>
            <w:tcW w:type="dxa" w:w="7920"/>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Upload files or paste text. Select any source row to preview and edit it. Remove is available inline on the row.</w:t>
            </w:r>
          </w:p>
        </w:tc>
      </w:tr>
      <w:tr>
        <w:tc>
          <w:tcPr>
            <w:tcW w:type="dxa" w:w="1872"/>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2. Articles</w:t>
            </w:r>
          </w:p>
        </w:tc>
        <w:tc>
          <w:tcPr>
            <w:tcW w:type="dxa" w:w="7920"/>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Generate article drafts from the current batch. Drafts appear as individual article cards in the article list.</w:t>
            </w:r>
          </w:p>
        </w:tc>
      </w:tr>
      <w:tr>
        <w:tc>
          <w:tcPr>
            <w:tcW w:type="dxa" w:w="1872"/>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3. Review Articles</w:t>
            </w:r>
          </w:p>
        </w:tc>
        <w:tc>
          <w:tcPr>
            <w:tcW w:type="dxa" w:w="7920"/>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Open one article at a time, edit Halo-style fields, then mark it Ready to publish. That action locks the article to prevent accidental edits.</w:t>
            </w:r>
          </w:p>
        </w:tc>
      </w:tr>
      <w:tr>
        <w:tc>
          <w:tcPr>
            <w:tcW w:type="dxa" w:w="1872"/>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4. Publish</w:t>
            </w:r>
          </w:p>
        </w:tc>
        <w:tc>
          <w:tcPr>
            <w:tcW w:type="dxa" w:w="7920"/>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Publish only articles that are marked Ready to publish. Already published items stay published if the batch is later deleted.</w:t>
            </w:r>
          </w:p>
        </w:tc>
      </w:tr>
    </w:tbl>
    <w:p>
      <w:pPr>
        <w:spacing w:after="0"/>
      </w:pPr>
    </w:p>
    <w:p>
      <w:pPr>
        <w:pStyle w:val="ListBullet"/>
        <w:spacing w:after="40"/>
        <w:ind w:left="216"/>
      </w:pPr>
      <w:r>
        <w:rPr>
          <w:rFonts w:ascii="Calibri" w:hAnsi="Calibri"/>
          <w:b w:val="0"/>
          <w:i w:val="0"/>
          <w:color w:val="212529"/>
          <w:sz w:val="20"/>
        </w:rPr>
        <w:t>Newly generated articles default to Draft.</w:t>
      </w:r>
    </w:p>
    <w:p>
      <w:pPr>
        <w:pStyle w:val="ListBullet"/>
        <w:spacing w:after="40"/>
        <w:ind w:left="216"/>
      </w:pPr>
      <w:r>
        <w:rPr>
          <w:rFonts w:ascii="Calibri" w:hAnsi="Calibri"/>
          <w:b w:val="0"/>
          <w:i w:val="0"/>
          <w:color w:val="212529"/>
          <w:sz w:val="20"/>
        </w:rPr>
        <w:t>Clicking Ready to publish changes the article state to ready and makes the article non-editable.</w:t>
      </w:r>
    </w:p>
    <w:p>
      <w:pPr>
        <w:pStyle w:val="ListBullet"/>
        <w:spacing w:after="40"/>
        <w:ind w:left="216"/>
      </w:pPr>
      <w:r>
        <w:rPr>
          <w:rFonts w:ascii="Calibri" w:hAnsi="Calibri"/>
          <w:b w:val="0"/>
          <w:i w:val="0"/>
          <w:color w:val="212529"/>
          <w:sz w:val="20"/>
        </w:rPr>
        <w:t>Clicking Edit Article on a locked item returns it to Draft and re-enables editing.</w:t>
      </w:r>
    </w:p>
    <w:p>
      <w:pPr>
        <w:pStyle w:val="ListBullet"/>
        <w:spacing w:after="40"/>
        <w:ind w:left="216"/>
      </w:pPr>
      <w:r>
        <w:rPr>
          <w:rFonts w:ascii="Calibri" w:hAnsi="Calibri"/>
          <w:b w:val="0"/>
          <w:i w:val="0"/>
          <w:color w:val="212529"/>
          <w:sz w:val="20"/>
        </w:rPr>
        <w:t>Batch deletion sits in the sidebar overflow menu rather than the main workspace. The confirmation message warns that published items remain in Halo while unpublished items in the batch are lost.</w:t>
      </w:r>
    </w:p>
    <w:p>
      <w:pPr>
        <w:spacing w:before="280" w:after="120"/>
      </w:pPr>
      <w:r>
        <w:rPr>
          <w:rFonts w:ascii="Calibri" w:hAnsi="Calibri"/>
          <w:b/>
          <w:i w:val="0"/>
          <w:color w:val="003366"/>
          <w:sz w:val="28"/>
        </w:rPr>
        <w:t>6. Information architecture of the page</w:t>
      </w:r>
    </w:p>
    <w:tbl>
      <w:tblPr>
        <w:tblW w:type="auto" w:w="0"/>
        <w:jc w:val="center"/>
        <w:tblLayout w:type="fixed"/>
        <w:tblLook w:firstColumn="1" w:firstRow="1" w:lastColumn="0" w:lastRow="0" w:noHBand="0" w:noVBand="1" w:val="04A0"/>
      </w:tblPr>
      <w:tblGrid>
        <w:gridCol w:w="5040"/>
        <w:gridCol w:w="5040"/>
      </w:tblGrid>
      <w:tr>
        <w:tc>
          <w:tcPr>
            <w:tcW w:type="dxa" w:w="2304"/>
            <w:shd w:fill="1A1F2B" w:color="auto"/>
            <w:tcMar>
              <w:top w:w="90" w:type="dxa"/>
              <w:start w:w="120" w:type="dxa"/>
              <w:bottom w:w="90" w:type="dxa"/>
              <w:end w:w="120" w:type="dxa"/>
            </w:tcMar>
            <w:tcBorders>
              <w:left w:sz="8" w:val="single" w:color="FFFFFF"/>
              <w:top w:sz="8" w:val="single" w:color="FFFFFF"/>
              <w:right w:sz="8" w:val="single" w:color="FFFFFF"/>
              <w:bottom w:sz="8" w:val="single" w:color="FFFFFF"/>
            </w:tcBorders>
            <w:vAlign w:val="center"/>
          </w:tcPr>
          <w:p>
            <w:pPr>
              <w:jc w:val="center"/>
            </w:pPr>
            <w:r>
              <w:rPr>
                <w:rFonts w:ascii="Calibri" w:hAnsi="Calibri"/>
                <w:b/>
                <w:i w:val="0"/>
                <w:color w:val="FFFFFF"/>
                <w:sz w:val="20"/>
              </w:rPr>
              <w:t>Region</w:t>
            </w:r>
          </w:p>
        </w:tc>
        <w:tc>
          <w:tcPr>
            <w:tcW w:type="dxa" w:w="7488"/>
            <w:shd w:fill="1A1F2B" w:color="auto"/>
            <w:tcMar>
              <w:top w:w="90" w:type="dxa"/>
              <w:start w:w="120" w:type="dxa"/>
              <w:bottom w:w="90" w:type="dxa"/>
              <w:end w:w="120" w:type="dxa"/>
            </w:tcMar>
            <w:tcBorders>
              <w:left w:sz="8" w:val="single" w:color="FFFFFF"/>
              <w:top w:sz="8" w:val="single" w:color="FFFFFF"/>
              <w:right w:sz="8" w:val="single" w:color="FFFFFF"/>
              <w:bottom w:sz="8" w:val="single" w:color="FFFFFF"/>
            </w:tcBorders>
            <w:vAlign w:val="center"/>
          </w:tcPr>
          <w:p>
            <w:pPr>
              <w:jc w:val="center"/>
            </w:pPr>
            <w:r>
              <w:rPr>
                <w:rFonts w:ascii="Calibri" w:hAnsi="Calibri"/>
                <w:b/>
                <w:i w:val="0"/>
                <w:color w:val="FFFFFF"/>
                <w:sz w:val="20"/>
              </w:rPr>
              <w:t>Purpose</w:t>
            </w:r>
          </w:p>
        </w:tc>
      </w:tr>
      <w:tr>
        <w:tc>
          <w:tcPr>
            <w:tcW w:type="dxa" w:w="2304"/>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Top bar</w:t>
            </w:r>
          </w:p>
        </w:tc>
        <w:tc>
          <w:tcPr>
            <w:tcW w:type="dxa" w:w="7488"/>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Branding for Halo Forge, product subtitle, and YorkU identity.</w:t>
            </w:r>
          </w:p>
        </w:tc>
      </w:tr>
      <w:tr>
        <w:tc>
          <w:tcPr>
            <w:tcW w:type="dxa" w:w="2304"/>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Left sidebar</w:t>
            </w:r>
          </w:p>
        </w:tc>
        <w:tc>
          <w:tcPr>
            <w:tcW w:type="dxa" w:w="7488"/>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Saved batches, search, New batch action, and per-batch overflow menu for destructive actions like Delete.</w:t>
            </w:r>
          </w:p>
        </w:tc>
      </w:tr>
      <w:tr>
        <w:tc>
          <w:tcPr>
            <w:tcW w:type="dxa" w:w="2304"/>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Step navigation</w:t>
            </w:r>
          </w:p>
        </w:tc>
        <w:tc>
          <w:tcPr>
            <w:tcW w:type="dxa" w:w="7488"/>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Top-level task navigation: Source, Articles, Review Articles, Publish.</w:t>
            </w:r>
          </w:p>
        </w:tc>
      </w:tr>
      <w:tr>
        <w:tc>
          <w:tcPr>
            <w:tcW w:type="dxa" w:w="2304"/>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Batch header</w:t>
            </w:r>
          </w:p>
        </w:tc>
        <w:tc>
          <w:tcPr>
            <w:tcW w:type="dxa" w:w="7488"/>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The currently selected batch name and batch-level status.</w:t>
            </w:r>
          </w:p>
        </w:tc>
      </w:tr>
      <w:tr>
        <w:tc>
          <w:tcPr>
            <w:tcW w:type="dxa" w:w="2304"/>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Primary workspace</w:t>
            </w:r>
          </w:p>
        </w:tc>
        <w:tc>
          <w:tcPr>
            <w:tcW w:type="dxa" w:w="7488"/>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Changes by active step: upload/generate screen, article list + edit form, or publish screen.</w:t>
            </w:r>
          </w:p>
        </w:tc>
      </w:tr>
      <w:tr>
        <w:tc>
          <w:tcPr>
            <w:tcW w:type="dxa" w:w="2304"/>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Article editor</w:t>
            </w:r>
          </w:p>
        </w:tc>
        <w:tc>
          <w:tcPr>
            <w:tcW w:type="dxa" w:w="7488"/>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Halo-inspired form fields: title, article type, editor, description, resolution, internal memo, attachments, tags, related articles, teams, FAQ lists, active, next review date, allowed customers.</w:t>
            </w:r>
          </w:p>
        </w:tc>
      </w:tr>
    </w:tbl>
    <w:p>
      <w:pPr>
        <w:spacing w:after="0"/>
      </w:pPr>
    </w:p>
    <w:tbl>
      <w:tblPr>
        <w:tblW w:type="auto" w:w="0"/>
        <w:jc w:val="center"/>
        <w:tblLook w:firstColumn="1" w:firstRow="1" w:lastColumn="0" w:lastRow="0" w:noHBand="0" w:noVBand="1" w:val="04A0"/>
      </w:tblPr>
      <w:tblGrid>
        <w:gridCol w:w="10080"/>
      </w:tblGrid>
      <w:tr>
        <w:tc>
          <w:tcPr>
            <w:tcW w:type="dxa" w:w="10080"/>
            <w:shd w:fill="F6F8FA" w:color="auto"/>
            <w:tcBorders>
              <w:left w:sz="10" w:val="single" w:color="198DBF"/>
              <w:top w:sz="10" w:val="single" w:color="198DBF"/>
              <w:right w:sz="10" w:val="single" w:color="198DBF"/>
              <w:bottom w:sz="10" w:val="single" w:color="198DBF"/>
            </w:tcBorders>
            <w:tcMar>
              <w:top w:w="110" w:type="dxa"/>
              <w:start w:w="140" w:type="dxa"/>
              <w:bottom w:w="110" w:type="dxa"/>
              <w:end w:w="140" w:type="dxa"/>
            </w:tcMar>
          </w:tcPr>
          <w:p>
            <w:pPr>
              <w:spacing w:after="40"/>
            </w:pPr>
            <w:r>
              <w:rPr>
                <w:rFonts w:ascii="Calibri" w:hAnsi="Calibri"/>
                <w:b/>
                <w:i w:val="0"/>
                <w:color w:val="198DBF"/>
                <w:sz w:val="21"/>
              </w:rPr>
              <w:t>Why the page feels simpler now</w:t>
            </w:r>
          </w:p>
          <w:p>
            <w:pPr>
              <w:spacing w:after="0"/>
            </w:pPr>
            <w:r>
              <w:rPr>
                <w:rFonts w:ascii="Calibri" w:hAnsi="Calibri"/>
                <w:b w:val="0"/>
                <w:i w:val="0"/>
                <w:color w:val="212529"/>
                <w:sz w:val="20"/>
              </w:rPr>
              <w:t>The final design avoids forcing users to think about validations, system diagnostics, or overlapping project/article concepts. The UI now follows a single task chain: gather source material, generate outputs, review individual articles, then publish.</w:t>
            </w:r>
          </w:p>
        </w:tc>
      </w:tr>
    </w:tbl>
    <w:p>
      <w:pPr>
        <w:spacing w:after="40"/>
      </w:pPr>
    </w:p>
    <w:p>
      <w:pPr>
        <w:spacing w:before="280" w:after="120"/>
      </w:pPr>
      <w:r>
        <w:rPr>
          <w:rFonts w:ascii="Calibri" w:hAnsi="Calibri"/>
          <w:b/>
          <w:i w:val="0"/>
          <w:color w:val="003366"/>
          <w:sz w:val="28"/>
        </w:rPr>
        <w:t>7. Design system and colour use</w:t>
      </w:r>
    </w:p>
    <w:p>
      <w:pPr>
        <w:spacing w:before="0" w:after="120" w:line="276" w:lineRule="auto"/>
      </w:pPr>
      <w:r>
        <w:rPr>
          <w:rFonts w:ascii="Calibri" w:hAnsi="Calibri"/>
          <w:b w:val="0"/>
          <w:i w:val="0"/>
          <w:color w:val="212529"/>
          <w:sz w:val="21"/>
        </w:rPr>
        <w:t>The YorkU branding pass deliberately stopped short of turning every control red. The final direction uses York red as brand emphasis and destructive/create actions, navy blue for selected or active states, and conventional status colours so the UI remains easy to read at a glance.</w:t>
      </w:r>
    </w:p>
    <w:tbl>
      <w:tblPr>
        <w:tblW w:type="auto" w:w="0"/>
        <w:jc w:val="center"/>
        <w:tblLayout w:type="fixed"/>
        <w:tblLook w:firstColumn="1" w:firstRow="1" w:lastColumn="0" w:lastRow="0" w:noHBand="0" w:noVBand="1" w:val="04A0"/>
      </w:tblPr>
      <w:tblGrid>
        <w:gridCol w:w="3360"/>
        <w:gridCol w:w="3360"/>
        <w:gridCol w:w="3360"/>
      </w:tblGrid>
      <w:tr>
        <w:tc>
          <w:tcPr>
            <w:tcW w:type="dxa" w:w="2016"/>
            <w:shd w:fill="1A1F2B" w:color="auto"/>
            <w:tcMar>
              <w:top w:w="90" w:type="dxa"/>
              <w:start w:w="120" w:type="dxa"/>
              <w:bottom w:w="90" w:type="dxa"/>
              <w:end w:w="120" w:type="dxa"/>
            </w:tcMar>
            <w:tcBorders>
              <w:left w:sz="8" w:val="single" w:color="FFFFFF"/>
              <w:top w:sz="8" w:val="single" w:color="FFFFFF"/>
              <w:right w:sz="8" w:val="single" w:color="FFFFFF"/>
              <w:bottom w:sz="8" w:val="single" w:color="FFFFFF"/>
            </w:tcBorders>
            <w:vAlign w:val="center"/>
          </w:tcPr>
          <w:p>
            <w:pPr>
              <w:jc w:val="center"/>
            </w:pPr>
            <w:r>
              <w:rPr>
                <w:rFonts w:ascii="Calibri" w:hAnsi="Calibri"/>
                <w:b/>
                <w:i w:val="0"/>
                <w:color w:val="FFFFFF"/>
                <w:sz w:val="20"/>
              </w:rPr>
              <w:t>UI use</w:t>
            </w:r>
          </w:p>
        </w:tc>
        <w:tc>
          <w:tcPr>
            <w:tcW w:type="dxa" w:w="3024"/>
            <w:shd w:fill="1A1F2B" w:color="auto"/>
            <w:tcMar>
              <w:top w:w="90" w:type="dxa"/>
              <w:start w:w="120" w:type="dxa"/>
              <w:bottom w:w="90" w:type="dxa"/>
              <w:end w:w="120" w:type="dxa"/>
            </w:tcMar>
            <w:tcBorders>
              <w:left w:sz="8" w:val="single" w:color="FFFFFF"/>
              <w:top w:sz="8" w:val="single" w:color="FFFFFF"/>
              <w:right w:sz="8" w:val="single" w:color="FFFFFF"/>
              <w:bottom w:sz="8" w:val="single" w:color="FFFFFF"/>
            </w:tcBorders>
            <w:vAlign w:val="center"/>
          </w:tcPr>
          <w:p>
            <w:pPr>
              <w:jc w:val="center"/>
            </w:pPr>
            <w:r>
              <w:rPr>
                <w:rFonts w:ascii="Calibri" w:hAnsi="Calibri"/>
                <w:b/>
                <w:i w:val="0"/>
                <w:color w:val="FFFFFF"/>
                <w:sz w:val="20"/>
              </w:rPr>
              <w:t>Colour</w:t>
            </w:r>
          </w:p>
        </w:tc>
        <w:tc>
          <w:tcPr>
            <w:tcW w:type="dxa" w:w="4752"/>
            <w:shd w:fill="1A1F2B" w:color="auto"/>
            <w:tcMar>
              <w:top w:w="90" w:type="dxa"/>
              <w:start w:w="120" w:type="dxa"/>
              <w:bottom w:w="90" w:type="dxa"/>
              <w:end w:w="120" w:type="dxa"/>
            </w:tcMar>
            <w:tcBorders>
              <w:left w:sz="8" w:val="single" w:color="FFFFFF"/>
              <w:top w:sz="8" w:val="single" w:color="FFFFFF"/>
              <w:right w:sz="8" w:val="single" w:color="FFFFFF"/>
              <w:bottom w:sz="8" w:val="single" w:color="FFFFFF"/>
            </w:tcBorders>
            <w:vAlign w:val="center"/>
          </w:tcPr>
          <w:p>
            <w:pPr>
              <w:jc w:val="center"/>
            </w:pPr>
            <w:r>
              <w:rPr>
                <w:rFonts w:ascii="Calibri" w:hAnsi="Calibri"/>
                <w:b/>
                <w:i w:val="0"/>
                <w:color w:val="FFFFFF"/>
                <w:sz w:val="20"/>
              </w:rPr>
              <w:t>Rationale</w:t>
            </w:r>
          </w:p>
        </w:tc>
      </w:tr>
      <w:tr>
        <w:tc>
          <w:tcPr>
            <w:tcW w:type="dxa" w:w="2016"/>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Brand accents</w:t>
            </w:r>
          </w:p>
        </w:tc>
        <w:tc>
          <w:tcPr>
            <w:tcW w:type="dxa" w:w="3024"/>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York Red #E31837 and York Red Dark #810001</w:t>
            </w:r>
          </w:p>
        </w:tc>
        <w:tc>
          <w:tcPr>
            <w:tcW w:type="dxa" w:w="4752"/>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Used sparingly for create, generate, emphasis, and destructive actions.</w:t>
            </w:r>
          </w:p>
        </w:tc>
      </w:tr>
      <w:tr>
        <w:tc>
          <w:tcPr>
            <w:tcW w:type="dxa" w:w="2016"/>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Selected/active states</w:t>
            </w:r>
          </w:p>
        </w:tc>
        <w:tc>
          <w:tcPr>
            <w:tcW w:type="dxa" w:w="3024"/>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Lassonde Navy #003366</w:t>
            </w:r>
          </w:p>
        </w:tc>
        <w:tc>
          <w:tcPr>
            <w:tcW w:type="dxa" w:w="4752"/>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Used for selected batches, selected sources, selected articles, and active workflow steps.</w:t>
            </w:r>
          </w:p>
        </w:tc>
      </w:tr>
      <w:tr>
        <w:tc>
          <w:tcPr>
            <w:tcW w:type="dxa" w:w="2016"/>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Dark panel / shell</w:t>
            </w:r>
          </w:p>
        </w:tc>
        <w:tc>
          <w:tcPr>
            <w:tcW w:type="dxa" w:w="3024"/>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Midnight Steel #1A1F2B</w:t>
            </w:r>
          </w:p>
        </w:tc>
        <w:tc>
          <w:tcPr>
            <w:tcW w:type="dxa" w:w="4752"/>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Used for the saved-batches sidebar to anchor the page visually.</w:t>
            </w:r>
          </w:p>
        </w:tc>
      </w:tr>
      <w:tr>
        <w:tc>
          <w:tcPr>
            <w:tcW w:type="dxa" w:w="2016"/>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Ready to publish</w:t>
            </w:r>
          </w:p>
        </w:tc>
        <w:tc>
          <w:tcPr>
            <w:tcW w:type="dxa" w:w="3024"/>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Green status styling</w:t>
            </w:r>
          </w:p>
        </w:tc>
        <w:tc>
          <w:tcPr>
            <w:tcW w:type="dxa" w:w="4752"/>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Conventional status signal for items ready to go.</w:t>
            </w:r>
          </w:p>
        </w:tc>
      </w:tr>
      <w:tr>
        <w:tc>
          <w:tcPr>
            <w:tcW w:type="dxa" w:w="2016"/>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Partially published</w:t>
            </w:r>
          </w:p>
        </w:tc>
        <w:tc>
          <w:tcPr>
            <w:tcW w:type="dxa" w:w="3024"/>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Blue status styling</w:t>
            </w:r>
          </w:p>
        </w:tc>
        <w:tc>
          <w:tcPr>
            <w:tcW w:type="dxa" w:w="4752"/>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Clear transitional state.</w:t>
            </w:r>
          </w:p>
        </w:tc>
      </w:tr>
      <w:tr>
        <w:tc>
          <w:tcPr>
            <w:tcW w:type="dxa" w:w="2016"/>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Published</w:t>
            </w:r>
          </w:p>
        </w:tc>
        <w:tc>
          <w:tcPr>
            <w:tcW w:type="dxa" w:w="3024"/>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Dark/black status styling</w:t>
            </w:r>
          </w:p>
        </w:tc>
        <w:tc>
          <w:tcPr>
            <w:tcW w:type="dxa" w:w="4752"/>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Signals finality without competing with brand actions.</w:t>
            </w:r>
          </w:p>
        </w:tc>
      </w:tr>
      <w:tr>
        <w:tc>
          <w:tcPr>
            <w:tcW w:type="dxa" w:w="2016"/>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Draft / in progress</w:t>
            </w:r>
          </w:p>
        </w:tc>
        <w:tc>
          <w:tcPr>
            <w:tcW w:type="dxa" w:w="3024"/>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Grey status styling</w:t>
            </w:r>
          </w:p>
        </w:tc>
        <w:tc>
          <w:tcPr>
            <w:tcW w:type="dxa" w:w="4752"/>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Used for unfinished items without introducing urgency.</w:t>
            </w:r>
          </w:p>
        </w:tc>
      </w:tr>
    </w:tbl>
    <w:p>
      <w:pPr>
        <w:spacing w:after="0"/>
      </w:pPr>
    </w:p>
    <w:p>
      <w:pPr>
        <w:spacing w:before="280" w:after="120"/>
      </w:pPr>
      <w:r>
        <w:rPr>
          <w:rFonts w:ascii="Calibri" w:hAnsi="Calibri"/>
          <w:b/>
          <w:i w:val="0"/>
          <w:color w:val="003366"/>
          <w:sz w:val="28"/>
        </w:rPr>
        <w:t>8. Code organization in the current HTML file</w:t>
      </w:r>
    </w:p>
    <w:p>
      <w:pPr>
        <w:spacing w:before="0" w:after="120" w:line="276" w:lineRule="auto"/>
      </w:pPr>
      <w:r>
        <w:rPr>
          <w:rFonts w:ascii="Calibri" w:hAnsi="Calibri"/>
          <w:b w:val="0"/>
          <w:i w:val="0"/>
          <w:color w:val="212529"/>
          <w:sz w:val="21"/>
        </w:rPr>
        <w:t>The current prototype is not broken into modules because portability mattered more than production-grade bundling. Even so, the JavaScript has a useful internal structure that can be carried forward into future builds.</w:t>
      </w:r>
    </w:p>
    <w:tbl>
      <w:tblPr>
        <w:tblW w:type="auto" w:w="0"/>
        <w:jc w:val="center"/>
        <w:tblLayout w:type="fixed"/>
        <w:tblLook w:firstColumn="1" w:firstRow="1" w:lastColumn="0" w:lastRow="0" w:noHBand="0" w:noVBand="1" w:val="04A0"/>
      </w:tblPr>
      <w:tblGrid>
        <w:gridCol w:w="5040"/>
        <w:gridCol w:w="5040"/>
      </w:tblGrid>
      <w:tr>
        <w:tc>
          <w:tcPr>
            <w:tcW w:type="dxa" w:w="2592"/>
            <w:shd w:fill="1A1F2B" w:color="auto"/>
            <w:tcMar>
              <w:top w:w="90" w:type="dxa"/>
              <w:start w:w="120" w:type="dxa"/>
              <w:bottom w:w="90" w:type="dxa"/>
              <w:end w:w="120" w:type="dxa"/>
            </w:tcMar>
            <w:tcBorders>
              <w:left w:sz="8" w:val="single" w:color="FFFFFF"/>
              <w:top w:sz="8" w:val="single" w:color="FFFFFF"/>
              <w:right w:sz="8" w:val="single" w:color="FFFFFF"/>
              <w:bottom w:sz="8" w:val="single" w:color="FFFFFF"/>
            </w:tcBorders>
            <w:vAlign w:val="center"/>
          </w:tcPr>
          <w:p>
            <w:pPr>
              <w:jc w:val="center"/>
            </w:pPr>
            <w:r>
              <w:rPr>
                <w:rFonts w:ascii="Calibri" w:hAnsi="Calibri"/>
                <w:b/>
                <w:i w:val="0"/>
                <w:color w:val="FFFFFF"/>
                <w:sz w:val="20"/>
              </w:rPr>
              <w:t>Concern</w:t>
            </w:r>
          </w:p>
        </w:tc>
        <w:tc>
          <w:tcPr>
            <w:tcW w:type="dxa" w:w="7200"/>
            <w:shd w:fill="1A1F2B" w:color="auto"/>
            <w:tcMar>
              <w:top w:w="90" w:type="dxa"/>
              <w:start w:w="120" w:type="dxa"/>
              <w:bottom w:w="90" w:type="dxa"/>
              <w:end w:w="120" w:type="dxa"/>
            </w:tcMar>
            <w:tcBorders>
              <w:left w:sz="8" w:val="single" w:color="FFFFFF"/>
              <w:top w:sz="8" w:val="single" w:color="FFFFFF"/>
              <w:right w:sz="8" w:val="single" w:color="FFFFFF"/>
              <w:bottom w:sz="8" w:val="single" w:color="FFFFFF"/>
            </w:tcBorders>
            <w:vAlign w:val="center"/>
          </w:tcPr>
          <w:p>
            <w:pPr>
              <w:jc w:val="center"/>
            </w:pPr>
            <w:r>
              <w:rPr>
                <w:rFonts w:ascii="Calibri" w:hAnsi="Calibri"/>
                <w:b/>
                <w:i w:val="0"/>
                <w:color w:val="FFFFFF"/>
                <w:sz w:val="20"/>
              </w:rPr>
              <w:t>Representative functions</w:t>
            </w:r>
          </w:p>
        </w:tc>
      </w:tr>
      <w:tr>
        <w:tc>
          <w:tcPr>
            <w:tcW w:type="dxa" w:w="2592"/>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State + persistence</w:t>
            </w:r>
          </w:p>
        </w:tc>
        <w:tc>
          <w:tcPr>
            <w:tcW w:type="dxa" w:w="7200"/>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load, persist, markDirty, currentBatch, currentArticle, currentSource</w:t>
            </w:r>
          </w:p>
        </w:tc>
      </w:tr>
      <w:tr>
        <w:tc>
          <w:tcPr>
            <w:tcW w:type="dxa" w:w="2592"/>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Frame rendering</w:t>
            </w:r>
          </w:p>
        </w:tc>
        <w:tc>
          <w:tcPr>
            <w:tcW w:type="dxa" w:w="7200"/>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renderAll, renderHeader, renderFlow, renderSidebar, renderViews, switchStep</w:t>
            </w:r>
          </w:p>
        </w:tc>
      </w:tr>
      <w:tr>
        <w:tc>
          <w:tcPr>
            <w:tcW w:type="dxa" w:w="2592"/>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Source step</w:t>
            </w:r>
          </w:p>
        </w:tc>
        <w:tc>
          <w:tcPr>
            <w:tcW w:type="dxa" w:w="7200"/>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renderUpload, bindUpload, addFiles, sourcePreviewEditor, sourceContentHtml</w:t>
            </w:r>
          </w:p>
        </w:tc>
      </w:tr>
      <w:tr>
        <w:tc>
          <w:tcPr>
            <w:tcW w:type="dxa" w:w="2592"/>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Generate step</w:t>
            </w:r>
          </w:p>
        </w:tc>
        <w:tc>
          <w:tcPr>
            <w:tcW w:type="dxa" w:w="7200"/>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renderGenerate, generateArticles, mock</w:t>
            </w:r>
          </w:p>
        </w:tc>
      </w:tr>
      <w:tr>
        <w:tc>
          <w:tcPr>
            <w:tcW w:type="dxa" w:w="2592"/>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Review/edit step</w:t>
            </w:r>
          </w:p>
        </w:tc>
        <w:tc>
          <w:tcPr>
            <w:tcW w:type="dxa" w:w="7200"/>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renderEdit, articleForm, richEditor, bindEdit, saveArticleFromForm, deleteArticle, markArticleReady, unlockArticle</w:t>
            </w:r>
          </w:p>
        </w:tc>
      </w:tr>
      <w:tr>
        <w:tc>
          <w:tcPr>
            <w:tcW w:type="dxa" w:w="2592"/>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Publish step</w:t>
            </w:r>
          </w:p>
        </w:tc>
        <w:tc>
          <w:tcPr>
            <w:tcW w:type="dxa" w:w="7200"/>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renderPublish, publishArticle</w:t>
            </w:r>
          </w:p>
        </w:tc>
      </w:tr>
      <w:tr>
        <w:tc>
          <w:tcPr>
            <w:tcW w:type="dxa" w:w="2592"/>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Batch actions</w:t>
            </w:r>
          </w:p>
        </w:tc>
        <w:tc>
          <w:tcPr>
            <w:tcW w:type="dxa" w:w="7200"/>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openDeleteBatchModal, deleteCurrentBatch</w:t>
            </w:r>
          </w:p>
        </w:tc>
      </w:tr>
      <w:tr>
        <w:tc>
          <w:tcPr>
            <w:tcW w:type="dxa" w:w="2592"/>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Shared UI helpers</w:t>
            </w:r>
          </w:p>
        </w:tc>
        <w:tc>
          <w:tcPr>
            <w:tcW w:type="dxa" w:w="7200"/>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articleBadge, chips, toast</w:t>
            </w:r>
          </w:p>
        </w:tc>
      </w:tr>
    </w:tbl>
    <w:p>
      <w:pPr>
        <w:spacing w:after="0"/>
      </w:pPr>
    </w:p>
    <w:p>
      <w:pPr>
        <w:spacing w:before="0" w:after="120" w:line="276" w:lineRule="auto"/>
      </w:pPr>
      <w:r>
        <w:rPr>
          <w:rFonts w:ascii="Calibri" w:hAnsi="Calibri"/>
          <w:b w:val="0"/>
          <w:i w:val="0"/>
          <w:color w:val="212529"/>
          <w:sz w:val="20"/>
        </w:rPr>
        <w:t>That structure makes the file large, but it also makes the prototype easy to hand off: a developer can see where state lives, where each view is rendered, and which functions own each user action.</w:t>
      </w:r>
    </w:p>
    <w:p>
      <w:pPr>
        <w:spacing w:before="280" w:after="120"/>
      </w:pPr>
      <w:r>
        <w:rPr>
          <w:rFonts w:ascii="Calibri" w:hAnsi="Calibri"/>
          <w:b/>
          <w:i w:val="0"/>
          <w:color w:val="003366"/>
          <w:sz w:val="28"/>
        </w:rPr>
        <w:t>9. How to reuse this for future internal tools</w:t>
      </w:r>
    </w:p>
    <w:p>
      <w:pPr>
        <w:spacing w:before="0" w:after="120" w:line="276" w:lineRule="auto"/>
      </w:pPr>
      <w:r>
        <w:rPr>
          <w:rFonts w:ascii="Calibri" w:hAnsi="Calibri"/>
          <w:b w:val="0"/>
          <w:i w:val="0"/>
          <w:color w:val="212529"/>
          <w:sz w:val="21"/>
        </w:rPr>
        <w:t>The most reusable part of this work is not the Halo-specific wording. It is the pattern underneath. For similar internal tools, keep the same build discipline and swap only the domain language, field sets, and state rules.</w:t>
      </w:r>
    </w:p>
    <w:p>
      <w:pPr>
        <w:pStyle w:val="ListBullet"/>
        <w:spacing w:after="40"/>
        <w:ind w:left="216"/>
      </w:pPr>
      <w:r>
        <w:rPr>
          <w:rFonts w:ascii="Calibri" w:hAnsi="Calibri"/>
          <w:b w:val="0"/>
          <w:i w:val="0"/>
          <w:color w:val="212529"/>
          <w:sz w:val="20"/>
        </w:rPr>
        <w:t>Start with the object model before discussing screens. Decide what the top-level container is, what nested items exist, and what states those items can move through.</w:t>
      </w:r>
    </w:p>
    <w:p>
      <w:pPr>
        <w:pStyle w:val="ListBullet"/>
        <w:spacing w:after="40"/>
        <w:ind w:left="216"/>
      </w:pPr>
      <w:r>
        <w:rPr>
          <w:rFonts w:ascii="Calibri" w:hAnsi="Calibri"/>
          <w:b w:val="0"/>
          <w:i w:val="0"/>
          <w:color w:val="212529"/>
          <w:sz w:val="20"/>
        </w:rPr>
        <w:t>Mirror the target system only where it matters. Reuse the target product's field names, sequencing, and editing patterns, but remove platform complexity that is not needed for prototype testing.</w:t>
      </w:r>
    </w:p>
    <w:p>
      <w:pPr>
        <w:pStyle w:val="ListBullet"/>
        <w:spacing w:after="40"/>
        <w:ind w:left="216"/>
      </w:pPr>
      <w:r>
        <w:rPr>
          <w:rFonts w:ascii="Calibri" w:hAnsi="Calibri"/>
          <w:b w:val="0"/>
          <w:i w:val="0"/>
          <w:color w:val="212529"/>
          <w:sz w:val="20"/>
        </w:rPr>
        <w:t>Keep top-level navigation task-based. A four-step flow is often more comprehensible than multiple stacked panels with many hidden states.</w:t>
      </w:r>
    </w:p>
    <w:p>
      <w:pPr>
        <w:pStyle w:val="ListBullet"/>
        <w:spacing w:after="40"/>
        <w:ind w:left="216"/>
      </w:pPr>
      <w:r>
        <w:rPr>
          <w:rFonts w:ascii="Calibri" w:hAnsi="Calibri"/>
          <w:b w:val="0"/>
          <w:i w:val="0"/>
          <w:color w:val="212529"/>
          <w:sz w:val="20"/>
        </w:rPr>
        <w:t>Use localStorage early. It gives the prototype “memory” and makes stakeholder review feel more realistic before any real persistence exists.</w:t>
      </w:r>
    </w:p>
    <w:p>
      <w:pPr>
        <w:pStyle w:val="ListBullet"/>
        <w:spacing w:after="40"/>
        <w:ind w:left="216"/>
      </w:pPr>
      <w:r>
        <w:rPr>
          <w:rFonts w:ascii="Calibri" w:hAnsi="Calibri"/>
          <w:b w:val="0"/>
          <w:i w:val="0"/>
          <w:color w:val="212529"/>
          <w:sz w:val="20"/>
        </w:rPr>
        <w:t>Prefer a single HTML file for early-stage handoff prototypes. It is easier to review, share, archive, and diff than a multi-file front-end app.</w:t>
      </w:r>
    </w:p>
    <w:p>
      <w:pPr>
        <w:pStyle w:val="ListBullet"/>
        <w:spacing w:after="40"/>
        <w:ind w:left="216"/>
      </w:pPr>
      <w:r>
        <w:rPr>
          <w:rFonts w:ascii="Calibri" w:hAnsi="Calibri"/>
          <w:b w:val="0"/>
          <w:i w:val="0"/>
          <w:color w:val="212529"/>
          <w:sz w:val="20"/>
        </w:rPr>
        <w:t>Separate prototype behaviour from production assumptions. Mock generation, placeholder file extraction, and simulated publish actions should stay explicit.</w:t>
      </w:r>
    </w:p>
    <w:p>
      <w:pPr>
        <w:spacing w:before="280" w:after="120"/>
      </w:pPr>
      <w:r>
        <w:rPr>
          <w:rFonts w:ascii="Calibri" w:hAnsi="Calibri"/>
          <w:b/>
          <w:i w:val="0"/>
          <w:color w:val="003366"/>
          <w:sz w:val="28"/>
        </w:rPr>
        <w:t>10. Recommended path from prototype to production</w:t>
      </w:r>
    </w:p>
    <w:p>
      <w:pPr>
        <w:pStyle w:val="ListBullet"/>
        <w:spacing w:after="40"/>
        <w:ind w:left="216"/>
      </w:pPr>
      <w:r>
        <w:rPr>
          <w:rFonts w:ascii="Calibri" w:hAnsi="Calibri"/>
          <w:b w:val="0"/>
          <w:i w:val="0"/>
          <w:color w:val="212529"/>
          <w:sz w:val="20"/>
        </w:rPr>
        <w:t>Replace mock generation with a service layer that can call a model or workflow engine.</w:t>
      </w:r>
    </w:p>
    <w:p>
      <w:pPr>
        <w:pStyle w:val="ListBullet"/>
        <w:spacing w:after="40"/>
        <w:ind w:left="216"/>
      </w:pPr>
      <w:r>
        <w:rPr>
          <w:rFonts w:ascii="Calibri" w:hAnsi="Calibri"/>
          <w:b w:val="0"/>
          <w:i w:val="0"/>
          <w:color w:val="212529"/>
          <w:sz w:val="20"/>
        </w:rPr>
        <w:t>Move persistence from localStorage to a backend data store with user/session ownership.</w:t>
      </w:r>
    </w:p>
    <w:p>
      <w:pPr>
        <w:pStyle w:val="ListBullet"/>
        <w:spacing w:after="40"/>
        <w:ind w:left="216"/>
      </w:pPr>
      <w:r>
        <w:rPr>
          <w:rFonts w:ascii="Calibri" w:hAnsi="Calibri"/>
          <w:b w:val="0"/>
          <w:i w:val="0"/>
          <w:color w:val="212529"/>
          <w:sz w:val="20"/>
        </w:rPr>
        <w:t>Replace contenteditable with a hardened rich text editor that supports sanitization and role-based controls.</w:t>
      </w:r>
    </w:p>
    <w:p>
      <w:pPr>
        <w:pStyle w:val="ListBullet"/>
        <w:spacing w:after="40"/>
        <w:ind w:left="216"/>
      </w:pPr>
      <w:r>
        <w:rPr>
          <w:rFonts w:ascii="Calibri" w:hAnsi="Calibri"/>
          <w:b w:val="0"/>
          <w:i w:val="0"/>
          <w:color w:val="212529"/>
          <w:sz w:val="20"/>
        </w:rPr>
        <w:t>Add real file parsing for .doc and .docx, ideally as a service rather than in-browser parsing.</w:t>
      </w:r>
    </w:p>
    <w:p>
      <w:pPr>
        <w:pStyle w:val="ListBullet"/>
        <w:spacing w:after="40"/>
        <w:ind w:left="216"/>
      </w:pPr>
      <w:r>
        <w:rPr>
          <w:rFonts w:ascii="Calibri" w:hAnsi="Calibri"/>
          <w:b w:val="0"/>
          <w:i w:val="0"/>
          <w:color w:val="212529"/>
          <w:sz w:val="20"/>
        </w:rPr>
        <w:t>Integrate actual Halo APIs for draft creation, update, article metadata, and publication.</w:t>
      </w:r>
    </w:p>
    <w:p>
      <w:pPr>
        <w:pStyle w:val="ListBullet"/>
        <w:spacing w:after="40"/>
        <w:ind w:left="216"/>
      </w:pPr>
      <w:r>
        <w:rPr>
          <w:rFonts w:ascii="Calibri" w:hAnsi="Calibri"/>
          <w:b w:val="0"/>
          <w:i w:val="0"/>
          <w:color w:val="212529"/>
          <w:sz w:val="20"/>
        </w:rPr>
        <w:t>Add permissions, audit logging, and state transition rules once prototype decisions are stable.</w:t>
      </w:r>
    </w:p>
    <w:p>
      <w:pPr>
        <w:pStyle w:val="ListBullet"/>
        <w:spacing w:after="40"/>
        <w:ind w:left="216"/>
      </w:pPr>
      <w:r>
        <w:rPr>
          <w:rFonts w:ascii="Calibri" w:hAnsi="Calibri"/>
          <w:b w:val="0"/>
          <w:i w:val="0"/>
          <w:color w:val="212529"/>
          <w:sz w:val="20"/>
        </w:rPr>
        <w:t>Separate CSS, data definitions, and view logic into maintainable modules only after the interaction model stops changing rapidly.</w:t>
      </w:r>
    </w:p>
    <w:p>
      <w:pPr>
        <w:spacing w:before="280" w:after="120"/>
      </w:pPr>
      <w:r>
        <w:rPr>
          <w:rFonts w:ascii="Calibri" w:hAnsi="Calibri"/>
          <w:b/>
          <w:i w:val="0"/>
          <w:color w:val="003366"/>
          <w:sz w:val="28"/>
        </w:rPr>
        <w:t>11. Reusable build recipe for pages like this</w:t>
      </w:r>
    </w:p>
    <w:tbl>
      <w:tblPr>
        <w:tblW w:type="auto" w:w="0"/>
        <w:jc w:val="center"/>
        <w:tblLayout w:type="fixed"/>
        <w:tblLook w:firstColumn="1" w:firstRow="1" w:lastColumn="0" w:lastRow="0" w:noHBand="0" w:noVBand="1" w:val="04A0"/>
      </w:tblPr>
      <w:tblGrid>
        <w:gridCol w:w="5040"/>
        <w:gridCol w:w="5040"/>
      </w:tblGrid>
      <w:tr>
        <w:tc>
          <w:tcPr>
            <w:tcW w:type="dxa" w:w="2448"/>
            <w:shd w:fill="1A1F2B" w:color="auto"/>
            <w:tcMar>
              <w:top w:w="90" w:type="dxa"/>
              <w:start w:w="120" w:type="dxa"/>
              <w:bottom w:w="90" w:type="dxa"/>
              <w:end w:w="120" w:type="dxa"/>
            </w:tcMar>
            <w:tcBorders>
              <w:left w:sz="8" w:val="single" w:color="FFFFFF"/>
              <w:top w:sz="8" w:val="single" w:color="FFFFFF"/>
              <w:right w:sz="8" w:val="single" w:color="FFFFFF"/>
              <w:bottom w:sz="8" w:val="single" w:color="FFFFFF"/>
            </w:tcBorders>
            <w:vAlign w:val="center"/>
          </w:tcPr>
          <w:p>
            <w:pPr>
              <w:jc w:val="center"/>
            </w:pPr>
            <w:r>
              <w:rPr>
                <w:rFonts w:ascii="Calibri" w:hAnsi="Calibri"/>
                <w:b/>
                <w:i w:val="0"/>
                <w:color w:val="FFFFFF"/>
                <w:sz w:val="20"/>
              </w:rPr>
              <w:t>Stage</w:t>
            </w:r>
          </w:p>
        </w:tc>
        <w:tc>
          <w:tcPr>
            <w:tcW w:type="dxa" w:w="7344"/>
            <w:shd w:fill="1A1F2B" w:color="auto"/>
            <w:tcMar>
              <w:top w:w="90" w:type="dxa"/>
              <w:start w:w="120" w:type="dxa"/>
              <w:bottom w:w="90" w:type="dxa"/>
              <w:end w:w="120" w:type="dxa"/>
            </w:tcMar>
            <w:tcBorders>
              <w:left w:sz="8" w:val="single" w:color="FFFFFF"/>
              <w:top w:sz="8" w:val="single" w:color="FFFFFF"/>
              <w:right w:sz="8" w:val="single" w:color="FFFFFF"/>
              <w:bottom w:sz="8" w:val="single" w:color="FFFFFF"/>
            </w:tcBorders>
            <w:vAlign w:val="center"/>
          </w:tcPr>
          <w:p>
            <w:pPr>
              <w:jc w:val="center"/>
            </w:pPr>
            <w:r>
              <w:rPr>
                <w:rFonts w:ascii="Calibri" w:hAnsi="Calibri"/>
                <w:b/>
                <w:i w:val="0"/>
                <w:color w:val="FFFFFF"/>
                <w:sz w:val="20"/>
              </w:rPr>
              <w:t>What to do</w:t>
            </w:r>
          </w:p>
        </w:tc>
      </w:tr>
      <w:tr>
        <w:tc>
          <w:tcPr>
            <w:tcW w:type="dxa" w:w="2448"/>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1. Define the product model</w:t>
            </w:r>
          </w:p>
        </w:tc>
        <w:tc>
          <w:tcPr>
            <w:tcW w:type="dxa" w:w="7344"/>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Name the container object, child objects, states, and destructive actions before any visual design starts.</w:t>
            </w:r>
          </w:p>
        </w:tc>
      </w:tr>
      <w:tr>
        <w:tc>
          <w:tcPr>
            <w:tcW w:type="dxa" w:w="2448"/>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2. Define the task chain</w:t>
            </w:r>
          </w:p>
        </w:tc>
        <w:tc>
          <w:tcPr>
            <w:tcW w:type="dxa" w:w="7344"/>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Reduce the experience to 3–5 top-level tasks users can understand at a glance.</w:t>
            </w:r>
          </w:p>
        </w:tc>
      </w:tr>
      <w:tr>
        <w:tc>
          <w:tcPr>
            <w:tcW w:type="dxa" w:w="2448"/>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3. Mirror the target system</w:t>
            </w:r>
          </w:p>
        </w:tc>
        <w:tc>
          <w:tcPr>
            <w:tcW w:type="dxa" w:w="7344"/>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Copy the real field names and editing patterns that matter for credibility and handoff value.</w:t>
            </w:r>
          </w:p>
        </w:tc>
      </w:tr>
      <w:tr>
        <w:tc>
          <w:tcPr>
            <w:tcW w:type="dxa" w:w="2448"/>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4. Prototype in one file</w:t>
            </w:r>
          </w:p>
        </w:tc>
        <w:tc>
          <w:tcPr>
            <w:tcW w:type="dxa" w:w="7344"/>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Use Bootstrap + embedded CSS + vanilla JS for speed and portability.</w:t>
            </w:r>
          </w:p>
        </w:tc>
      </w:tr>
      <w:tr>
        <w:tc>
          <w:tcPr>
            <w:tcW w:type="dxa" w:w="2448"/>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5. Add mock persistence</w:t>
            </w:r>
          </w:p>
        </w:tc>
        <w:tc>
          <w:tcPr>
            <w:tcW w:type="dxa" w:w="7344"/>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Use localStorage so reviewers can leave and come back without losing work.</w:t>
            </w:r>
          </w:p>
        </w:tc>
      </w:tr>
      <w:tr>
        <w:tc>
          <w:tcPr>
            <w:tcW w:type="dxa" w:w="2448"/>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6. Iterate visually</w:t>
            </w:r>
          </w:p>
        </w:tc>
        <w:tc>
          <w:tcPr>
            <w:tcW w:type="dxa" w:w="7344"/>
            <w:tcMar>
              <w:top w:w="90" w:type="dxa"/>
              <w:start w:w="110" w:type="dxa"/>
              <w:bottom w:w="90" w:type="dxa"/>
              <w:end w:w="110" w:type="dxa"/>
            </w:tcMar>
            <w:tcBorders>
              <w:left w:sz="6" w:val="single" w:color="D9D3D0"/>
              <w:top w:sz="6" w:val="single" w:color="D9D3D0"/>
              <w:right w:sz="6" w:val="single" w:color="D9D3D0"/>
              <w:bottom w:sz="6" w:val="single" w:color="D9D3D0"/>
            </w:tcBorders>
            <w:vAlign w:val="center"/>
          </w:tcPr>
          <w:p>
            <w:r>
              <w:rPr>
                <w:rFonts w:ascii="Calibri" w:hAnsi="Calibri"/>
                <w:b w:val="0"/>
                <w:i w:val="0"/>
                <w:color w:val="212529"/>
                <w:sz w:val="19"/>
              </w:rPr>
              <w:t>Review screenshots, annotate friction, simplify, and only then add branding polish.</w:t>
            </w:r>
          </w:p>
        </w:tc>
      </w:tr>
    </w:tbl>
    <w:p>
      <w:pPr>
        <w:spacing w:after="0"/>
      </w:pPr>
    </w:p>
    <w:p>
      <w:pPr>
        <w:spacing w:before="280" w:after="120"/>
      </w:pPr>
      <w:r>
        <w:rPr>
          <w:rFonts w:ascii="Calibri" w:hAnsi="Calibri"/>
          <w:b/>
          <w:i w:val="0"/>
          <w:color w:val="003366"/>
          <w:sz w:val="28"/>
        </w:rPr>
        <w:t>12. Prompt pattern for future builds</w:t>
      </w:r>
    </w:p>
    <w:p>
      <w:pPr>
        <w:spacing w:before="0" w:after="120" w:line="276" w:lineRule="auto"/>
      </w:pPr>
      <w:r>
        <w:rPr>
          <w:rFonts w:ascii="Calibri" w:hAnsi="Calibri"/>
          <w:b w:val="0"/>
          <w:i w:val="0"/>
          <w:color w:val="212529"/>
          <w:sz w:val="20"/>
        </w:rPr>
        <w:t>The template below is a useful starting pattern when you want another prototype in this same family. Replace the product-specific nouns and field lists, but keep the structure.</w:t>
      </w:r>
    </w:p>
    <w:tbl>
      <w:tblPr>
        <w:tblW w:type="auto" w:w="0"/>
        <w:jc w:val="center"/>
        <w:tblLook w:firstColumn="1" w:firstRow="1" w:lastColumn="0" w:lastRow="0" w:noHBand="0" w:noVBand="1" w:val="04A0"/>
      </w:tblPr>
      <w:tblGrid>
        <w:gridCol w:w="10080"/>
      </w:tblGrid>
      <w:tr>
        <w:tc>
          <w:tcPr>
            <w:tcW w:type="dxa" w:w="10080"/>
            <w:shd w:fill="F3F6F8" w:color="auto"/>
            <w:tcBorders>
              <w:left w:sz="8" w:val="single" w:color="B9C3CC"/>
              <w:top w:sz="8" w:val="single" w:color="B9C3CC"/>
              <w:right w:sz="8" w:val="single" w:color="B9C3CC"/>
              <w:bottom w:sz="8" w:val="single" w:color="B9C3CC"/>
            </w:tcBorders>
            <w:tcMar>
              <w:top w:w="120" w:type="dxa"/>
              <w:start w:w="120" w:type="dxa"/>
              <w:bottom w:w="120" w:type="dxa"/>
              <w:end w:w="120" w:type="dxa"/>
            </w:tcMar>
          </w:tcPr>
          <w:p>
            <w:pPr>
              <w:spacing w:after="120"/>
            </w:pPr>
            <w:r>
              <w:rPr>
                <w:rFonts w:ascii="Calibri" w:hAnsi="Calibri"/>
                <w:b/>
                <w:i w:val="0"/>
                <w:color w:val="003366"/>
                <w:sz w:val="20"/>
              </w:rPr>
              <w:t>Reusable prompt skeleton</w:t>
            </w:r>
          </w:p>
          <w:p>
            <w:pPr>
              <w:spacing w:after="20"/>
            </w:pPr>
            <w:r>
              <w:rPr>
                <w:rFonts w:ascii="Courier New" w:hAnsi="Courier New"/>
                <w:b w:val="0"/>
                <w:i w:val="0"/>
                <w:color w:val="2E3440"/>
                <w:sz w:val="18"/>
              </w:rPr>
              <w:t>Create a single-file desktop HTML prototype for an internal tool called “[Tool Name]”.</w:t>
            </w:r>
          </w:p>
          <w:p>
            <w:pPr>
              <w:spacing w:after="20"/>
            </w:pPr>
            <w:r>
              <w:rPr>
                <w:rFonts w:ascii="Courier New" w:hAnsi="Courier New"/>
                <w:b w:val="0"/>
                <w:i w:val="0"/>
                <w:color w:val="2E3440"/>
                <w:sz w:val="18"/>
              </w:rPr>
            </w:r>
          </w:p>
          <w:p>
            <w:pPr>
              <w:spacing w:after="20"/>
            </w:pPr>
            <w:r>
              <w:rPr>
                <w:rFonts w:ascii="Courier New" w:hAnsi="Courier New"/>
                <w:b w:val="0"/>
                <w:i w:val="0"/>
                <w:color w:val="2E3440"/>
                <w:sz w:val="18"/>
              </w:rPr>
              <w:t>Purpose:</w:t>
            </w:r>
          </w:p>
          <w:p>
            <w:pPr>
              <w:spacing w:after="20"/>
            </w:pPr>
            <w:r>
              <w:rPr>
                <w:rFonts w:ascii="Courier New" w:hAnsi="Courier New"/>
                <w:b w:val="0"/>
                <w:i w:val="0"/>
                <w:color w:val="2E3440"/>
                <w:sz w:val="18"/>
              </w:rPr>
              <w:t>This is a layout and flow concept for a developer handoff. Use Bootstrap 5, Bootstrap Icons, embedded CSS, and vanilla JavaScript only. No frameworks, no build tools, no backend integration.</w:t>
            </w:r>
          </w:p>
          <w:p>
            <w:pPr>
              <w:spacing w:after="20"/>
            </w:pPr>
            <w:r>
              <w:rPr>
                <w:rFonts w:ascii="Courier New" w:hAnsi="Courier New"/>
                <w:b w:val="0"/>
                <w:i w:val="0"/>
                <w:color w:val="2E3440"/>
                <w:sz w:val="18"/>
              </w:rPr>
            </w:r>
          </w:p>
          <w:p>
            <w:pPr>
              <w:spacing w:after="20"/>
            </w:pPr>
            <w:r>
              <w:rPr>
                <w:rFonts w:ascii="Courier New" w:hAnsi="Courier New"/>
                <w:b w:val="0"/>
                <w:i w:val="0"/>
                <w:color w:val="2E3440"/>
                <w:sz w:val="18"/>
              </w:rPr>
              <w:t>The prototype must:</w:t>
            </w:r>
          </w:p>
          <w:p>
            <w:pPr>
              <w:spacing w:after="20"/>
            </w:pPr>
            <w:r>
              <w:rPr>
                <w:rFonts w:ascii="Courier New" w:hAnsi="Courier New"/>
                <w:b w:val="0"/>
                <w:i w:val="0"/>
                <w:color w:val="2E3440"/>
                <w:sz w:val="18"/>
              </w:rPr>
              <w:t>- Use a left sidebar for saved work items</w:t>
            </w:r>
          </w:p>
          <w:p>
            <w:pPr>
              <w:spacing w:after="20"/>
            </w:pPr>
            <w:r>
              <w:rPr>
                <w:rFonts w:ascii="Courier New" w:hAnsi="Courier New"/>
                <w:b w:val="0"/>
                <w:i w:val="0"/>
                <w:color w:val="2E3440"/>
                <w:sz w:val="18"/>
              </w:rPr>
              <w:t>- Use a top task navigation with 3–5 clear steps</w:t>
            </w:r>
          </w:p>
          <w:p>
            <w:pPr>
              <w:spacing w:after="20"/>
            </w:pPr>
            <w:r>
              <w:rPr>
                <w:rFonts w:ascii="Courier New" w:hAnsi="Courier New"/>
                <w:b w:val="0"/>
                <w:i w:val="0"/>
                <w:color w:val="2E3440"/>
                <w:sz w:val="18"/>
              </w:rPr>
              <w:t>- Persist mock data in localStorage</w:t>
            </w:r>
          </w:p>
          <w:p>
            <w:pPr>
              <w:spacing w:after="20"/>
            </w:pPr>
            <w:r>
              <w:rPr>
                <w:rFonts w:ascii="Courier New" w:hAnsi="Courier New"/>
                <w:b w:val="0"/>
                <w:i w:val="0"/>
                <w:color w:val="2E3440"/>
                <w:sz w:val="18"/>
              </w:rPr>
              <w:t>- Use mock generation and simulated publish behaviour</w:t>
            </w:r>
          </w:p>
          <w:p>
            <w:pPr>
              <w:spacing w:after="20"/>
            </w:pPr>
            <w:r>
              <w:rPr>
                <w:rFonts w:ascii="Courier New" w:hAnsi="Courier New"/>
                <w:b w:val="0"/>
                <w:i w:val="0"/>
                <w:color w:val="2E3440"/>
                <w:sz w:val="18"/>
              </w:rPr>
              <w:t>- Mirror the target system's field names and editing patterns closely</w:t>
            </w:r>
          </w:p>
          <w:p>
            <w:pPr>
              <w:spacing w:after="20"/>
            </w:pPr>
            <w:r>
              <w:rPr>
                <w:rFonts w:ascii="Courier New" w:hAnsi="Courier New"/>
                <w:b w:val="0"/>
                <w:i w:val="0"/>
                <w:color w:val="2E3440"/>
                <w:sz w:val="18"/>
              </w:rPr>
              <w:t>- Prefer rich text editing over raw HTML when the user-facing system is rich text based</w:t>
            </w:r>
          </w:p>
          <w:p>
            <w:pPr>
              <w:spacing w:after="20"/>
            </w:pPr>
            <w:r>
              <w:rPr>
                <w:rFonts w:ascii="Courier New" w:hAnsi="Courier New"/>
                <w:b w:val="0"/>
                <w:i w:val="0"/>
                <w:color w:val="2E3440"/>
                <w:sz w:val="18"/>
              </w:rPr>
              <w:t>- Keep the UI simple, premium, and desktop-focused</w:t>
            </w:r>
          </w:p>
          <w:p>
            <w:pPr>
              <w:spacing w:after="20"/>
            </w:pPr>
            <w:r>
              <w:rPr>
                <w:rFonts w:ascii="Courier New" w:hAnsi="Courier New"/>
                <w:b w:val="0"/>
                <w:i w:val="0"/>
                <w:color w:val="2E3440"/>
                <w:sz w:val="18"/>
              </w:rPr>
            </w:r>
          </w:p>
          <w:p>
            <w:pPr>
              <w:spacing w:after="20"/>
            </w:pPr>
            <w:r>
              <w:rPr>
                <w:rFonts w:ascii="Courier New" w:hAnsi="Courier New"/>
                <w:b w:val="0"/>
                <w:i w:val="0"/>
                <w:color w:val="2E3440"/>
                <w:sz w:val="18"/>
              </w:rPr>
              <w:t>Core object model:</w:t>
            </w:r>
          </w:p>
          <w:p>
            <w:pPr>
              <w:spacing w:after="20"/>
            </w:pPr>
            <w:r>
              <w:rPr>
                <w:rFonts w:ascii="Courier New" w:hAnsi="Courier New"/>
                <w:b w:val="0"/>
                <w:i w:val="0"/>
                <w:color w:val="2E3440"/>
                <w:sz w:val="18"/>
              </w:rPr>
              <w:t>- [Top-level object]</w:t>
            </w:r>
          </w:p>
          <w:p>
            <w:pPr>
              <w:spacing w:after="20"/>
            </w:pPr>
            <w:r>
              <w:rPr>
                <w:rFonts w:ascii="Courier New" w:hAnsi="Courier New"/>
                <w:b w:val="0"/>
                <w:i w:val="0"/>
                <w:color w:val="2E3440"/>
                <w:sz w:val="18"/>
              </w:rPr>
              <w:t>- [Child object]</w:t>
            </w:r>
          </w:p>
          <w:p>
            <w:pPr>
              <w:spacing w:after="20"/>
            </w:pPr>
            <w:r>
              <w:rPr>
                <w:rFonts w:ascii="Courier New" w:hAnsi="Courier New"/>
                <w:b w:val="0"/>
                <w:i w:val="0"/>
                <w:color w:val="2E3440"/>
                <w:sz w:val="18"/>
              </w:rPr>
              <w:t>- [Output object]</w:t>
            </w:r>
          </w:p>
          <w:p>
            <w:pPr>
              <w:spacing w:after="20"/>
            </w:pPr>
            <w:r>
              <w:rPr>
                <w:rFonts w:ascii="Courier New" w:hAnsi="Courier New"/>
                <w:b w:val="0"/>
                <w:i w:val="0"/>
                <w:color w:val="2E3440"/>
                <w:sz w:val="18"/>
              </w:rPr>
            </w:r>
          </w:p>
          <w:p>
            <w:pPr>
              <w:spacing w:after="20"/>
            </w:pPr>
            <w:r>
              <w:rPr>
                <w:rFonts w:ascii="Courier New" w:hAnsi="Courier New"/>
                <w:b w:val="0"/>
                <w:i w:val="0"/>
                <w:color w:val="2E3440"/>
                <w:sz w:val="18"/>
              </w:rPr>
              <w:t>Primary workflow:</w:t>
            </w:r>
          </w:p>
          <w:p>
            <w:pPr>
              <w:spacing w:after="20"/>
            </w:pPr>
            <w:r>
              <w:rPr>
                <w:rFonts w:ascii="Courier New" w:hAnsi="Courier New"/>
                <w:b w:val="0"/>
                <w:i w:val="0"/>
                <w:color w:val="2E3440"/>
                <w:sz w:val="18"/>
              </w:rPr>
              <w:t>- [Step 1]</w:t>
            </w:r>
          </w:p>
          <w:p>
            <w:pPr>
              <w:spacing w:after="20"/>
            </w:pPr>
            <w:r>
              <w:rPr>
                <w:rFonts w:ascii="Courier New" w:hAnsi="Courier New"/>
                <w:b w:val="0"/>
                <w:i w:val="0"/>
                <w:color w:val="2E3440"/>
                <w:sz w:val="18"/>
              </w:rPr>
              <w:t>- [Step 2]</w:t>
            </w:r>
          </w:p>
          <w:p>
            <w:pPr>
              <w:spacing w:after="20"/>
            </w:pPr>
            <w:r>
              <w:rPr>
                <w:rFonts w:ascii="Courier New" w:hAnsi="Courier New"/>
                <w:b w:val="0"/>
                <w:i w:val="0"/>
                <w:color w:val="2E3440"/>
                <w:sz w:val="18"/>
              </w:rPr>
              <w:t>- [Step 3]</w:t>
            </w:r>
          </w:p>
          <w:p>
            <w:pPr>
              <w:spacing w:after="20"/>
            </w:pPr>
            <w:r>
              <w:rPr>
                <w:rFonts w:ascii="Courier New" w:hAnsi="Courier New"/>
                <w:b w:val="0"/>
                <w:i w:val="0"/>
                <w:color w:val="2E3440"/>
                <w:sz w:val="18"/>
              </w:rPr>
              <w:t>- [Step 4]</w:t>
            </w:r>
          </w:p>
          <w:p>
            <w:pPr>
              <w:spacing w:after="20"/>
            </w:pPr>
            <w:r>
              <w:rPr>
                <w:rFonts w:ascii="Courier New" w:hAnsi="Courier New"/>
                <w:b w:val="0"/>
                <w:i w:val="0"/>
                <w:color w:val="2E3440"/>
                <w:sz w:val="18"/>
              </w:rPr>
            </w:r>
          </w:p>
          <w:p>
            <w:pPr>
              <w:spacing w:after="20"/>
            </w:pPr>
            <w:r>
              <w:rPr>
                <w:rFonts w:ascii="Courier New" w:hAnsi="Courier New"/>
                <w:b w:val="0"/>
                <w:i w:val="0"/>
                <w:color w:val="2E3440"/>
                <w:sz w:val="18"/>
              </w:rPr>
              <w:t>Design direction:</w:t>
            </w:r>
          </w:p>
          <w:p>
            <w:pPr>
              <w:spacing w:after="20"/>
            </w:pPr>
            <w:r>
              <w:rPr>
                <w:rFonts w:ascii="Courier New" w:hAnsi="Courier New"/>
                <w:b w:val="0"/>
                <w:i w:val="0"/>
                <w:color w:val="2E3440"/>
                <w:sz w:val="18"/>
              </w:rPr>
              <w:t>- Match [target system] where useful</w:t>
            </w:r>
          </w:p>
          <w:p>
            <w:pPr>
              <w:spacing w:after="20"/>
            </w:pPr>
            <w:r>
              <w:rPr>
                <w:rFonts w:ascii="Courier New" w:hAnsi="Courier New"/>
                <w:b w:val="0"/>
                <w:i w:val="0"/>
                <w:color w:val="2E3440"/>
                <w:sz w:val="18"/>
              </w:rPr>
              <w:t>- Use [brand palette] sparingly and intelligently</w:t>
            </w:r>
          </w:p>
          <w:p>
            <w:pPr>
              <w:spacing w:after="20"/>
            </w:pPr>
            <w:r>
              <w:rPr>
                <w:rFonts w:ascii="Courier New" w:hAnsi="Courier New"/>
                <w:b w:val="0"/>
                <w:i w:val="0"/>
                <w:color w:val="2E3440"/>
                <w:sz w:val="18"/>
              </w:rPr>
              <w:t>- Use conventional status colours for fast scanning</w:t>
            </w:r>
          </w:p>
          <w:p>
            <w:pPr>
              <w:spacing w:after="20"/>
            </w:pPr>
            <w:r>
              <w:rPr>
                <w:rFonts w:ascii="Courier New" w:hAnsi="Courier New"/>
                <w:b w:val="0"/>
                <w:i w:val="0"/>
                <w:color w:val="2E3440"/>
                <w:sz w:val="18"/>
              </w:rPr>
              <w:t>- Make selected states visually obvious</w:t>
            </w:r>
          </w:p>
        </w:tc>
      </w:tr>
    </w:tbl>
    <w:p>
      <w:pPr>
        <w:spacing w:after="0"/>
      </w:pPr>
    </w:p>
    <w:p>
      <w:pPr>
        <w:spacing w:before="280" w:after="120"/>
      </w:pPr>
      <w:r>
        <w:rPr>
          <w:rFonts w:ascii="Calibri" w:hAnsi="Calibri"/>
          <w:b/>
          <w:i w:val="0"/>
          <w:color w:val="003366"/>
          <w:sz w:val="28"/>
        </w:rPr>
        <w:t>13. Final note</w:t>
      </w:r>
    </w:p>
    <w:p>
      <w:pPr>
        <w:spacing w:before="0" w:after="120" w:line="276" w:lineRule="auto"/>
      </w:pPr>
      <w:r>
        <w:rPr>
          <w:rFonts w:ascii="Calibri" w:hAnsi="Calibri"/>
          <w:b w:val="0"/>
          <w:i w:val="0"/>
          <w:color w:val="212529"/>
          <w:sz w:val="21"/>
        </w:rPr>
        <w:t>The final Halo Forge prototype is valuable because it does three jobs at once: it demonstrates a believable interface, documents a usable interaction model, and creates a reusable pattern for future internal product pages. The fastest way to reuse it is to preserve the structure, not the exact copy. Keep the shell, the state model discipline, the iterative review process, and the target-system mirroring approach.</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8E857F"/>
        <w:sz w:val="17"/>
      </w:rPr>
      <w:t>Halo Forge Prototype Overview and Reuse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