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3AF7" w14:textId="77777777" w:rsidR="001E59F3" w:rsidRPr="00457601" w:rsidRDefault="00F10361" w:rsidP="00DF6CD2">
      <w:pPr>
        <w:rPr>
          <w:rFonts w:cs="Arial"/>
        </w:rPr>
      </w:pPr>
      <w:r>
        <w:rPr>
          <w:rFonts w:cs="Arial"/>
          <w:noProof/>
        </w:rPr>
        <w:drawing>
          <wp:anchor distT="0" distB="0" distL="114300" distR="114300" simplePos="0" relativeHeight="251662336" behindDoc="0" locked="0" layoutInCell="1" allowOverlap="1" wp14:anchorId="447BE5E9" wp14:editId="602FE260">
            <wp:simplePos x="0" y="0"/>
            <wp:positionH relativeFrom="margin">
              <wp:posOffset>-258445</wp:posOffset>
            </wp:positionH>
            <wp:positionV relativeFrom="paragraph">
              <wp:posOffset>533400</wp:posOffset>
            </wp:positionV>
            <wp:extent cx="6614160" cy="3474720"/>
            <wp:effectExtent l="0" t="0" r="0" b="0"/>
            <wp:wrapNone/>
            <wp:docPr id="1742119530" name="Image 3" descr="Interdire les vols à moins de 4 heures en train, c'est « possible » 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erdire les vols à moins de 4 heures en train, c'est « possible » 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14160" cy="3474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rPr>
        <mc:AlternateContent>
          <mc:Choice Requires="wps">
            <w:drawing>
              <wp:anchor distT="45720" distB="45720" distL="114300" distR="114300" simplePos="0" relativeHeight="251664384" behindDoc="0" locked="0" layoutInCell="1" allowOverlap="1" wp14:anchorId="280C68B3" wp14:editId="7F195D1C">
                <wp:simplePos x="0" y="0"/>
                <wp:positionH relativeFrom="margin">
                  <wp:align>left</wp:align>
                </wp:positionH>
                <wp:positionV relativeFrom="paragraph">
                  <wp:posOffset>4442460</wp:posOffset>
                </wp:positionV>
                <wp:extent cx="4556760" cy="8839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760" cy="883920"/>
                        </a:xfrm>
                        <a:prstGeom prst="rect">
                          <a:avLst/>
                        </a:prstGeom>
                        <a:noFill/>
                        <a:ln w="9525">
                          <a:noFill/>
                          <a:miter lim="800000"/>
                          <a:headEnd/>
                          <a:tailEnd/>
                        </a:ln>
                      </wps:spPr>
                      <wps:txbx>
                        <w:txbxContent>
                          <w:p w14:paraId="505651FA" w14:textId="77777777" w:rsidR="000C4415" w:rsidRPr="000C4415" w:rsidRDefault="000C4415">
                            <w:pPr>
                              <w:rPr>
                                <w:rFonts w:cs="Arial"/>
                                <w:color w:val="FFFFFF" w:themeColor="background1"/>
                                <w:sz w:val="96"/>
                                <w:szCs w:val="96"/>
                              </w:rPr>
                            </w:pPr>
                            <w:r>
                              <w:rPr>
                                <w:rFonts w:cs="Arial"/>
                                <w:color w:val="FFFFFF" w:themeColor="background1"/>
                                <w:sz w:val="96"/>
                                <w:szCs w:val="96"/>
                              </w:rPr>
                              <w:t>ObRail Europe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E89241" id="_x0000_t202" coordsize="21600,21600" o:spt="202" path="m,l,21600r21600,l21600,xe">
                <v:stroke joinstyle="miter"/>
                <v:path gradientshapeok="t" o:connecttype="rect"/>
              </v:shapetype>
              <v:shape id="Zone de texte 2" o:spid="_x0000_s1026" type="#_x0000_t202" style="position:absolute;left:0;text-align:left;margin-left:0;margin-top:349.8pt;width:358.8pt;height:69.6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q8JU+AEAAM0DAAAOAAAAZHJzL2Uyb0RvYy54bWysU8tu2zAQvBfoPxC817Jd27EFy0GaNEWB 9AEk/YA1RVlESS5L0pbcr++SchyjvQXVgSC13Nmd2eH6ujeaHaQPCm3FJ6MxZ9IKrJXdVfzH0/27 JWchgq1Bo5UVP8rArzdv36w7V8optqhr6RmB2FB2ruJtjK4siiBaaSCM0ElLwQa9gUhHvytqDx2h G11Mx+NF0aGvnUchQ6C/d0OQbzJ+00gRvzVNkJHpilNvMa8+r9u0Fps1lDsPrlXi1Aa8ogsDylLR M9QdRGB7r/6BMkp4DNjEkUBTYNMoITMHYjMZ/8XmsQUnMxcSJ7izTOH/wYqvh0f33bPYf8CeBphJ BPeA4mdgFm9bsDt54z12rYSaCk+SZEXnQnlKTVKHMiSQbfcFaxoy7CNmoL7xJqlCPBmh0wCOZ9Fl H5mgn7P5fHG1oJCg2HL5fjXNUymgfM52PsRPEg1Lm4p7GmpGh8NDiKkbKJ+vpGIW75XWebDasq7i q/l0nhMuIkZF8p1WhmqO0zc4IZH8aOucHEHpYU8FtD2xTkQHyrHf9nQxsd9ifST+Hgd/0XugTYv+ N2cdeavi4dcevORMf7ak4WoymyUz5sNsfkWMmb+MbC8jYAVBVTxyNmxvYzbwwPWGtG5UluGlk1Ov 5JmszsnfyZSX53zr5RVu/gAAAP//AwBQSwMEFAAGAAgAAAAhAGhWUXDdAAAACAEAAA8AAABkcnMv ZG93bnJldi54bWxMj81OwzAQhO9IvIO1SNyoU37SJGRTIRBXEIVW4ubG2yQiXkex24S3ZznBbVaz mvmmXM+uVycaQ+cZYblIQBHX3nbcIHy8P19loEI0bE3vmRC+KcC6Oj8rTWH9xG902sRGSQiHwiC0 MQ6F1qFuyZmw8AOxeAc/OhPlHBttRzNJuOv1dZKk2pmOpaE1Az22VH9tjg5h+3L43N0mr82Tuxsm PyeaXa4RLy/mh3tQkeb49wy/+IIOlTDt/ZFtUD2CDIkIaZ6noMReLVci9gjZTZaBrkr9f0D1AwAA //8DAFBLAQItABQABgAIAAAAIQC2gziS/gAAAOEBAAATAAAAAAAAAAAAAAAAAAAAAABbQ29udGVu dF9UeXBlc10ueG1sUEsBAi0AFAAGAAgAAAAhADj9If/WAAAAlAEAAAsAAAAAAAAAAAAAAAAALwEA AF9yZWxzLy5yZWxzUEsBAi0AFAAGAAgAAAAhAMCrwlT4AQAAzQMAAA4AAAAAAAAAAAAAAAAALgIA AGRycy9lMm9Eb2MueG1sUEsBAi0AFAAGAAgAAAAhAGhWUXDdAAAACAEAAA8AAAAAAAAAAAAAAAAA UgQAAGRycy9kb3ducmV2LnhtbFBLBQYAAAAABAAEAPMAAABcBQAAAAA= " filled="f" stroked="f">
                <v:textbox>
                  <w:txbxContent>
                    <w:p w14:paraId="5F21EDB7" w14:textId="7524B75C" w:rsidR="000C4415" w:rsidRPr="000C4415" w:rsidRDefault="000C4415">
                      <w:pPr>
                        <w:rPr>
                          <w:rFonts w:cs="Arial"/>
                          <w:color w:val="FFFFFF" w:themeColor="background1"/>
                          <w:sz w:val="96"/>
                          <w:szCs w:val="96"/>
                        </w:rPr>
                      </w:pPr>
                      <w:r>
                        <w:rPr>
                          <w:rFonts w:cs="Arial"/>
                          <w:color w:val="FFFFFF" w:themeColor="background1"/>
                          <w:sz w:val="96"/>
                          <w:szCs w:val="96"/>
                        </w:rPr>
                        <w:t>ObRail Europe</w:t>
                      </w:r>
                    </w:p>
                  </w:txbxContent>
                </v:textbox>
                <w10:wrap type="square" anchorx="margin"/>
              </v:shape>
            </w:pict>
          </mc:Fallback>
        </mc:AlternateContent>
      </w:r>
      <w:r>
        <w:rPr>
          <w:rFonts w:cs="Arial"/>
          <w:noProof/>
        </w:rPr>
        <mc:AlternateContent>
          <mc:Choice Requires="wps">
            <w:drawing>
              <wp:anchor distT="45720" distB="45720" distL="114300" distR="114300" simplePos="0" relativeHeight="251666432" behindDoc="0" locked="0" layoutInCell="1" allowOverlap="1" wp14:anchorId="0B160352" wp14:editId="668A15E9">
                <wp:simplePos x="0" y="0"/>
                <wp:positionH relativeFrom="margin">
                  <wp:align>right</wp:align>
                </wp:positionH>
                <wp:positionV relativeFrom="paragraph">
                  <wp:posOffset>5928360</wp:posOffset>
                </wp:positionV>
                <wp:extent cx="6096000" cy="1404620"/>
                <wp:effectExtent l="0" t="0" r="0" b="0"/>
                <wp:wrapSquare wrapText="bothSides"/>
                <wp:docPr id="4323524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404620"/>
                        </a:xfrm>
                        <a:prstGeom prst="rect">
                          <a:avLst/>
                        </a:prstGeom>
                        <a:noFill/>
                        <a:ln w="9525">
                          <a:noFill/>
                          <a:miter lim="800000"/>
                          <a:headEnd/>
                          <a:tailEnd/>
                        </a:ln>
                      </wps:spPr>
                      <wps:txbx>
                        <w:txbxContent>
                          <w:p w14:paraId="307B3298" w14:textId="77777777" w:rsidR="005A547C" w:rsidRPr="001E1008" w:rsidRDefault="005A547C" w:rsidP="005A547C">
                            <w:pPr>
                              <w:spacing w:line="276" w:lineRule="auto"/>
                              <w:jc w:val="center"/>
                              <w:rPr>
                                <w:rFonts w:cs="Arial"/>
                                <w:sz w:val="52"/>
                                <w:szCs w:val="52"/>
                              </w:rPr>
                            </w:pPr>
                            <w:r>
                              <w:rPr>
                                <w:rFonts w:cs="Arial"/>
                                <w:sz w:val="52"/>
                                <w:szCs w:val="52"/>
                              </w:rPr>
                              <w:t>Mise en œuvre d’un processus ETL répondant au</w:t>
                            </w:r>
                          </w:p>
                          <w:p w14:paraId="0150C165" w14:textId="77777777" w:rsidR="000C4415" w:rsidRPr="000C4415" w:rsidRDefault="005A547C" w:rsidP="005A547C">
                            <w:pPr>
                              <w:spacing w:line="276" w:lineRule="auto"/>
                              <w:jc w:val="center"/>
                              <w:rPr>
                                <w:rFonts w:cs="Arial"/>
                                <w:sz w:val="52"/>
                                <w:szCs w:val="52"/>
                              </w:rPr>
                            </w:pPr>
                            <w:r>
                              <w:rPr>
                                <w:rFonts w:cs="Arial"/>
                                <w:sz w:val="52"/>
                                <w:szCs w:val="52"/>
                              </w:rPr>
                              <w:t>besoin d’une solution 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99BB706" id="_x0000_s1027" type="#_x0000_t202" style="position:absolute;left:0;text-align:left;margin-left:428.8pt;margin-top:466.8pt;width:480pt;height:110.6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yxNY/AEAANUDAAAOAAAAZHJzL2Uyb0RvYy54bWysU9uO2yAQfa/Uf0C8N3aiJN1YcVbb3aaq tL1I234AwThGBYYyJHb69R2INxu1b1Vf0MDAmTlnDuvbwRp2VAE1uJpPJyVnyklotNvX/Pu37Zsb zjAK1wgDTtX8pJDfbl6/Wve+UjPowDQqMAJxWPW+5l2MvioKlJ2yAifglaNkC8GKSNuwL5ogekK3 ppiV5bLoITQ+gFSIdPpwTvJNxm9bJeOXtkUVmak59RbzGvK6S2uxWYtqH4TvtBzbEP/QhRXaUdEL 1IOIgh2C/gvKahkAoY0TCbaAttVSZQ7EZlr+weapE15lLiQO+otM+P9g5efjk/8aWBzewUADzCTQ P4L8gczBfSfcXt2FAH2nREOFp0myovdYjU+T1FhhAtn1n6ChIYtDhAw0tMEmVYgnI3QawOkiuhoi k3S4LFfLsqSUpNx0Xs6XszyWQlTPz33A+EGBZSmoeaCpZnhxfMSY2hHV85VUzcFWG5Mnaxzra75a zBb5wVXG6kjGM9rW/IbKUwP5QWL53jU5jkKbc0wFjBtpJ6ZnznHYDUw3oyZJhR00J9IhwNln9C8o 6CD84qwnj9Ucfx5EUJyZj460XE3n82TKvJkv3hJxFq4zu+uMcJKgah45O4f3MRs5UUZ/R5pvdVbj pZOxZfJOFmn0eTLn9T7fevmNm98AAAD//wMAUEsDBBQABgAIAAAAIQCLGjt/3QAAAAkBAAAPAAAA ZHJzL2Rvd25yZXYueG1sTI/NTsMwEITvSLyDtUjcqB1KozbEqSp+JA5cKOHuxiaOiNdRvG3St2c5 0ePOjGa/Kbdz6MXJjamLqCFbKBAOm2g7bDXUn693axCJDFrTR3Qazi7Btrq+Kk1h44Qf7rSnVnAJ psJo8ERDIWVqvAsmLeLgkL3vOAZDfI6ttKOZuDz08l6pXAbTIX/wZnBP3jU/+2PQQGR32bl+Cent a35/nrxqVqbW+vZm3j2CIDfTfxj+8BkdKmY6xCPaJHoNPIQ0bJbLHATbm1yxcuBctnpYg6xKebmg +gUAAP//AwBQSwECLQAUAAYACAAAACEAtoM4kv4AAADhAQAAEwAAAAAAAAAAAAAAAAAAAAAAW0Nv bnRlbnRfVHlwZXNdLnhtbFBLAQItABQABgAIAAAAIQA4/SH/1gAAAJQBAAALAAAAAAAAAAAAAAAA AC8BAABfcmVscy8ucmVsc1BLAQItABQABgAIAAAAIQB5yxNY/AEAANUDAAAOAAAAAAAAAAAAAAAA AC4CAABkcnMvZTJvRG9jLnhtbFBLAQItABQABgAIAAAAIQCLGjt/3QAAAAkBAAAPAAAAAAAAAAAA AAAAAFYEAABkcnMvZG93bnJldi54bWxQSwUGAAAAAAQABADzAAAAYAUAAAAA " filled="f" stroked="f">
                <v:textbox style="mso-fit-shape-to-text:t">
                  <w:txbxContent>
                    <w:p w14:paraId="774E0962" w14:textId="77777777" w:rsidR="005A547C" w:rsidRPr="001E1008" w:rsidRDefault="005A547C" w:rsidP="005A547C">
                      <w:pPr>
                        <w:spacing w:line="276" w:lineRule="auto"/>
                        <w:jc w:val="center"/>
                        <w:rPr>
                          <w:rFonts w:cs="Arial"/>
                          <w:sz w:val="52"/>
                          <w:szCs w:val="52"/>
                        </w:rPr>
                      </w:pPr>
                      <w:r>
                        <w:rPr>
                          <w:rFonts w:cs="Arial"/>
                          <w:sz w:val="52"/>
                          <w:szCs w:val="52"/>
                        </w:rPr>
                        <w:t>Mise en œuvre d’un processus ETL répondant au</w:t>
                      </w:r>
                    </w:p>
                    <w:p w14:paraId="5B5EAD0B" w14:textId="63D3D0C4" w:rsidR="000C4415" w:rsidRPr="000C4415" w:rsidRDefault="005A547C" w:rsidP="005A547C">
                      <w:pPr>
                        <w:spacing w:line="276" w:lineRule="auto"/>
                        <w:jc w:val="center"/>
                        <w:rPr>
                          <w:rFonts w:cs="Arial"/>
                          <w:sz w:val="52"/>
                          <w:szCs w:val="52"/>
                        </w:rPr>
                      </w:pPr>
                      <w:r>
                        <w:rPr>
                          <w:rFonts w:cs="Arial"/>
                          <w:sz w:val="52"/>
                          <w:szCs w:val="52"/>
                        </w:rPr>
                        <w:t>besoin d’une solution I.A</w:t>
                      </w:r>
                    </w:p>
                  </w:txbxContent>
                </v:textbox>
                <w10:wrap type="square" anchorx="margin"/>
              </v:shape>
            </w:pict>
          </mc:Fallback>
        </mc:AlternateContent>
      </w:r>
      <w:r>
        <w:rPr>
          <w:rFonts w:cs="Arial"/>
          <w:noProof/>
          <w:lang w:bidi="fr-FR"/>
        </w:rPr>
        <mc:AlternateContent>
          <mc:Choice Requires="wps">
            <w:drawing>
              <wp:anchor distT="0" distB="0" distL="114300" distR="114300" simplePos="0" relativeHeight="251657216" behindDoc="1" locked="0" layoutInCell="1" allowOverlap="1" wp14:anchorId="5A778387" wp14:editId="35FDC3DC">
                <wp:simplePos x="0" y="0"/>
                <wp:positionH relativeFrom="page">
                  <wp:posOffset>0</wp:posOffset>
                </wp:positionH>
                <wp:positionV relativeFrom="page">
                  <wp:posOffset>685800</wp:posOffset>
                </wp:positionV>
                <wp:extent cx="5769610" cy="3580130"/>
                <wp:effectExtent l="0" t="0" r="2540" b="1270"/>
                <wp:wrapNone/>
                <wp:docPr id="2" name="Rectangle 2" descr="rectangle coloré"/>
                <wp:cNvGraphicFramePr/>
                <a:graphic xmlns:a="http://schemas.openxmlformats.org/drawingml/2006/main">
                  <a:graphicData uri="http://schemas.microsoft.com/office/word/2010/wordprocessingShape">
                    <wps:wsp>
                      <wps:cNvSpPr/>
                      <wps:spPr>
                        <a:xfrm>
                          <a:off x="0" y="0"/>
                          <a:ext cx="5769610" cy="35801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17E756" id="Rectangle 2" o:spid="_x0000_s1026" alt="rectangle coloré" style="position:absolute;margin-left:0;margin-top:54pt;width:454.3pt;height:281.9pt;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hVDodQIAAGMFAAAOAAAAZHJzL2Uyb0RvYy54bWysVG1P2zAQ/j5p/8Hy95GkUF4qUlSBmCYh qICJz8axSSTH553dpt2v39lpUgZok6blg2P7nnt7fHfnF5vWsLVC34AteXGQc6ashKqxLyX//nj9 5ZQzH4SthAGrSr5Vnl/MP38679xMTaAGUylkZMT6WedKXofgZlnmZa1a4Q/AKUtCDdiKQEd8ySoU HVlvTTbJ8+OsA6wcglTe0+1VL+TzZF9rJcOd1l4FZkpOsYW0Ylqf45rNz8XsBYWrG7kLQ/xDFK1o LDkdTV2JINgKm3em2kYieNDhQEKbgdaNVCkHyqbI32TzUAunUi5EjncjTf7/mZW36we3RKKhc37m aRuz2Ghs45/iY5tE1nYkS20Ck3Q5PTk+Oy6IU0myw+lpXhwmOrO9ukMfvipoWdyUHOk1EklifeMD uSToAInePJimum6MSYdYAerSIFsLejshpbKhiO9FWr8hjY14C1GzF8ebbJ9P2oWtURFn7L3SrKko g0kKJpXae0cphlpUqvc/zekbvA+hpViSwYjW5H+0XfzJdh/lDh9VVarUUTn/u/KokTyDDaNy21jA jwyYkT7d4weSemoiS89QbZfIEPo+8U5eN/R0N8KHpUBqDHpuavZwR4s20JUcdjvOasCfH91HPNUr STnrqNFK7n+sBCrOzDdLlXxWHB3FzkyHo+nJhA74WvL8WmJX7SVQPRQ0VpxM24gPZthqhPaJZsIi eiWRsJJ8l1wGHA6XoR8ANFWkWiwSjLrRiXBjH5yMxiOrsTQfN08C3a5+A5X+LQxNKWZvyrjHRk0L i1UA3aQa3/O645s6ORXOburEUfH6nFD72Tj/BQAA//8DAFBLAwQUAAYACAAAACEAXGtAaN0AAAAI AQAADwAAAGRycy9kb3ducmV2LnhtbEyPQU/DMAyF70j8h8hI3FgyJEpXmk6AxM4wJsRuWeO1FY0T Nena8esxJ7jZfk/P3yvXs+vFCYfYedKwXCgQSLW3HTUadu8vNzmImAxZ03tCDWeMsK4uL0pTWD/R G562qREcQrEwGtqUQiFlrFt0Ji58QGLt6AdnEq9DI+1gJg53vbxVKpPOdMQfWhPwucX6azs6DWGz e90f26cwZeePu83cjJ/f3aj19dX8+AAi4Zz+zPCLz+hQMdPBj2Sj6DVwkcRXlfPA8krlGYiDhux+ mYOsSvm/QPUDAAD//wMAUEsBAi0AFAAGAAgAAAAhALaDOJL+AAAA4QEAABMAAAAAAAAAAAAAAAAA AAAAAFtDb250ZW50X1R5cGVzXS54bWxQSwECLQAUAAYACAAAACEAOP0h/9YAAACUAQAACwAAAAAA AAAAAAAAAAAvAQAAX3JlbHMvLnJlbHNQSwECLQAUAAYACAAAACEAhYVQ6HUCAABjBQAADgAAAAAA AAAAAAAAAAAuAgAAZHJzL2Uyb0RvYy54bWxQSwECLQAUAAYACAAAACEAXGtAaN0AAAAIAQAADwAA AAAAAAAAAAAAAADPBAAAZHJzL2Rvd25yZXYueG1sUEsFBgAAAAAEAAQA8wAAANkFAAAAAA== " fillcolor="#f3d569 [3204]" stroked="f" strokeweight="2pt">
                <w10:wrap anchorx="page" anchory="page"/>
              </v:rect>
            </w:pict>
          </mc:Fallback>
        </mc:AlternateContent>
      </w:r>
      <w:r>
        <w:rPr>
          <w:rFonts w:cs="Arial"/>
          <w:noProof/>
          <w:lang w:bidi="fr-FR"/>
        </w:rPr>
        <mc:AlternateContent>
          <mc:Choice Requires="wps">
            <w:drawing>
              <wp:anchor distT="0" distB="0" distL="114300" distR="114300" simplePos="0" relativeHeight="251659264" behindDoc="1" locked="0" layoutInCell="1" allowOverlap="1" wp14:anchorId="634FA563" wp14:editId="0188B856">
                <wp:simplePos x="0" y="0"/>
                <wp:positionH relativeFrom="page">
                  <wp:posOffset>0</wp:posOffset>
                </wp:positionH>
                <wp:positionV relativeFrom="page">
                  <wp:posOffset>5055235</wp:posOffset>
                </wp:positionV>
                <wp:extent cx="6461760" cy="944880"/>
                <wp:effectExtent l="0" t="0" r="0" b="7620"/>
                <wp:wrapNone/>
                <wp:docPr id="4" name="Rectangle : Coin rogné 4" descr="rectangle coloré"/>
                <wp:cNvGraphicFramePr/>
                <a:graphic xmlns:a="http://schemas.openxmlformats.org/drawingml/2006/main">
                  <a:graphicData uri="http://schemas.microsoft.com/office/word/2010/wordprocessingShape">
                    <wps:wsp>
                      <wps:cNvSpPr/>
                      <wps:spPr>
                        <a:xfrm flipV="1">
                          <a:off x="0" y="0"/>
                          <a:ext cx="6461760" cy="944880"/>
                        </a:xfrm>
                        <a:prstGeom prst="snip1Rect">
                          <a:avLst>
                            <a:gd name="adj" fmla="val 47819"/>
                          </a:avLst>
                        </a:prstGeom>
                        <a:solidFill>
                          <a:schemeClr val="tx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0B85B" id="Rectangle : Coin rogné 4" o:spid="_x0000_s1026" alt="rectangle coloré" style="position:absolute;margin-left:0;margin-top:398.05pt;width:508.8pt;height:74.4pt;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6461760,9448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RQ+shwIAAH8FAAAOAAAAZHJzL2Uyb0RvYy54bWysVEtvGyEQvlfqf0Dcm/VaW8exso6sRKkq RUmUR3PGLNhUwFDAXru/vgO7aydtL6l6QTPMA+abb+b8Ymc02QofFNialicjSoTl0Ci7qunz0/Wn KSUhMtswDVbUdC8CvZh//HDeupkYwxp0IzzBJDbMWlfTdYxuVhSBr4Vh4QScsGiU4A2LqPpV0XjW Ynaji/FoNCla8I3zwEUIeHvVGek855dS8HgnZRCR6Jri32I+fT6X6Szm52y28sytFe+/wf7hF4Yp i48eUl2xyMjGqz9SGcU9BJDxhIMpQErFRa4BqylHv1XzuGZO5FoQnOAOMIX/l5bfbh/dvUcYWhdm AcVUxU56Q6RW7hv2NNeFPyW7DNv+AJvYRcLxclJNytMJosvRdlZV02nGtejypHzOh/hFgCFJqGmw ypUP2Jucmm1vQszYNcQygyRhzXdKpNHYiS3TpDqdlmepU5ixd0ZpyJkiA2jVXCuts5K4Iy61Jxhc 07gb97FvvLRNvhZSVJc63RRHFLIU91okP20fhCSqyRB0j/jVMr3RcQnJjvUPjMLf5YDkKDH/O2P7 kBQtMoXfGX8Iyu+DjYd4oyz4DHoesCNIOpY9SLLzH6DoAEhYLKHZ32O90M1QcPxaYTdvWIj3zGOr EABcBPEOD6mhrSn0EiVr8D//dp/8kctopaTFIURq/NgwLyjRXy2y/KysqjS1Wak+n45R8a8ty9cW uzGXgB0vceU4nsXkH/UgSg/mBffFIr2KJmY5vl1THv2gXMauobhxuFgsshtOqmPxxj46PoxDIt/T 7oV511M64jDcwjCwPU87Xh19Uz8sLDYRpIrJeMS1V3DKUXqzRl7r2eu4N+e/AAAA//8DAFBLAwQU AAYACAAAACEA5aSZTeEAAAAJAQAADwAAAGRycy9kb3ducmV2LnhtbEyPMU/DMBSEdyT+g/WQWBC1 g9qUhLxUFYIlYihpO7C5sUkC8XOI3TT997gTjKc73X2XrSbTsVEPrrWEEM0EME2VVS3VCLvt6/0j MOclKdlZ0ghn7WCVX19lMlX2RO96LH3NQgm5VCI03vcp565qtJFuZntNwfu0g5E+yKHmapCnUG46 /iBEzI1sKSw0stfPja6+y6NBeGkXi2L79bYei/2HmDY/ZTHenRFvb6b1EzCvJ/8Xhgt+QIc8MB3s kZRjHUI44hGWSRwBu9giWsbADgjJfJ4AzzP+/0H+CwAA//8DAFBLAQItABQABgAIAAAAIQC2gziS /gAAAOEBAAATAAAAAAAAAAAAAAAAAAAAAABbQ29udGVudF9UeXBlc10ueG1sUEsBAi0AFAAGAAgA AAAhADj9If/WAAAAlAEAAAsAAAAAAAAAAAAAAAAALwEAAF9yZWxzLy5yZWxzUEsBAi0AFAAGAAgA AAAhANRFD6yHAgAAfwUAAA4AAAAAAAAAAAAAAAAALgIAAGRycy9lMm9Eb2MueG1sUEsBAi0AFAAG AAgAAAAhAOWkmU3hAAAACQEAAA8AAAAAAAAAAAAAAAAA4QQAAGRycy9kb3ducmV2LnhtbFBLBQYA AAAABAAEAPMAAADvBQAAAAA= " path="m,l6009928,r451832,451832l6461760,944880,,944880,,xe" fillcolor="#3a3363 [3215]" stroked="f">
                <v:path arrowok="t" o:connecttype="custom" o:connectlocs="0,0;6009928,0;6461760,451832;6461760,944880;0,944880;0,0" o:connectangles="0,0,0,0,0,0"/>
                <w10:wrap anchorx="page" anchory="page"/>
              </v:shape>
            </w:pict>
          </mc:Fallback>
        </mc:AlternateContent>
      </w:r>
    </w:p>
    <w:tbl>
      <w:tblPr>
        <w:tblpPr w:leftFromText="180" w:rightFromText="180" w:vertAnchor="text" w:tblpX="-80" w:tblpY="11853"/>
        <w:tblW w:w="9990" w:type="dxa"/>
        <w:tblBorders>
          <w:insideH w:val="single" w:sz="24" w:space="0" w:color="262140" w:themeColor="text1"/>
        </w:tblBorders>
        <w:tblCellMar>
          <w:left w:w="0" w:type="dxa"/>
          <w:right w:w="0" w:type="dxa"/>
        </w:tblCellMar>
        <w:tblLook w:val="0000" w:firstRow="0" w:lastRow="0" w:firstColumn="0" w:lastColumn="0" w:noHBand="0" w:noVBand="0"/>
      </w:tblPr>
      <w:tblGrid>
        <w:gridCol w:w="3567"/>
        <w:gridCol w:w="2940"/>
        <w:gridCol w:w="3483"/>
      </w:tblGrid>
      <w:tr w:rsidR="00A91D75" w:rsidRPr="00457601" w14:paraId="3CA2F70A" w14:textId="77777777" w:rsidTr="00C6323A">
        <w:trPr>
          <w:trHeight w:val="358"/>
        </w:trPr>
        <w:tc>
          <w:tcPr>
            <w:tcW w:w="3567" w:type="dxa"/>
          </w:tcPr>
          <w:p w14:paraId="2698F497" w14:textId="77777777" w:rsidR="00A91D75" w:rsidRPr="00457601" w:rsidRDefault="00A91D75" w:rsidP="00DF6CD2">
            <w:pPr>
              <w:rPr>
                <w:rFonts w:cs="Arial"/>
              </w:rPr>
            </w:pPr>
            <w:r>
              <w:rPr>
                <w:rFonts w:cs="Arial"/>
                <w:noProof/>
                <w:lang w:bidi="fr-FR"/>
              </w:rPr>
              <mc:AlternateContent>
                <mc:Choice Requires="wps">
                  <w:drawing>
                    <wp:inline distT="0" distB="0" distL="0" distR="0" wp14:anchorId="751467E6" wp14:editId="2AE2C649">
                      <wp:extent cx="2112135" cy="309093"/>
                      <wp:effectExtent l="0" t="0" r="0" b="15240"/>
                      <wp:docPr id="6" name="Zone de texte 6"/>
                      <wp:cNvGraphicFramePr/>
                      <a:graphic xmlns:a="http://schemas.openxmlformats.org/drawingml/2006/main">
                        <a:graphicData uri="http://schemas.microsoft.com/office/word/2010/wordprocessingShape">
                          <wps:wsp>
                            <wps:cNvSpPr txBox="1"/>
                            <wps:spPr>
                              <a:xfrm>
                                <a:off x="0" y="0"/>
                                <a:ext cx="2112135" cy="309093"/>
                              </a:xfrm>
                              <a:prstGeom prst="rect">
                                <a:avLst/>
                              </a:prstGeom>
                              <a:noFill/>
                              <a:ln w="6350">
                                <a:noFill/>
                              </a:ln>
                            </wps:spPr>
                            <wps:txbx>
                              <w:txbxContent>
                                <w:p w14:paraId="3DE3B2C2" w14:textId="77777777" w:rsidR="00A91D75" w:rsidRPr="00A91D75" w:rsidRDefault="000C4415" w:rsidP="00A91D75">
                                  <w:pPr>
                                    <w:pStyle w:val="Sous-titre"/>
                                  </w:pPr>
                                  <w:r>
                                    <w:rPr>
                                      <w:lang w:bidi="fr-FR"/>
                                    </w:rPr>
                                    <w:t>Équipe</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inline>
                  </w:drawing>
                </mc:Choice>
                <mc:Fallback>
                  <w:pict>
                    <v:shape w14:anchorId="43246454" id="Zone de texte 6" o:spid="_x0000_s1028" type="#_x0000_t202" style="width:166.3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9KlhHAIAAC8EAAAOAAAAZHJzL2Uyb0RvYy54bWysU8lu2zAQvRfoPxC815K8pLVgOXATuCgQ JAGcImeaIi0CFIclaUvu13dIeQnSnopeqBnOaJb3Hhe3favJQTivwFS0GOWUCMOhVmZX0R8v609f KPGBmZppMKKiR+Hp7fLjh0VnSzGGBnQtHMEixpedrWgTgi2zzPNGtMyPwAqDQQmuZQFdt8tqxzqs 3upsnOc3WQeutg648B5v74cgXab6UgoenqT0IhBdUZwtpNOlcxvPbLlg5c4x2yh+GoP9wxQtUwab Xkrds8DI3qk/SrWKO/Agw4hDm4GUiou0A25T5O+22TTMirQLguPtBSb//8ryx8PGPjsS+q/QI4ER kM760uNl3KeXro1fnJRgHCE8XmATfSAcL8dFMS4mM0o4xib5PJ9PYpns+rd1PnwT0JJoVNQhLQkt dnjwYUg9p8RmBtZK60SNNqSr6M1klqcfLhEsrg32uM4ardBve6JqHOm8xxbqI67nYGDeW75WOMMD 8+GZOaQaN0L5hic8pAbsBSeLkgbcr7/dx3xkAKOUdCidivqfe+YEJfq7QW7mxXQatZac6ezzGB33 NrJNDt6afXsHqMwCH4nlyYy5QZ9N6aB9RYWvYkcMMcOxb0XD2bwLg5jxhXCxWqUkVJZl4cFsLI+l I6IR3Zf+lTl7oiAgeY9wFhgr3zEx5A5crPYBpEo0RYwHRE/QoyoT0acXFGX/1k9Z13e+/A0AAP// AwBQSwMEFAAGAAgAAAAhANaFwunbAAAABAEAAA8AAABkcnMvZG93bnJldi54bWxMj8FOwzAQRO9I /IO1SFwi6tCiUoVsKgTKrUgQ4O7GSxwRryPbaVO+HsMFLiuNZjTzttzOdhAH8qF3jHC9yEEQt073 3CG8vdZXGxAhKtZqcEwIJwqwrc7PSlVod+QXOjSxE6mEQ6EQTIxjIWVoDVkVFm4kTt6H81bFJH0n tVfHVG4HuczztbSq57Rg1EgPhtrPZrII01TvHp+ynTn5LNbj13OfvYcG8fJivr8DEWmOf2H4wU/o UCWmvZtYBzEgpEfi703earVcg9gj3GxuQVal/A9ffQMAAP//AwBQSwECLQAUAAYACAAAACEAtoM4 kv4AAADhAQAAEwAAAAAAAAAAAAAAAAAAAAAAW0NvbnRlbnRfVHlwZXNdLnhtbFBLAQItABQABgAI AAAAIQA4/SH/1gAAAJQBAAALAAAAAAAAAAAAAAAAAC8BAABfcmVscy8ucmVsc1BLAQItABQABgAI AAAAIQDz9KlhHAIAAC8EAAAOAAAAAAAAAAAAAAAAAC4CAABkcnMvZTJvRG9jLnhtbFBLAQItABQA BgAIAAAAIQDWhcLp2wAAAAQBAAAPAAAAAAAAAAAAAAAAAHYEAABkcnMvZG93bnJldi54bWxQSwUG AAAAAAQABADzAAAAfgUAAAAA " filled="f" stroked="f" strokeweight=".5pt">
                      <v:textbox inset=",,,0">
                        <w:txbxContent>
                          <w:p w14:paraId="464918BF" w14:textId="7E12EF31" w:rsidR="00A91D75" w:rsidRPr="00A91D75" w:rsidRDefault="000C4415" w:rsidP="00A91D75">
                            <w:pPr>
                              <w:pStyle w:val="Sous-titre"/>
                            </w:pPr>
                            <w:r>
                              <w:rPr>
                                <w:lang w:bidi="fr-FR"/>
                              </w:rPr>
                              <w:t>Équipe</w:t>
                            </w:r>
                          </w:p>
                        </w:txbxContent>
                      </v:textbox>
                      <w10:anchorlock/>
                    </v:shape>
                  </w:pict>
                </mc:Fallback>
              </mc:AlternateContent>
            </w:r>
          </w:p>
        </w:tc>
        <w:tc>
          <w:tcPr>
            <w:tcW w:w="2940" w:type="dxa"/>
            <w:vAlign w:val="bottom"/>
          </w:tcPr>
          <w:p w14:paraId="54EC1D0C" w14:textId="77777777" w:rsidR="00A91D75" w:rsidRPr="00457601" w:rsidRDefault="00A91D75" w:rsidP="00DF6CD2">
            <w:pPr>
              <w:rPr>
                <w:rFonts w:cs="Arial"/>
              </w:rPr>
            </w:pPr>
          </w:p>
        </w:tc>
        <w:tc>
          <w:tcPr>
            <w:tcW w:w="3483" w:type="dxa"/>
            <w:vAlign w:val="bottom"/>
          </w:tcPr>
          <w:p w14:paraId="0123272F" w14:textId="77777777" w:rsidR="00A91D75" w:rsidRPr="00457601" w:rsidRDefault="00A91D75" w:rsidP="00DF6CD2">
            <w:pPr>
              <w:rPr>
                <w:rFonts w:cs="Arial"/>
              </w:rPr>
            </w:pPr>
          </w:p>
        </w:tc>
      </w:tr>
      <w:tr w:rsidR="00A91D75" w:rsidRPr="00457601" w14:paraId="6E996D80" w14:textId="77777777" w:rsidTr="00683D56">
        <w:trPr>
          <w:trHeight w:val="1702"/>
        </w:trPr>
        <w:tc>
          <w:tcPr>
            <w:tcW w:w="3567" w:type="dxa"/>
          </w:tcPr>
          <w:p w14:paraId="52EC009E" w14:textId="77777777" w:rsidR="00A91D75" w:rsidRPr="00457601" w:rsidRDefault="000C4415" w:rsidP="00DF6CD2">
            <w:pPr>
              <w:rPr>
                <w:rFonts w:cs="Arial"/>
                <w:noProof/>
              </w:rPr>
            </w:pPr>
            <w:r>
              <w:rPr>
                <w:rFonts w:cs="Arial"/>
                <w:noProof/>
                <w:lang w:bidi="fr-FR"/>
              </w:rPr>
              <mc:AlternateContent>
                <mc:Choice Requires="wps">
                  <w:drawing>
                    <wp:anchor distT="0" distB="0" distL="114300" distR="114300" simplePos="0" relativeHeight="251660288" behindDoc="0" locked="0" layoutInCell="1" allowOverlap="1" wp14:anchorId="58DDBAC1" wp14:editId="4D526EF4">
                      <wp:simplePos x="0" y="0"/>
                      <wp:positionH relativeFrom="column">
                        <wp:posOffset>2124075</wp:posOffset>
                      </wp:positionH>
                      <wp:positionV relativeFrom="paragraph">
                        <wp:posOffset>72390</wp:posOffset>
                      </wp:positionV>
                      <wp:extent cx="2010410" cy="118872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010410" cy="1188720"/>
                              </a:xfrm>
                              <a:prstGeom prst="rect">
                                <a:avLst/>
                              </a:prstGeom>
                              <a:noFill/>
                              <a:ln w="6350">
                                <a:noFill/>
                              </a:ln>
                            </wps:spPr>
                            <wps:txbx>
                              <w:txbxContent>
                                <w:p w14:paraId="3109D488" w14:textId="77777777" w:rsidR="00A91D75" w:rsidRDefault="000C4415" w:rsidP="00A91D75">
                                  <w:pPr>
                                    <w:rPr>
                                      <w:lang w:bidi="fr-FR"/>
                                    </w:rPr>
                                  </w:pPr>
                                  <w:r>
                                    <w:rPr>
                                      <w:lang w:bidi="fr-FR"/>
                                    </w:rPr>
                                    <w:t xml:space="preserve">Promotion B3 2025-2026 </w:t>
                                  </w:r>
                                </w:p>
                                <w:p w14:paraId="612B2D1C" w14:textId="77777777" w:rsidR="000C4415" w:rsidRPr="000C4415" w:rsidRDefault="000C4415" w:rsidP="00AF4BDE">
                                  <w:pPr>
                                    <w:jc w:val="left"/>
                                    <w:rPr>
                                      <w:rFonts w:cs="Arial"/>
                                    </w:rPr>
                                  </w:pPr>
                                  <w:r>
                                    <w:rPr>
                                      <w:rFonts w:cs="Arial"/>
                                    </w:rPr>
                                    <w:t>Développeur en Intelligence Artificielle et Data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2C446" id="Zone de texte 14" o:spid="_x0000_s1029" type="#_x0000_t202" style="position:absolute;left:0;text-align:left;margin-left:167.25pt;margin-top:5.7pt;width:158.3pt;height:9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HaMaGgIAADQEAAAOAAAAZHJzL2Uyb0RvYy54bWysU01vGyEQvVfqf0Dc6911nNRdeR25iVxV spJITpUzZsGLxDIUsHfdX9+B9ZfSnqpeYGCG+XjvMbvvW032wnkFpqLFKKdEGA61MtuK/nhdfppS 4gMzNdNgREUPwtP7+ccPs86WYgwN6Fo4gkmMLztb0SYEW2aZ541omR+BFQadElzLAh7dNqsd6zB7 q7Nxnt9lHbjaOuDCe7x9HJx0nvJLKXh4ltKLQHRFsbeQVpfWTVyz+YyVW8dso/ixDfYPXbRMGSx6 TvXIAiM7p/5I1SruwIMMIw5tBlIqLtIMOE2Rv5tm3TAr0iwIjrdnmPz/S8uf9mv74kjov0KPBEZA OutLj5dxnl66Nu7YKUE/Qng4wyb6QDhexs4nBbo4+opiOv08TsBml+fW+fBNQEuiUVGHvCS42H7l A5bE0FNIrGZgqbRO3GhDuore3dzm6cHZgy+0wYeXZqMV+k1PVF3Rm9MgG6gPOJ+DgXpv+VJhDyvm wwtzyDX2jfoNz7hIDVgLjhYlDbhff7uP8UgBeinpUDsV9T93zAlK9HeD5HwpJpMotnSY3EY4iLv2 bK49Ztc+AMqzwJ9ieTJjfNAnUzpo31Dmi1gVXcxwrF3RcDIfwqBo/CZcLBYpCOVlWViZteUxdUQ1 IvzavzFnjzQEZPAJTipj5Ts2htiBj8UugFSJqojzgOoRfpRmYvD4jaL2r88p6vLZ578BAAD//wMA UEsDBBQABgAIAAAAIQAUghqf4gAAAAoBAAAPAAAAZHJzL2Rvd25yZXYueG1sTI/BTsMwDIbvSLxD ZCRuLO22VqVrOk2VJiQEh41duKVN1lZLnNJkW+HpMadxtP9Pvz8X68kadtGj7x0KiGcRMI2NUz22 Ag4f26cMmA8SlTQOtYBv7WFd3t8VMlfuijt92YeWUQn6XAroQhhyzn3TaSv9zA0aKTu60cpA49hy NcorlVvD51GUcit7pAudHHTV6ea0P1sBr9X2Xe7quc1+TPXydtwMX4fPRIjHh2mzAhb0FG4w/OmT OpTkVLszKs+MgMVimRBKQbwERkCaxDGwmhbPWQq8LPj/F8pfAAAA//8DAFBLAQItABQABgAIAAAA IQC2gziS/gAAAOEBAAATAAAAAAAAAAAAAAAAAAAAAABbQ29udGVudF9UeXBlc10ueG1sUEsBAi0A FAAGAAgAAAAhADj9If/WAAAAlAEAAAsAAAAAAAAAAAAAAAAALwEAAF9yZWxzLy5yZWxzUEsBAi0A FAAGAAgAAAAhAIkdoxoaAgAANAQAAA4AAAAAAAAAAAAAAAAALgIAAGRycy9lMm9Eb2MueG1sUEsB Ai0AFAAGAAgAAAAhABSCGp/iAAAACgEAAA8AAAAAAAAAAAAAAAAAdAQAAGRycy9kb3ducmV2Lnht bFBLBQYAAAAABAAEAPMAAACDBQAAAAA= " filled="f" stroked="f" strokeweight=".5pt">
                      <v:textbox>
                        <w:txbxContent>
                          <w:p w14:paraId="46913A8F" w14:textId="477357ED" w:rsidR="00A91D75" w:rsidRDefault="000C4415" w:rsidP="00A91D75">
                            <w:pPr>
                              <w:rPr>
                                <w:lang w:bidi="fr-FR"/>
                              </w:rPr>
                            </w:pPr>
                            <w:r>
                              <w:rPr>
                                <w:lang w:bidi="fr-FR"/>
                              </w:rPr>
                              <w:t xml:space="preserve">Promotion B3 2025-2026 </w:t>
                            </w:r>
                          </w:p>
                          <w:p w14:paraId="68519604" w14:textId="22B181CE" w:rsidR="000C4415" w:rsidRPr="000C4415" w:rsidRDefault="000C4415" w:rsidP="00AF4BDE">
                            <w:pPr>
                              <w:jc w:val="left"/>
                              <w:rPr>
                                <w:rFonts w:cs="Arial"/>
                              </w:rPr>
                            </w:pPr>
                            <w:r>
                              <w:rPr>
                                <w:rFonts w:cs="Arial"/>
                              </w:rPr>
                              <w:t>Développeur en Intelligence Artificielle et Data Science</w:t>
                            </w:r>
                          </w:p>
                        </w:txbxContent>
                      </v:textbox>
                    </v:shape>
                  </w:pict>
                </mc:Fallback>
              </mc:AlternateContent>
            </w:r>
            <w:r>
              <w:rPr>
                <w:rFonts w:cs="Arial"/>
                <w:noProof/>
                <w:lang w:bidi="fr-FR"/>
              </w:rPr>
              <mc:AlternateContent>
                <mc:Choice Requires="wps">
                  <w:drawing>
                    <wp:anchor distT="0" distB="0" distL="114300" distR="114300" simplePos="0" relativeHeight="251667456" behindDoc="0" locked="0" layoutInCell="1" allowOverlap="1" wp14:anchorId="6E77759B" wp14:editId="77E7BBE2">
                      <wp:simplePos x="0" y="0"/>
                      <wp:positionH relativeFrom="column">
                        <wp:posOffset>5715</wp:posOffset>
                      </wp:positionH>
                      <wp:positionV relativeFrom="paragraph">
                        <wp:posOffset>57150</wp:posOffset>
                      </wp:positionV>
                      <wp:extent cx="1867436" cy="1057275"/>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1867436" cy="1057275"/>
                              </a:xfrm>
                              <a:prstGeom prst="rect">
                                <a:avLst/>
                              </a:prstGeom>
                              <a:noFill/>
                              <a:ln w="6350">
                                <a:noFill/>
                              </a:ln>
                            </wps:spPr>
                            <wps:txbx>
                              <w:txbxContent>
                                <w:p w14:paraId="3AEB9ECC" w14:textId="77777777" w:rsidR="00A91D75" w:rsidRDefault="000C4415" w:rsidP="00A91D75">
                                  <w:pPr>
                                    <w:rPr>
                                      <w:lang w:bidi="fr-FR"/>
                                    </w:rPr>
                                  </w:pPr>
                                  <w:r>
                                    <w:rPr>
                                      <w:lang w:bidi="fr-FR"/>
                                    </w:rPr>
                                    <w:t>BROCHE Cyprien</w:t>
                                  </w:r>
                                </w:p>
                                <w:p w14:paraId="7C37DEC2" w14:textId="77777777" w:rsidR="000C4415" w:rsidRDefault="000C4415" w:rsidP="00A91D75">
                                  <w:pPr>
                                    <w:rPr>
                                      <w:lang w:bidi="fr-FR"/>
                                    </w:rPr>
                                  </w:pPr>
                                  <w:r>
                                    <w:rPr>
                                      <w:lang w:bidi="fr-FR"/>
                                    </w:rPr>
                                    <w:t>DURAND Amandine</w:t>
                                  </w:r>
                                </w:p>
                                <w:p w14:paraId="0669B2D7" w14:textId="77777777" w:rsidR="000C4415" w:rsidRDefault="000C4415" w:rsidP="00A91D75">
                                  <w:pPr>
                                    <w:rPr>
                                      <w:lang w:bidi="fr-FR"/>
                                    </w:rPr>
                                  </w:pPr>
                                  <w:r>
                                    <w:rPr>
                                      <w:lang w:bidi="fr-FR"/>
                                    </w:rPr>
                                    <w:t>LACROIX Lohan</w:t>
                                  </w:r>
                                </w:p>
                                <w:p w14:paraId="1FFE870C" w14:textId="77777777" w:rsidR="00A91D75" w:rsidRPr="00A91D75" w:rsidRDefault="000C4415" w:rsidP="00A91D75">
                                  <w:r>
                                    <w:rPr>
                                      <w:lang w:bidi="fr-FR"/>
                                    </w:rPr>
                                    <w:t>ZAABAT Yousra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F701E0" id="Zone de texte 7" o:spid="_x0000_s1030" type="#_x0000_t202" style="position:absolute;left:0;text-align:left;margin-left:.45pt;margin-top:4.5pt;width:147.05pt;height:83.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o5ADGwIAADQEAAAOAAAAZHJzL2Uyb0RvYy54bWysU01vGyEQvVfqf0Dc6107tpOsvI7cRK4q WUkkp8oZs+BFYhkK2Lvur+/A+ktpT1UvMDDDfLz3mD10jSZ74bwCU9LhIKdEGA6VMtuS/nhbfrmj xAdmKqbBiJIehKcP88+fZq0txAhq0JVwBJMYX7S2pHUItsgyz2vRMD8AKww6JbiGBTy6bVY51mL2 RmejPJ9mLbjKOuDCe7x96p10nvJLKXh4kdKLQHRJsbeQVpfWTVyz+YwVW8dsrfixDfYPXTRMGSx6 TvXEAiM7p/5I1SjuwIMMAw5NBlIqLtIMOM0w/zDNumZWpFkQHG/PMPn/l5Y/79f21ZHQfYUOCYyA tNYXHi/jPJ10TdyxU4J+hPBwhk10gfD46G56O76ZUsLRN8wnt6PbScyTXZ5b58M3AQ2JRkkd8pLg YvuVD33oKSRWM7BUWidutCFtSac3kzw9OHswuTZY49JstEK36YiqSjo+DbKB6oDzOeip95YvFfaw Yj68Modc40io3/CCi9SAteBoUVKD+/W3+xiPFKCXkha1U1L/c8ecoER/N0jO/XA8jmJLhzHigQd3 7dlce8yueQSU5xB/iuXJjPFBn0zpoHlHmS9iVXQxw7F2ScPJfAy9ovGbcLFYpCCUl2VhZdaWx9QR 1YjwW/fOnD3SEJDBZzipjBUf2Ohjez4WuwBSJaoizj2qR/hRmons4zeK2r8+p6jLZ5//BgAA//8D AFBLAwQUAAYACAAAACEAvSgdqd4AAAAGAQAADwAAAGRycy9kb3ducmV2LnhtbEyPQUvDQBCF74L/ YZmCN7tpINrGbEoJFEH00NqLt012mgR3Z2N220Z/vePJXoYZ3uPN94r15Kw44xh6TwoW8wQEUuNN T62Cw/v2fgkiRE1GW0+o4BsDrMvbm0Lnxl9oh+d9bAWHUMi1gi7GIZcyNB06HeZ+QGLt6EenI59j K82oLxzurEyT5EE63RN/6PSAVYfN5/7kFLxU2ze9q1O3/LHV8+txM3wdPjKl7mbT5glExCn+m+EP n9GhZKban8gEYRWs2MeT+7CYrjJeanY9ZhnIspDX+OUvAAAA//8DAFBLAQItABQABgAIAAAAIQC2 gziS/gAAAOEBAAATAAAAAAAAAAAAAAAAAAAAAABbQ29udGVudF9UeXBlc10ueG1sUEsBAi0AFAAG AAgAAAAhADj9If/WAAAAlAEAAAsAAAAAAAAAAAAAAAAALwEAAF9yZWxzLy5yZWxzUEsBAi0AFAAG AAgAAAAhACyjkAMbAgAANAQAAA4AAAAAAAAAAAAAAAAALgIAAGRycy9lMm9Eb2MueG1sUEsBAi0A FAAGAAgAAAAhAL0oHaneAAAABgEAAA8AAAAAAAAAAAAAAAAAdQQAAGRycy9kb3ducmV2LnhtbFBL BQYAAAAABAAEAPMAAACABQAAAAA= " filled="f" stroked="f" strokeweight=".5pt">
                      <v:textbox>
                        <w:txbxContent>
                          <w:p w14:paraId="2CF9699C" w14:textId="68B7E185" w:rsidR="00A91D75" w:rsidRDefault="000C4415" w:rsidP="00A91D75">
                            <w:pPr>
                              <w:rPr>
                                <w:lang w:bidi="fr-FR"/>
                              </w:rPr>
                            </w:pPr>
                            <w:r>
                              <w:rPr>
                                <w:lang w:bidi="fr-FR"/>
                              </w:rPr>
                              <w:t>BROCHE Cyprien</w:t>
                            </w:r>
                          </w:p>
                          <w:p w14:paraId="2FFF34FA" w14:textId="7015DCA2" w:rsidR="000C4415" w:rsidRDefault="000C4415" w:rsidP="00A91D75">
                            <w:pPr>
                              <w:rPr>
                                <w:lang w:bidi="fr-FR"/>
                              </w:rPr>
                            </w:pPr>
                            <w:r>
                              <w:rPr>
                                <w:lang w:bidi="fr-FR"/>
                              </w:rPr>
                              <w:t>DURAND Amandine</w:t>
                            </w:r>
                          </w:p>
                          <w:p w14:paraId="45219B38" w14:textId="0BBB75F3" w:rsidR="000C4415" w:rsidRDefault="000C4415" w:rsidP="00A91D75">
                            <w:pPr>
                              <w:rPr>
                                <w:lang w:bidi="fr-FR"/>
                              </w:rPr>
                            </w:pPr>
                            <w:r>
                              <w:rPr>
                                <w:lang w:bidi="fr-FR"/>
                              </w:rPr>
                              <w:t>LACROIX Lohan</w:t>
                            </w:r>
                          </w:p>
                          <w:p w14:paraId="77554B6D" w14:textId="06463637" w:rsidR="00A91D75" w:rsidRPr="00A91D75" w:rsidRDefault="000C4415" w:rsidP="00A91D75">
                            <w:r>
                              <w:rPr>
                                <w:lang w:bidi="fr-FR"/>
                              </w:rPr>
                              <w:t>ZAABAT Yousra</w:t>
                            </w:r>
                          </w:p>
                        </w:txbxContent>
                      </v:textbox>
                    </v:shape>
                  </w:pict>
                </mc:Fallback>
              </mc:AlternateContent>
            </w:r>
          </w:p>
        </w:tc>
        <w:tc>
          <w:tcPr>
            <w:tcW w:w="2940" w:type="dxa"/>
            <w:vAlign w:val="bottom"/>
          </w:tcPr>
          <w:p w14:paraId="42E0855D" w14:textId="77777777" w:rsidR="00A91D75" w:rsidRPr="00457601" w:rsidRDefault="00A91D75" w:rsidP="00DF6CD2">
            <w:pPr>
              <w:rPr>
                <w:rFonts w:cs="Arial"/>
                <w:noProof/>
              </w:rPr>
            </w:pPr>
          </w:p>
        </w:tc>
        <w:tc>
          <w:tcPr>
            <w:tcW w:w="3483" w:type="dxa"/>
            <w:vAlign w:val="bottom"/>
          </w:tcPr>
          <w:p w14:paraId="3A692411" w14:textId="77777777" w:rsidR="00A91D75" w:rsidRPr="00457601" w:rsidRDefault="000C4415" w:rsidP="00DF6CD2">
            <w:pPr>
              <w:rPr>
                <w:rFonts w:cs="Arial"/>
                <w:noProof/>
              </w:rPr>
            </w:pPr>
            <w:r>
              <w:rPr>
                <w:rFonts w:cs="Arial"/>
                <w:noProof/>
              </w:rPr>
              <w:drawing>
                <wp:anchor distT="0" distB="0" distL="114300" distR="114300" simplePos="0" relativeHeight="251661312" behindDoc="0" locked="0" layoutInCell="1" allowOverlap="1" wp14:anchorId="101FC19E" wp14:editId="2D538F42">
                  <wp:simplePos x="0" y="0"/>
                  <wp:positionH relativeFrom="column">
                    <wp:posOffset>687705</wp:posOffset>
                  </wp:positionH>
                  <wp:positionV relativeFrom="paragraph">
                    <wp:posOffset>-731520</wp:posOffset>
                  </wp:positionV>
                  <wp:extent cx="1493520" cy="784225"/>
                  <wp:effectExtent l="0" t="0" r="0" b="0"/>
                  <wp:wrapNone/>
                  <wp:docPr id="129173678" name="Image 1" descr="Bienvenue chez EPSI | E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envenue chez EPSI | EPS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3520" cy="7842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sdt>
      <w:sdtPr>
        <w:rPr>
          <w:rFonts w:eastAsiaTheme="minorHAnsi" w:cs="Arial"/>
          <w:b w:val="0"/>
          <w:bCs w:val="0"/>
          <w:caps w:val="0"/>
          <w:kern w:val="0"/>
          <w:sz w:val="24"/>
        </w:rPr>
        <w:id w:val="1656960058"/>
        <w:docPartObj>
          <w:docPartGallery w:val="Table of Contents"/>
          <w:docPartUnique/>
        </w:docPartObj>
      </w:sdtPr>
      <w:sdtEndPr>
        <w:rPr>
          <w:noProof/>
        </w:rPr>
      </w:sdtEndPr>
      <w:sdtContent>
        <w:p w14:paraId="0F0AB2BA" w14:textId="77777777" w:rsidR="00E523C3" w:rsidRPr="00457601" w:rsidRDefault="00CB27A1" w:rsidP="00DF6CD2">
          <w:pPr>
            <w:pStyle w:val="En-ttedetabledesmatires"/>
            <w:rPr>
              <w:rFonts w:cs="Arial"/>
            </w:rPr>
          </w:pPr>
          <w:r>
            <w:rPr>
              <w:rFonts w:cs="Arial"/>
              <w:noProof/>
              <w:lang w:bidi="fr-FR"/>
            </w:rPr>
            <mc:AlternateContent>
              <mc:Choice Requires="wps">
                <w:drawing>
                  <wp:anchor distT="0" distB="0" distL="114300" distR="114300" simplePos="0" relativeHeight="251656191" behindDoc="1" locked="0" layoutInCell="1" allowOverlap="1" wp14:anchorId="79ABAE0A" wp14:editId="4A40B862">
                    <wp:simplePos x="0" y="0"/>
                    <wp:positionH relativeFrom="column">
                      <wp:posOffset>-760095</wp:posOffset>
                    </wp:positionH>
                    <wp:positionV relativeFrom="page">
                      <wp:posOffset>0</wp:posOffset>
                    </wp:positionV>
                    <wp:extent cx="7836535" cy="10687050"/>
                    <wp:effectExtent l="0" t="0" r="0" b="0"/>
                    <wp:wrapNone/>
                    <wp:docPr id="31" name="Rectangle 31" descr="arrière-plan de contenu de page en couleur"/>
                    <wp:cNvGraphicFramePr/>
                    <a:graphic xmlns:a="http://schemas.openxmlformats.org/drawingml/2006/main">
                      <a:graphicData uri="http://schemas.microsoft.com/office/word/2010/wordprocessingShape">
                        <wps:wsp>
                          <wps:cNvSpPr/>
                          <wps:spPr>
                            <a:xfrm>
                              <a:off x="0" y="0"/>
                              <a:ext cx="7836535" cy="106870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39375" id="Rectangle 31" o:spid="_x0000_s1026" alt="arrière-plan de contenu de page en couleur" style="position:absolute;margin-left:-59.85pt;margin-top:0;width:617.05pt;height:841.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UvEebAIAAC0FAAAOAAAAZHJzL2Uyb0RvYy54bWysVFFv2yAQfp+0/4B4X+2kSZtFdaooVadJ VRstnfpMMdSWMMcOEif79Tuw41RttYdpfsDA3X13fHzH1fW+MWyn0NdgCz46yzlTVkJZ25eC/3y8 /TLjzAdhS2HAqoIflOfXi8+frlo3V2OowJQKGYFYP29dwasQ3DzLvKxUI/wZOGXJqAEbEWiJL1mJ oiX0xmTjPL/IWsDSIUjlPe3edEa+SPhaKxketPYqMFNwqi2kEdP4HMdscSXmLyhcVcu+DPEPVTSi tpR0gLoRQbAt1u+gmloieNDhTEKTgda1VOkMdJpR/uY0m0o4lc5C5Hg30OT/H6y8323cGomG1vm5 p2k8xV5jE/9UH9snsg4DWWofmKTNy9n5xfR8ypkk2yi/mF3m08Rndop36MM3BQ2Lk4IjXUdiSezu fKCc5Hp0iemMjaOF29qYzhp3slNlaRYORnXeP5RmdUm1jBNqEo1aGWQ7QdctpFQ2jDpTJUrVbU9z +uK9U/IhIq2MJcCIrCn/gN0DREG+x+5gev8YqpLmhuD8b4V1wUNEygw2DMFNbQE/AjB0qj5z538k qaMmsvQM5WGNDKFTvHfytqY7uBM+rAWSxKkZqG3DAw3aQFtw6GecVYC/P9qP/qQ8snLWUssU3P/a ClScme+WNPl1NJnEHkuLyfRyTAt8bXl+bbHbZgV0TSN6IJxM0+gfzHGqEZon6u5lzEomYSXlLrgM eFysQtfK9D5ItVwmN+orJ8Kd3TgZwSOrUWOP+yeBrhdiIBHfw7G9xPyNHjvfGGlhuQ2g6yTWE689 39STSTj9+xGb/vU6eZ1eucUfAAAA//8DAFBLAwQUAAYACAAAACEARayYV+AAAAALAQAADwAAAGRy cy9kb3ducmV2LnhtbEyPwU7DMBBE70j8g7VI3FrHUEIJcSpAomdaKgQ3N3bjiHhtxU6T8vVsT3Db 0Yxm35SryXXsaPrYepQg5hkwg7XXLTYSdu+vsyWwmBRq1Xk0Ek4mwqq6vChVof2IG3PcpoZRCcZC SbAphYLzWFvjVJz7YJC8g++dSiT7hutejVTuOn6TZTl3qkX6YFUwL9bU39vBSQjr3dvXwT6HMT99 3K2nZvj8aQcpr6+mp0dgyUzpLwxnfEKHipj2fkAdWSdhJsTDPWUl0KSzL8RiAWxPV768zYBXJf+/ ofoFAAD//wMAUEsBAi0AFAAGAAgAAAAhALaDOJL+AAAA4QEAABMAAAAAAAAAAAAAAAAAAAAAAFtD b250ZW50X1R5cGVzXS54bWxQSwECLQAUAAYACAAAACEAOP0h/9YAAACUAQAACwAAAAAAAAAAAAAA AAAvAQAAX3JlbHMvLnJlbHNQSwECLQAUAAYACAAAACEAwVLxHmwCAAAtBQAADgAAAAAAAAAAAAAA AAAuAgAAZHJzL2Uyb0RvYy54bWxQSwECLQAUAAYACAAAACEARayYV+AAAAALAQAADwAAAAAAAAAA AAAAAADGBAAAZHJzL2Rvd25yZXYueG1sUEsFBgAAAAAEAAQA8wAAANMFAAAAAA== " fillcolor="#f3d569 [3204]" stroked="f" strokeweight="2pt">
                    <w10:wrap anchory="page"/>
                  </v:rect>
                </w:pict>
              </mc:Fallback>
            </mc:AlternateContent>
          </w:r>
          <w:r>
            <w:rPr>
              <w:rFonts w:cs="Arial"/>
              <w:lang w:bidi="fr-FR"/>
            </w:rPr>
            <w:t>TABLE DES MATIÈRES</w:t>
          </w:r>
        </w:p>
        <w:p w14:paraId="28773A5A" w14:textId="77777777" w:rsidR="009C474B" w:rsidRDefault="00E523C3">
          <w:pPr>
            <w:pStyle w:val="TM1"/>
            <w:rPr>
              <w:rFonts w:asciiTheme="minorHAnsi" w:eastAsiaTheme="minorEastAsia" w:hAnsiTheme="minorHAnsi"/>
              <w:color w:val="auto"/>
              <w:kern w:val="2"/>
              <w:szCs w:val="24"/>
              <w:lang w:eastAsia="fr-FR"/>
              <w14:ligatures w14:val="standardContextual"/>
            </w:rPr>
          </w:pPr>
          <w:r>
            <w:rPr>
              <w:rFonts w:cs="Arial"/>
              <w:lang w:bidi="fr-FR"/>
            </w:rPr>
            <w:fldChar w:fldCharType="begin"/>
          </w:r>
          <w:r>
            <w:rPr>
              <w:rFonts w:cs="Arial"/>
              <w:lang w:bidi="fr-FR"/>
            </w:rPr>
            <w:instrText xml:space="preserve"> TOC \o "1-3" \h \z \u </w:instrText>
          </w:r>
          <w:r>
            <w:rPr>
              <w:rFonts w:cs="Arial"/>
              <w:lang w:bidi="fr-FR"/>
            </w:rPr>
            <w:fldChar w:fldCharType="separate"/>
          </w:r>
          <w:hyperlink w:anchor="_Toc224256926" w:history="1">
            <w:r>
              <w:rPr>
                <w:rStyle w:val="Lienhypertexte"/>
                <w:rFonts w:cs="Arial"/>
                <w:lang w:bidi="fr-FR"/>
              </w:rPr>
              <w:t>Introduction</w:t>
            </w:r>
            <w:r>
              <w:rPr>
                <w:webHidden/>
              </w:rPr>
              <w:tab/>
            </w:r>
            <w:r>
              <w:rPr>
                <w:webHidden/>
              </w:rPr>
              <w:fldChar w:fldCharType="begin"/>
            </w:r>
            <w:r>
              <w:rPr>
                <w:webHidden/>
              </w:rPr>
              <w:instrText xml:space="preserve"> PAGEREF _Toc224256926 \h </w:instrText>
            </w:r>
            <w:r>
              <w:rPr>
                <w:webHidden/>
              </w:rPr>
            </w:r>
            <w:r>
              <w:rPr>
                <w:webHidden/>
              </w:rPr>
              <w:fldChar w:fldCharType="separate"/>
            </w:r>
            <w:r>
              <w:rPr>
                <w:webHidden/>
              </w:rPr>
              <w:t>1</w:t>
            </w:r>
            <w:r>
              <w:rPr>
                <w:webHidden/>
              </w:rPr>
              <w:fldChar w:fldCharType="end"/>
            </w:r>
          </w:hyperlink>
        </w:p>
        <w:p w14:paraId="01064BB1" w14:textId="77777777" w:rsidR="009C474B" w:rsidRDefault="009C474B">
          <w:pPr>
            <w:pStyle w:val="TM1"/>
            <w:rPr>
              <w:rFonts w:asciiTheme="minorHAnsi" w:eastAsiaTheme="minorEastAsia" w:hAnsiTheme="minorHAnsi"/>
              <w:color w:val="auto"/>
              <w:kern w:val="2"/>
              <w:szCs w:val="24"/>
              <w:lang w:eastAsia="fr-FR"/>
              <w14:ligatures w14:val="standardContextual"/>
            </w:rPr>
          </w:pPr>
          <w:hyperlink w:anchor="_Toc224256927" w:history="1">
            <w:r>
              <w:rPr>
                <w:rStyle w:val="Lienhypertexte"/>
                <w:rFonts w:cs="Arial"/>
                <w:lang w:bidi="fr-FR"/>
              </w:rPr>
              <w:t>Sources de données</w:t>
            </w:r>
            <w:r>
              <w:rPr>
                <w:webHidden/>
              </w:rPr>
              <w:tab/>
            </w:r>
            <w:r>
              <w:rPr>
                <w:webHidden/>
              </w:rPr>
              <w:fldChar w:fldCharType="begin"/>
            </w:r>
            <w:r>
              <w:rPr>
                <w:webHidden/>
              </w:rPr>
              <w:instrText xml:space="preserve"> PAGEREF _Toc224256927 \h </w:instrText>
            </w:r>
            <w:r>
              <w:rPr>
                <w:webHidden/>
              </w:rPr>
            </w:r>
            <w:r>
              <w:rPr>
                <w:webHidden/>
              </w:rPr>
              <w:fldChar w:fldCharType="separate"/>
            </w:r>
            <w:r>
              <w:rPr>
                <w:webHidden/>
              </w:rPr>
              <w:t>2</w:t>
            </w:r>
            <w:r>
              <w:rPr>
                <w:webHidden/>
              </w:rPr>
              <w:fldChar w:fldCharType="end"/>
            </w:r>
          </w:hyperlink>
        </w:p>
        <w:p w14:paraId="6992733B" w14:textId="77777777" w:rsidR="009C474B" w:rsidRDefault="009C474B">
          <w:pPr>
            <w:pStyle w:val="TM1"/>
            <w:rPr>
              <w:rFonts w:asciiTheme="minorHAnsi" w:eastAsiaTheme="minorEastAsia" w:hAnsiTheme="minorHAnsi"/>
              <w:color w:val="auto"/>
              <w:kern w:val="2"/>
              <w:szCs w:val="24"/>
              <w:lang w:eastAsia="fr-FR"/>
              <w14:ligatures w14:val="standardContextual"/>
            </w:rPr>
          </w:pPr>
          <w:hyperlink w:anchor="_Toc224256928" w:history="1">
            <w:r>
              <w:rPr>
                <w:rStyle w:val="Lienhypertexte"/>
                <w:lang w:bidi="fr-FR"/>
              </w:rPr>
              <w:t>Choix techniques</w:t>
            </w:r>
            <w:r>
              <w:rPr>
                <w:webHidden/>
              </w:rPr>
              <w:tab/>
            </w:r>
            <w:r>
              <w:rPr>
                <w:webHidden/>
              </w:rPr>
              <w:fldChar w:fldCharType="begin"/>
            </w:r>
            <w:r>
              <w:rPr>
                <w:webHidden/>
              </w:rPr>
              <w:instrText xml:space="preserve"> PAGEREF _Toc224256928 \h </w:instrText>
            </w:r>
            <w:r>
              <w:rPr>
                <w:webHidden/>
              </w:rPr>
            </w:r>
            <w:r>
              <w:rPr>
                <w:webHidden/>
              </w:rPr>
              <w:fldChar w:fldCharType="separate"/>
            </w:r>
            <w:r>
              <w:rPr>
                <w:webHidden/>
              </w:rPr>
              <w:t>3</w:t>
            </w:r>
            <w:r>
              <w:rPr>
                <w:webHidden/>
              </w:rPr>
              <w:fldChar w:fldCharType="end"/>
            </w:r>
          </w:hyperlink>
        </w:p>
        <w:p w14:paraId="325B858A" w14:textId="77777777" w:rsidR="009C474B" w:rsidRDefault="009C474B">
          <w:pPr>
            <w:pStyle w:val="TM1"/>
            <w:rPr>
              <w:rFonts w:asciiTheme="minorHAnsi" w:eastAsiaTheme="minorEastAsia" w:hAnsiTheme="minorHAnsi"/>
              <w:color w:val="auto"/>
              <w:kern w:val="2"/>
              <w:szCs w:val="24"/>
              <w:lang w:eastAsia="fr-FR"/>
              <w14:ligatures w14:val="standardContextual"/>
            </w:rPr>
          </w:pPr>
          <w:hyperlink w:anchor="_Toc224256929" w:history="1">
            <w:r>
              <w:rPr>
                <w:rStyle w:val="Lienhypertexte"/>
                <w:rFonts w:cs="Arial"/>
                <w:lang w:bidi="fr-FR"/>
              </w:rPr>
              <w:t>Étapes du processus ETL</w:t>
            </w:r>
            <w:r>
              <w:rPr>
                <w:webHidden/>
              </w:rPr>
              <w:tab/>
            </w:r>
            <w:r>
              <w:rPr>
                <w:webHidden/>
              </w:rPr>
              <w:fldChar w:fldCharType="begin"/>
            </w:r>
            <w:r>
              <w:rPr>
                <w:webHidden/>
              </w:rPr>
              <w:instrText xml:space="preserve"> PAGEREF _Toc224256929 \h </w:instrText>
            </w:r>
            <w:r>
              <w:rPr>
                <w:webHidden/>
              </w:rPr>
            </w:r>
            <w:r>
              <w:rPr>
                <w:webHidden/>
              </w:rPr>
              <w:fldChar w:fldCharType="separate"/>
            </w:r>
            <w:r>
              <w:rPr>
                <w:webHidden/>
              </w:rPr>
              <w:t>4</w:t>
            </w:r>
            <w:r>
              <w:rPr>
                <w:webHidden/>
              </w:rPr>
              <w:fldChar w:fldCharType="end"/>
            </w:r>
          </w:hyperlink>
        </w:p>
        <w:p w14:paraId="7C1EBBAC" w14:textId="77777777" w:rsidR="009C474B" w:rsidRDefault="009C474B">
          <w:pPr>
            <w:pStyle w:val="TM2"/>
            <w:tabs>
              <w:tab w:val="right" w:leader="underscore" w:pos="9592"/>
            </w:tabs>
            <w:rPr>
              <w:rFonts w:asciiTheme="minorHAnsi" w:eastAsiaTheme="minorEastAsia" w:hAnsiTheme="minorHAnsi"/>
              <w:noProof/>
              <w:color w:val="auto"/>
              <w:kern w:val="2"/>
              <w:szCs w:val="24"/>
              <w:lang w:eastAsia="fr-FR"/>
              <w14:ligatures w14:val="standardContextual"/>
            </w:rPr>
          </w:pPr>
          <w:hyperlink w:anchor="_Toc224256930" w:history="1">
            <w:r>
              <w:rPr>
                <w:rStyle w:val="Lienhypertexte"/>
                <w:rFonts w:cs="Arial"/>
                <w:noProof/>
              </w:rPr>
              <w:t>Phase de collecte</w:t>
            </w:r>
            <w:r>
              <w:rPr>
                <w:noProof/>
                <w:webHidden/>
              </w:rPr>
              <w:tab/>
            </w:r>
            <w:r>
              <w:rPr>
                <w:noProof/>
                <w:webHidden/>
              </w:rPr>
              <w:fldChar w:fldCharType="begin"/>
            </w:r>
            <w:r>
              <w:rPr>
                <w:noProof/>
                <w:webHidden/>
              </w:rPr>
              <w:instrText xml:space="preserve"> PAGEREF _Toc224256930 \h </w:instrText>
            </w:r>
            <w:r>
              <w:rPr>
                <w:noProof/>
                <w:webHidden/>
              </w:rPr>
            </w:r>
            <w:r>
              <w:rPr>
                <w:noProof/>
                <w:webHidden/>
              </w:rPr>
              <w:fldChar w:fldCharType="separate"/>
            </w:r>
            <w:r>
              <w:rPr>
                <w:noProof/>
                <w:webHidden/>
              </w:rPr>
              <w:t>4</w:t>
            </w:r>
            <w:r>
              <w:rPr>
                <w:noProof/>
                <w:webHidden/>
              </w:rPr>
              <w:fldChar w:fldCharType="end"/>
            </w:r>
          </w:hyperlink>
        </w:p>
        <w:p w14:paraId="4212ACB2" w14:textId="77777777" w:rsidR="009C474B" w:rsidRDefault="009C474B">
          <w:pPr>
            <w:pStyle w:val="TM2"/>
            <w:tabs>
              <w:tab w:val="right" w:leader="underscore" w:pos="9592"/>
            </w:tabs>
            <w:rPr>
              <w:rFonts w:asciiTheme="minorHAnsi" w:eastAsiaTheme="minorEastAsia" w:hAnsiTheme="minorHAnsi"/>
              <w:noProof/>
              <w:color w:val="auto"/>
              <w:kern w:val="2"/>
              <w:szCs w:val="24"/>
              <w:lang w:eastAsia="fr-FR"/>
              <w14:ligatures w14:val="standardContextual"/>
            </w:rPr>
          </w:pPr>
          <w:hyperlink w:anchor="_Toc224256931" w:history="1">
            <w:r>
              <w:rPr>
                <w:rStyle w:val="Lienhypertexte"/>
                <w:rFonts w:cs="Arial"/>
                <w:noProof/>
              </w:rPr>
              <w:t>Transformation des données</w:t>
            </w:r>
            <w:r>
              <w:rPr>
                <w:noProof/>
                <w:webHidden/>
              </w:rPr>
              <w:tab/>
            </w:r>
            <w:r>
              <w:rPr>
                <w:noProof/>
                <w:webHidden/>
              </w:rPr>
              <w:fldChar w:fldCharType="begin"/>
            </w:r>
            <w:r>
              <w:rPr>
                <w:noProof/>
                <w:webHidden/>
              </w:rPr>
              <w:instrText xml:space="preserve"> PAGEREF _Toc224256931 \h </w:instrText>
            </w:r>
            <w:r>
              <w:rPr>
                <w:noProof/>
                <w:webHidden/>
              </w:rPr>
            </w:r>
            <w:r>
              <w:rPr>
                <w:noProof/>
                <w:webHidden/>
              </w:rPr>
              <w:fldChar w:fldCharType="separate"/>
            </w:r>
            <w:r>
              <w:rPr>
                <w:noProof/>
                <w:webHidden/>
              </w:rPr>
              <w:t>5</w:t>
            </w:r>
            <w:r>
              <w:rPr>
                <w:noProof/>
                <w:webHidden/>
              </w:rPr>
              <w:fldChar w:fldCharType="end"/>
            </w:r>
          </w:hyperlink>
        </w:p>
        <w:p w14:paraId="61780234" w14:textId="77777777" w:rsidR="009C474B" w:rsidRDefault="009C474B">
          <w:pPr>
            <w:pStyle w:val="TM2"/>
            <w:tabs>
              <w:tab w:val="right" w:leader="underscore" w:pos="9592"/>
            </w:tabs>
            <w:rPr>
              <w:rFonts w:asciiTheme="minorHAnsi" w:eastAsiaTheme="minorEastAsia" w:hAnsiTheme="minorHAnsi"/>
              <w:noProof/>
              <w:color w:val="auto"/>
              <w:kern w:val="2"/>
              <w:szCs w:val="24"/>
              <w:lang w:eastAsia="fr-FR"/>
              <w14:ligatures w14:val="standardContextual"/>
            </w:rPr>
          </w:pPr>
          <w:hyperlink w:anchor="_Toc224256932" w:history="1">
            <w:r>
              <w:rPr>
                <w:rStyle w:val="Lienhypertexte"/>
                <w:rFonts w:cs="Arial"/>
                <w:noProof/>
              </w:rPr>
              <w:t>Phase de chargement</w:t>
            </w:r>
            <w:r>
              <w:rPr>
                <w:noProof/>
                <w:webHidden/>
              </w:rPr>
              <w:tab/>
            </w:r>
            <w:r>
              <w:rPr>
                <w:noProof/>
                <w:webHidden/>
              </w:rPr>
              <w:fldChar w:fldCharType="begin"/>
            </w:r>
            <w:r>
              <w:rPr>
                <w:noProof/>
                <w:webHidden/>
              </w:rPr>
              <w:instrText xml:space="preserve"> PAGEREF _Toc224256932 \h </w:instrText>
            </w:r>
            <w:r>
              <w:rPr>
                <w:noProof/>
                <w:webHidden/>
              </w:rPr>
            </w:r>
            <w:r>
              <w:rPr>
                <w:noProof/>
                <w:webHidden/>
              </w:rPr>
              <w:fldChar w:fldCharType="separate"/>
            </w:r>
            <w:r>
              <w:rPr>
                <w:noProof/>
                <w:webHidden/>
              </w:rPr>
              <w:t>7</w:t>
            </w:r>
            <w:r>
              <w:rPr>
                <w:noProof/>
                <w:webHidden/>
              </w:rPr>
              <w:fldChar w:fldCharType="end"/>
            </w:r>
          </w:hyperlink>
        </w:p>
        <w:p w14:paraId="53F9610D" w14:textId="77777777" w:rsidR="009C474B" w:rsidRDefault="009C474B">
          <w:pPr>
            <w:pStyle w:val="TM1"/>
            <w:rPr>
              <w:rFonts w:asciiTheme="minorHAnsi" w:eastAsiaTheme="minorEastAsia" w:hAnsiTheme="minorHAnsi"/>
              <w:color w:val="auto"/>
              <w:kern w:val="2"/>
              <w:szCs w:val="24"/>
              <w:lang w:eastAsia="fr-FR"/>
              <w14:ligatures w14:val="standardContextual"/>
            </w:rPr>
          </w:pPr>
          <w:hyperlink w:anchor="_Toc224256933" w:history="1">
            <w:r>
              <w:rPr>
                <w:rStyle w:val="Lienhypertexte"/>
                <w:rFonts w:cs="Arial"/>
                <w:lang w:bidi="fr-FR"/>
              </w:rPr>
              <w:t>Base de données</w:t>
            </w:r>
            <w:r>
              <w:rPr>
                <w:webHidden/>
              </w:rPr>
              <w:tab/>
            </w:r>
            <w:r>
              <w:rPr>
                <w:webHidden/>
              </w:rPr>
              <w:fldChar w:fldCharType="begin"/>
            </w:r>
            <w:r>
              <w:rPr>
                <w:webHidden/>
              </w:rPr>
              <w:instrText xml:space="preserve"> PAGEREF _Toc224256933 \h </w:instrText>
            </w:r>
            <w:r>
              <w:rPr>
                <w:webHidden/>
              </w:rPr>
            </w:r>
            <w:r>
              <w:rPr>
                <w:webHidden/>
              </w:rPr>
              <w:fldChar w:fldCharType="separate"/>
            </w:r>
            <w:r>
              <w:rPr>
                <w:webHidden/>
              </w:rPr>
              <w:t>9</w:t>
            </w:r>
            <w:r>
              <w:rPr>
                <w:webHidden/>
              </w:rPr>
              <w:fldChar w:fldCharType="end"/>
            </w:r>
          </w:hyperlink>
        </w:p>
        <w:p w14:paraId="210D1999" w14:textId="77777777" w:rsidR="009C474B" w:rsidRDefault="009C474B">
          <w:pPr>
            <w:pStyle w:val="TM1"/>
            <w:rPr>
              <w:rFonts w:asciiTheme="minorHAnsi" w:eastAsiaTheme="minorEastAsia" w:hAnsiTheme="minorHAnsi"/>
              <w:color w:val="auto"/>
              <w:kern w:val="2"/>
              <w:szCs w:val="24"/>
              <w:lang w:eastAsia="fr-FR"/>
              <w14:ligatures w14:val="standardContextual"/>
            </w:rPr>
          </w:pPr>
          <w:hyperlink w:anchor="_Toc224256934" w:history="1">
            <w:r>
              <w:rPr>
                <w:rStyle w:val="Lienhypertexte"/>
                <w:rFonts w:cs="Arial"/>
              </w:rPr>
              <w:t>API</w:t>
            </w:r>
            <w:r>
              <w:rPr>
                <w:webHidden/>
              </w:rPr>
              <w:tab/>
            </w:r>
            <w:r>
              <w:rPr>
                <w:webHidden/>
              </w:rPr>
              <w:fldChar w:fldCharType="begin"/>
            </w:r>
            <w:r>
              <w:rPr>
                <w:webHidden/>
              </w:rPr>
              <w:instrText xml:space="preserve"> PAGEREF _Toc224256934 \h </w:instrText>
            </w:r>
            <w:r>
              <w:rPr>
                <w:webHidden/>
              </w:rPr>
            </w:r>
            <w:r>
              <w:rPr>
                <w:webHidden/>
              </w:rPr>
              <w:fldChar w:fldCharType="separate"/>
            </w:r>
            <w:r>
              <w:rPr>
                <w:webHidden/>
              </w:rPr>
              <w:t>11</w:t>
            </w:r>
            <w:r>
              <w:rPr>
                <w:webHidden/>
              </w:rPr>
              <w:fldChar w:fldCharType="end"/>
            </w:r>
          </w:hyperlink>
        </w:p>
        <w:p w14:paraId="0E9BCF50" w14:textId="77777777" w:rsidR="009C474B" w:rsidRDefault="009C474B">
          <w:pPr>
            <w:pStyle w:val="TM1"/>
            <w:rPr>
              <w:rFonts w:asciiTheme="minorHAnsi" w:eastAsiaTheme="minorEastAsia" w:hAnsiTheme="minorHAnsi"/>
              <w:color w:val="auto"/>
              <w:kern w:val="2"/>
              <w:szCs w:val="24"/>
              <w:lang w:eastAsia="fr-FR"/>
              <w14:ligatures w14:val="standardContextual"/>
            </w:rPr>
          </w:pPr>
          <w:hyperlink w:anchor="_Toc224256935" w:history="1">
            <w:r>
              <w:rPr>
                <w:rStyle w:val="Lienhypertexte"/>
                <w:rFonts w:cs="Arial"/>
              </w:rPr>
              <w:t>Nos retours</w:t>
            </w:r>
            <w:r>
              <w:rPr>
                <w:webHidden/>
              </w:rPr>
              <w:tab/>
            </w:r>
            <w:r>
              <w:rPr>
                <w:webHidden/>
              </w:rPr>
              <w:fldChar w:fldCharType="begin"/>
            </w:r>
            <w:r>
              <w:rPr>
                <w:webHidden/>
              </w:rPr>
              <w:instrText xml:space="preserve"> PAGEREF _Toc224256935 \h </w:instrText>
            </w:r>
            <w:r>
              <w:rPr>
                <w:webHidden/>
              </w:rPr>
            </w:r>
            <w:r>
              <w:rPr>
                <w:webHidden/>
              </w:rPr>
              <w:fldChar w:fldCharType="separate"/>
            </w:r>
            <w:r>
              <w:rPr>
                <w:webHidden/>
              </w:rPr>
              <w:t>13</w:t>
            </w:r>
            <w:r>
              <w:rPr>
                <w:webHidden/>
              </w:rPr>
              <w:fldChar w:fldCharType="end"/>
            </w:r>
          </w:hyperlink>
        </w:p>
        <w:p w14:paraId="0A6CE38B" w14:textId="77777777" w:rsidR="00E523C3" w:rsidRPr="00457601" w:rsidRDefault="00E523C3" w:rsidP="00DF6CD2">
          <w:pPr>
            <w:rPr>
              <w:rFonts w:cs="Arial"/>
            </w:rPr>
          </w:pPr>
          <w:r>
            <w:rPr>
              <w:rFonts w:cs="Arial"/>
              <w:b/>
              <w:noProof/>
              <w:lang w:bidi="fr-FR"/>
            </w:rPr>
            <w:fldChar w:fldCharType="end"/>
          </w:r>
        </w:p>
      </w:sdtContent>
    </w:sdt>
    <w:p w14:paraId="0E61F6CF" w14:textId="77777777" w:rsidR="004B3027" w:rsidRDefault="003811BF">
      <w:pPr>
        <w:spacing w:after="180" w:line="336" w:lineRule="auto"/>
        <w:jc w:val="left"/>
        <w:rPr>
          <w:lang w:bidi="fr-FR"/>
        </w:rPr>
        <w:sectPr w:rsidR="004B3027" w:rsidSect="002011D3">
          <w:headerReference w:type="default" r:id="rId11"/>
          <w:headerReference w:type="first" r:id="rId12"/>
          <w:footerReference w:type="first" r:id="rId13"/>
          <w:pgSz w:w="11906" w:h="16838" w:code="9"/>
          <w:pgMar w:top="720" w:right="1152" w:bottom="1135" w:left="1152" w:header="0" w:footer="0" w:gutter="0"/>
          <w:pgNumType w:start="1"/>
          <w:cols w:space="708"/>
          <w:docGrid w:linePitch="360"/>
        </w:sectPr>
      </w:pPr>
      <w:bookmarkStart w:id="0" w:name="_Hlk501114800"/>
      <w:r>
        <w:rPr>
          <w:lang w:bidi="fr-FR"/>
        </w:rPr>
        <w:br w:type="page"/>
      </w:r>
    </w:p>
    <w:p w14:paraId="5F461639" w14:textId="77777777" w:rsidR="00857DE9" w:rsidRDefault="00857DE9" w:rsidP="00857DE9">
      <w:pPr>
        <w:pStyle w:val="Titre1"/>
        <w:rPr>
          <w:rFonts w:cs="Arial"/>
          <w:sz w:val="44"/>
          <w:szCs w:val="18"/>
          <w:lang w:bidi="fr-FR"/>
        </w:rPr>
      </w:pPr>
      <w:bookmarkStart w:id="1" w:name="_Toc224256926"/>
      <w:r>
        <w:rPr>
          <w:rFonts w:cs="Arial"/>
          <w:sz w:val="44"/>
          <w:szCs w:val="18"/>
          <w:lang w:bidi="fr-FR"/>
        </w:rPr>
        <w:lastRenderedPageBreak/>
        <w:t>Introduction</w:t>
      </w:r>
      <w:bookmarkEnd w:id="1"/>
    </w:p>
    <w:p w14:paraId="1ECF7D4C" w14:textId="77777777" w:rsidR="00857DE9" w:rsidRPr="00857DE9" w:rsidRDefault="00857DE9" w:rsidP="00857DE9">
      <w:pPr>
        <w:spacing w:before="240" w:after="240"/>
        <w:rPr>
          <w:rFonts w:cs="Arial"/>
          <w:sz w:val="22"/>
          <w:szCs w:val="18"/>
          <w:lang w:bidi="fr-FR"/>
        </w:rPr>
      </w:pPr>
      <w:r>
        <w:rPr>
          <w:rFonts w:cs="Arial"/>
          <w:sz w:val="22"/>
          <w:szCs w:val="18"/>
          <w:lang w:bidi="fr-FR"/>
        </w:rPr>
        <w:t>Dans le cadre du débat croissant sur la décarbonation des transports en Europe, la question du report modal de l'avion vers le train s'impose comme un enjeu central des politiques publiques. Le Green Deal européen et le programme TEN-T fixent des objectifs ambitieux de réduction des émissions, dans lesquels le ferroviaire, qu'il soit de jour ou de nuit, joue un rôle stratégique.</w:t>
      </w:r>
    </w:p>
    <w:p w14:paraId="1906985D" w14:textId="77777777" w:rsidR="00857DE9" w:rsidRPr="00857DE9" w:rsidRDefault="00857DE9" w:rsidP="00857DE9">
      <w:pPr>
        <w:spacing w:before="240" w:after="240"/>
        <w:rPr>
          <w:rFonts w:cs="Arial"/>
          <w:sz w:val="22"/>
          <w:szCs w:val="18"/>
          <w:lang w:bidi="fr-FR"/>
        </w:rPr>
      </w:pPr>
      <w:r>
        <w:rPr>
          <w:rFonts w:cs="Arial"/>
          <w:sz w:val="22"/>
          <w:szCs w:val="18"/>
          <w:lang w:bidi="fr-FR"/>
        </w:rPr>
        <w:t>C'est dans ce contexte qu'ObRail Europe, observatoire indépendant spécialisé dans la mobilité durable, nous a confié la mission de concevoir et de mettre en œuvre un processus ETL complet permettant de collecter, transformer, stocker et exposer des données fiables sur les dessertes ferroviaires et aériennes à l'échelle européenne. L'objectif final est de constituer un référentiel harmonisé capable d'alimenter des analyses comparatives entre le train et l'avion, notamment en termes d'émissions de CO</w:t>
      </w:r>
      <w:r>
        <w:rPr>
          <w:rFonts w:ascii="Cambria Math" w:hAnsi="Cambria Math" w:cs="Cambria Math"/>
          <w:sz w:val="22"/>
          <w:szCs w:val="18"/>
          <w:lang w:bidi="fr-FR"/>
        </w:rPr>
        <w:t>₂</w:t>
      </w:r>
      <w:r>
        <w:rPr>
          <w:rFonts w:cs="Arial"/>
          <w:sz w:val="22"/>
          <w:szCs w:val="18"/>
          <w:lang w:bidi="fr-FR"/>
        </w:rPr>
        <w:t>.</w:t>
      </w:r>
    </w:p>
    <w:p w14:paraId="2D0FF3C4" w14:textId="77777777" w:rsidR="00AF1516" w:rsidRPr="00857DE9" w:rsidRDefault="00AF1516" w:rsidP="00857DE9">
      <w:pPr>
        <w:spacing w:before="240" w:after="240"/>
        <w:rPr>
          <w:rFonts w:cs="Arial"/>
          <w:sz w:val="22"/>
          <w:szCs w:val="18"/>
          <w:lang w:bidi="fr-FR"/>
        </w:rPr>
      </w:pPr>
      <w:r>
        <w:rPr>
          <w:rFonts w:cs="Arial"/>
          <w:sz w:val="22"/>
          <w:szCs w:val="18"/>
          <w:lang w:bidi="fr-FR"/>
        </w:rPr>
        <w:t>Dans ce rapport, nous présentons l'ensemble des choix réalisés tout au long du projet : des sources de données retenues aux décisions d'architecture technique, en passant par les trois phases du pipeline ETL, la conception de la base de données et l'exposition des données via l'API REST. Nous concluons par un retour d'expérience sur les limites rencontrées et les perspectives d'évolution du système.</w:t>
      </w:r>
    </w:p>
    <w:p w14:paraId="580760B9" w14:textId="77777777" w:rsidR="00857DE9" w:rsidRDefault="00857DE9" w:rsidP="00857DE9">
      <w:pPr>
        <w:rPr>
          <w:rFonts w:eastAsiaTheme="majorEastAsia"/>
          <w:lang w:bidi="fr-FR"/>
        </w:rPr>
      </w:pPr>
      <w:r>
        <w:rPr>
          <w:lang w:bidi="fr-FR"/>
        </w:rPr>
        <w:br w:type="page"/>
      </w:r>
    </w:p>
    <w:p w14:paraId="2E166DBA" w14:textId="77777777" w:rsidR="00E523C3" w:rsidRPr="00353C28" w:rsidRDefault="00457601" w:rsidP="00FE1A1B">
      <w:pPr>
        <w:pStyle w:val="Titre1"/>
        <w:rPr>
          <w:rFonts w:cs="Arial"/>
          <w:sz w:val="44"/>
          <w:szCs w:val="18"/>
        </w:rPr>
      </w:pPr>
      <w:bookmarkStart w:id="2" w:name="_Toc224256927"/>
      <w:r>
        <w:rPr>
          <w:rFonts w:cs="Arial"/>
          <w:sz w:val="44"/>
          <w:szCs w:val="18"/>
          <w:lang w:bidi="fr-FR"/>
        </w:rPr>
        <w:lastRenderedPageBreak/>
        <w:t>Sources de données</w:t>
      </w:r>
      <w:bookmarkEnd w:id="0"/>
      <w:bookmarkEnd w:id="2"/>
    </w:p>
    <w:p w14:paraId="2D7C4E37" w14:textId="77777777" w:rsidR="004B3027" w:rsidRPr="00A77182" w:rsidRDefault="00457601" w:rsidP="00A77182">
      <w:pPr>
        <w:spacing w:before="240"/>
        <w:rPr>
          <w:b/>
          <w:bCs/>
        </w:rPr>
      </w:pPr>
      <w:r>
        <w:rPr>
          <w:b/>
          <w:bCs/>
        </w:rPr>
        <w:t>Mobility Database</w:t>
      </w:r>
    </w:p>
    <w:p w14:paraId="14D15F10" w14:textId="77777777" w:rsidR="004B3027" w:rsidRDefault="005876DE" w:rsidP="00FE1A1B">
      <w:pPr>
        <w:rPr>
          <w:rFonts w:cs="Arial"/>
          <w:sz w:val="22"/>
          <w:szCs w:val="18"/>
        </w:rPr>
      </w:pPr>
      <w:r>
        <w:rPr>
          <w:rFonts w:cs="Arial"/>
          <w:sz w:val="22"/>
          <w:szCs w:val="18"/>
        </w:rPr>
        <w:t xml:space="preserve">Cette source regroupe les flux GTFS de nombreux opérateurs européens (SNCF, DB, ÖBB, Trenitalia…) et fournit un catalogue complet et à jour des horaires, lignes et arrêts. L’accès se fait via une API REST sécurisée avec token Bearer et est documentée via Swagger UI, ce qui facilite l’automatisation des requêtes.  Nous avons choisi cette source pour sa diversité et son volume de données pour les différents pays européens. </w:t>
      </w:r>
    </w:p>
    <w:p w14:paraId="3F389C70" w14:textId="77777777" w:rsidR="003E4E90" w:rsidRPr="0033209D" w:rsidRDefault="003E4E90" w:rsidP="00A77182">
      <w:pPr>
        <w:spacing w:before="240"/>
        <w:rPr>
          <w:b/>
          <w:bCs/>
          <w:lang w:val="en-GB"/>
        </w:rPr>
      </w:pPr>
      <w:r>
        <w:rPr>
          <w:b/>
          <w:bCs/>
          <w:lang w:val="en-GB"/>
        </w:rPr>
        <w:t>Back-on-Track – Night Train Database</w:t>
      </w:r>
    </w:p>
    <w:p w14:paraId="79D6544B" w14:textId="77777777" w:rsidR="004D27C8" w:rsidRDefault="00953AB4" w:rsidP="00FE1A1B">
      <w:pPr>
        <w:spacing w:before="240"/>
        <w:contextualSpacing/>
        <w:rPr>
          <w:rFonts w:cs="Arial"/>
          <w:sz w:val="22"/>
          <w:szCs w:val="18"/>
        </w:rPr>
      </w:pPr>
      <w:r>
        <w:rPr>
          <w:rFonts w:cs="Arial"/>
          <w:sz w:val="22"/>
          <w:szCs w:val="18"/>
        </w:rPr>
        <w:t>Cette base fournit des informations sur les trains de nuit en Europe (lignes, opérateurs, dessertes jour/nuit, distances et parfois émissions). Les données sont disponibles sous forme de fichiers Excel, que nous pouvons télécharger facilement via des scripts simples. Cette source est utile pour compléter les données GTFS avec des informations spécifiques aux trains de nuits.</w:t>
      </w:r>
    </w:p>
    <w:p w14:paraId="2E6CB8C2" w14:textId="77777777" w:rsidR="000346DC" w:rsidRPr="00A77182" w:rsidRDefault="00D37046" w:rsidP="00A77182">
      <w:pPr>
        <w:spacing w:before="240"/>
        <w:rPr>
          <w:b/>
          <w:bCs/>
        </w:rPr>
      </w:pPr>
      <w:r>
        <w:rPr>
          <w:b/>
          <w:bCs/>
        </w:rPr>
        <w:t>Ember Energy</w:t>
      </w:r>
    </w:p>
    <w:p w14:paraId="1BF8B987" w14:textId="77777777" w:rsidR="004D27C8" w:rsidRDefault="000346DC" w:rsidP="00A77182">
      <w:pPr>
        <w:rPr>
          <w:sz w:val="22"/>
          <w:szCs w:val="18"/>
        </w:rPr>
      </w:pPr>
      <w:r>
        <w:rPr>
          <w:sz w:val="22"/>
          <w:szCs w:val="18"/>
        </w:rPr>
        <w:t>Cette</w:t>
      </w:r>
      <w:r>
        <w:rPr>
          <w:b/>
          <w:bCs/>
          <w:sz w:val="22"/>
          <w:szCs w:val="18"/>
        </w:rPr>
        <w:t xml:space="preserve"> </w:t>
      </w:r>
      <w:r>
        <w:rPr>
          <w:sz w:val="22"/>
          <w:szCs w:val="18"/>
        </w:rPr>
        <w:t>source de données fourni des indicateurs d’émissions de CO</w:t>
      </w:r>
      <w:r>
        <w:rPr>
          <w:rFonts w:ascii="Cambria Math" w:hAnsi="Cambria Math" w:cs="Cambria Math"/>
          <w:sz w:val="22"/>
          <w:szCs w:val="18"/>
        </w:rPr>
        <w:t>₂</w:t>
      </w:r>
      <w:r>
        <w:rPr>
          <w:sz w:val="22"/>
          <w:szCs w:val="18"/>
        </w:rPr>
        <w:t xml:space="preserve"> li</w:t>
      </w:r>
      <w:r>
        <w:rPr>
          <w:rFonts w:cs="Arial"/>
          <w:sz w:val="22"/>
          <w:szCs w:val="18"/>
        </w:rPr>
        <w:t>é</w:t>
      </w:r>
      <w:r>
        <w:rPr>
          <w:sz w:val="22"/>
          <w:szCs w:val="18"/>
        </w:rPr>
        <w:t xml:space="preserve">s </w:t>
      </w:r>
      <w:r>
        <w:rPr>
          <w:rFonts w:cs="Arial"/>
          <w:sz w:val="22"/>
          <w:szCs w:val="18"/>
        </w:rPr>
        <w:t>à</w:t>
      </w:r>
      <w:r>
        <w:rPr>
          <w:sz w:val="22"/>
          <w:szCs w:val="18"/>
        </w:rPr>
        <w:t xml:space="preserve"> la production d</w:t>
      </w:r>
      <w:r>
        <w:rPr>
          <w:rFonts w:cs="Arial"/>
          <w:sz w:val="22"/>
          <w:szCs w:val="18"/>
        </w:rPr>
        <w:t>’é</w:t>
      </w:r>
      <w:r>
        <w:rPr>
          <w:sz w:val="22"/>
          <w:szCs w:val="18"/>
        </w:rPr>
        <w:t>lectricit</w:t>
      </w:r>
      <w:r>
        <w:rPr>
          <w:rFonts w:cs="Arial"/>
          <w:sz w:val="22"/>
          <w:szCs w:val="18"/>
        </w:rPr>
        <w:t>é</w:t>
      </w:r>
      <w:r>
        <w:rPr>
          <w:sz w:val="22"/>
          <w:szCs w:val="18"/>
        </w:rPr>
        <w:t xml:space="preserve"> </w:t>
      </w:r>
      <w:r>
        <w:rPr>
          <w:rFonts w:cs="Arial"/>
          <w:sz w:val="22"/>
          <w:szCs w:val="18"/>
        </w:rPr>
        <w:t>à</w:t>
      </w:r>
      <w:r>
        <w:rPr>
          <w:sz w:val="22"/>
          <w:szCs w:val="18"/>
        </w:rPr>
        <w:t xml:space="preserve"> l</w:t>
      </w:r>
      <w:r>
        <w:rPr>
          <w:rFonts w:cs="Arial"/>
          <w:sz w:val="22"/>
          <w:szCs w:val="18"/>
        </w:rPr>
        <w:t>’é</w:t>
      </w:r>
      <w:r>
        <w:rPr>
          <w:sz w:val="22"/>
          <w:szCs w:val="18"/>
        </w:rPr>
        <w:t>chelle des pays. Gr</w:t>
      </w:r>
      <w:r>
        <w:rPr>
          <w:rFonts w:cs="Arial"/>
          <w:sz w:val="22"/>
          <w:szCs w:val="18"/>
        </w:rPr>
        <w:t>â</w:t>
      </w:r>
      <w:r>
        <w:rPr>
          <w:sz w:val="22"/>
          <w:szCs w:val="18"/>
        </w:rPr>
        <w:t xml:space="preserve">ce </w:t>
      </w:r>
      <w:r>
        <w:rPr>
          <w:rFonts w:cs="Arial"/>
          <w:sz w:val="22"/>
          <w:szCs w:val="18"/>
        </w:rPr>
        <w:t>à</w:t>
      </w:r>
      <w:r>
        <w:rPr>
          <w:sz w:val="22"/>
          <w:szCs w:val="18"/>
        </w:rPr>
        <w:t xml:space="preserve"> l</w:t>
      </w:r>
      <w:r>
        <w:rPr>
          <w:rFonts w:cs="Arial"/>
          <w:sz w:val="22"/>
          <w:szCs w:val="18"/>
        </w:rPr>
        <w:t>’</w:t>
      </w:r>
      <w:r>
        <w:rPr>
          <w:sz w:val="22"/>
          <w:szCs w:val="18"/>
        </w:rPr>
        <w:t>API REST, nous pouvons r</w:t>
      </w:r>
      <w:r>
        <w:rPr>
          <w:rFonts w:cs="Arial"/>
          <w:sz w:val="22"/>
          <w:szCs w:val="18"/>
        </w:rPr>
        <w:t>é</w:t>
      </w:r>
      <w:r>
        <w:rPr>
          <w:sz w:val="22"/>
          <w:szCs w:val="18"/>
        </w:rPr>
        <w:t>cup</w:t>
      </w:r>
      <w:r>
        <w:rPr>
          <w:rFonts w:cs="Arial"/>
          <w:sz w:val="22"/>
          <w:szCs w:val="18"/>
        </w:rPr>
        <w:t>é</w:t>
      </w:r>
      <w:r>
        <w:rPr>
          <w:sz w:val="22"/>
          <w:szCs w:val="18"/>
        </w:rPr>
        <w:t>rer automatiquement l</w:t>
      </w:r>
      <w:r>
        <w:rPr>
          <w:rFonts w:cs="Arial"/>
          <w:sz w:val="22"/>
          <w:szCs w:val="18"/>
        </w:rPr>
        <w:t>’</w:t>
      </w:r>
      <w:r>
        <w:rPr>
          <w:sz w:val="22"/>
          <w:szCs w:val="18"/>
        </w:rPr>
        <w:t>intensit</w:t>
      </w:r>
      <w:r>
        <w:rPr>
          <w:rFonts w:cs="Arial"/>
          <w:sz w:val="22"/>
          <w:szCs w:val="18"/>
        </w:rPr>
        <w:t>é</w:t>
      </w:r>
      <w:r>
        <w:rPr>
          <w:sz w:val="22"/>
          <w:szCs w:val="18"/>
        </w:rPr>
        <w:t xml:space="preserve"> carbone de l</w:t>
      </w:r>
      <w:r>
        <w:rPr>
          <w:rFonts w:cs="Arial"/>
          <w:sz w:val="22"/>
          <w:szCs w:val="18"/>
        </w:rPr>
        <w:t>’é</w:t>
      </w:r>
      <w:r>
        <w:rPr>
          <w:sz w:val="22"/>
          <w:szCs w:val="18"/>
        </w:rPr>
        <w:t>lectricit</w:t>
      </w:r>
      <w:r>
        <w:rPr>
          <w:rFonts w:cs="Arial"/>
          <w:sz w:val="22"/>
          <w:szCs w:val="18"/>
        </w:rPr>
        <w:t>é</w:t>
      </w:r>
      <w:r>
        <w:rPr>
          <w:sz w:val="22"/>
          <w:szCs w:val="18"/>
        </w:rPr>
        <w:t xml:space="preserve"> (CO</w:t>
      </w:r>
      <w:r>
        <w:rPr>
          <w:rFonts w:ascii="Cambria Math" w:hAnsi="Cambria Math" w:cs="Cambria Math"/>
          <w:sz w:val="22"/>
          <w:szCs w:val="18"/>
        </w:rPr>
        <w:t>₂</w:t>
      </w:r>
      <w:r>
        <w:rPr>
          <w:sz w:val="22"/>
          <w:szCs w:val="18"/>
        </w:rPr>
        <w:t xml:space="preserve"> par kWh produit), par pays (nom et code ISO 3) et par date. Ces données nous permettent donc d’estimer l’empreinte carbone des trajets ferroviaires récupérés en intégrant les différentes spécificités telle que le taux d'électrification de chaque pays.</w:t>
      </w:r>
    </w:p>
    <w:p w14:paraId="2FF23BB9" w14:textId="77777777" w:rsidR="000D0131" w:rsidRPr="00A77182" w:rsidRDefault="000D0131" w:rsidP="00A77182">
      <w:pPr>
        <w:spacing w:before="240"/>
        <w:rPr>
          <w:b/>
          <w:bCs/>
        </w:rPr>
      </w:pPr>
      <w:r>
        <w:rPr>
          <w:b/>
          <w:bCs/>
        </w:rPr>
        <w:t>GeoNames</w:t>
      </w:r>
    </w:p>
    <w:p w14:paraId="7AE9ED36" w14:textId="77777777" w:rsidR="00D34766" w:rsidRDefault="00FC675C" w:rsidP="00A77182">
      <w:pPr>
        <w:rPr>
          <w:sz w:val="22"/>
          <w:szCs w:val="18"/>
        </w:rPr>
      </w:pPr>
      <w:r>
        <w:rPr>
          <w:sz w:val="22"/>
          <w:szCs w:val="18"/>
        </w:rPr>
        <w:t xml:space="preserve">Cette base mondiale fournit depuis une API les coordonnées (latitude, longitude) des villes, permettant de rapprocher les arrêts issus des flux GTFS (via les </w:t>
      </w:r>
      <w:r>
        <w:rPr>
          <w:i/>
          <w:iCs/>
          <w:sz w:val="22"/>
          <w:szCs w:val="18"/>
        </w:rPr>
        <w:t>stop_name</w:t>
      </w:r>
      <w:r>
        <w:rPr>
          <w:sz w:val="22"/>
          <w:szCs w:val="18"/>
        </w:rPr>
        <w:t xml:space="preserve"> ) de leurs localisations exactes. Nous l’avons donc choisi pour enrichir et normaliser les informations géographiques des gares et villes, en assurant la cohérence spatiale entre les différentes sources et en facilitant les traitements géographiques nécessaires aux analyses.</w:t>
      </w:r>
    </w:p>
    <w:p w14:paraId="7B3E3BFB" w14:textId="77777777" w:rsidR="003E4E90" w:rsidRPr="00A77182" w:rsidRDefault="003E4E90" w:rsidP="00A77182">
      <w:pPr>
        <w:spacing w:before="240"/>
        <w:rPr>
          <w:b/>
          <w:bCs/>
        </w:rPr>
      </w:pPr>
      <w:r>
        <w:rPr>
          <w:b/>
          <w:bCs/>
        </w:rPr>
        <w:t>OurAirports</w:t>
      </w:r>
    </w:p>
    <w:p w14:paraId="1D9006B2" w14:textId="77777777" w:rsidR="009022EA" w:rsidRDefault="007865F6" w:rsidP="00A77182">
      <w:pPr>
        <w:rPr>
          <w:sz w:val="22"/>
          <w:szCs w:val="18"/>
        </w:rPr>
      </w:pPr>
      <w:r>
        <w:rPr>
          <w:sz w:val="22"/>
          <w:szCs w:val="18"/>
        </w:rPr>
        <w:t xml:space="preserve">Ce site met à disposition des données aéronautiques mondiales, notamment sur les aéroports et leurs caractéristiques. Les datasets sont disponibles via téléchargement direct, que nous pouvons exploiter pour analyser la densité et l’activité aérienne dans différents pays européens. En revanche, la source ne propose pas les « trajets » et « canaux aériens » car se sont des données privées aux compagnies aériennes, et nous n’avons pas trouvé de source open data les diffusant. </w:t>
      </w:r>
    </w:p>
    <w:p w14:paraId="395D8D8B" w14:textId="77777777" w:rsidR="009022EA" w:rsidRPr="00A77182" w:rsidRDefault="009022EA" w:rsidP="00A77182">
      <w:pPr>
        <w:spacing w:before="240"/>
        <w:rPr>
          <w:b/>
          <w:bCs/>
        </w:rPr>
      </w:pPr>
      <w:r>
        <w:rPr>
          <w:b/>
          <w:bCs/>
        </w:rPr>
        <w:t>ADEME</w:t>
      </w:r>
    </w:p>
    <w:p w14:paraId="550BCDC9" w14:textId="77777777" w:rsidR="009A766F" w:rsidRPr="008713BA" w:rsidRDefault="009A766F" w:rsidP="00A77182">
      <w:pPr>
        <w:rPr>
          <w:sz w:val="22"/>
          <w:szCs w:val="18"/>
        </w:rPr>
      </w:pPr>
      <w:r>
        <w:rPr>
          <w:sz w:val="22"/>
          <w:szCs w:val="18"/>
        </w:rPr>
        <w:t>Enfin, les données de l’ADEME sont utiles pour récupérer l’empreinte carbone des avions en fonction de leur taille et de l’aéroport auquel il est associé. L’accès simple via API permet d’extraire uniquement les données pertinentes pour le projet, apportant une précision supplémentaire sur les émissions liées au transport aérien. Cette source fournit également des données d’émission ferroviaires, mais nous avons choisi de ne pas les utiliser pour cause de leur couverture par pays limité, faisant de grosse approximation.</w:t>
      </w:r>
    </w:p>
    <w:p w14:paraId="40E26C04" w14:textId="77777777" w:rsidR="00F966D6" w:rsidRDefault="00F966D6" w:rsidP="00F966D6">
      <w:pPr>
        <w:rPr>
          <w:lang w:bidi="fr-FR"/>
        </w:rPr>
      </w:pPr>
    </w:p>
    <w:p w14:paraId="4956A0AE" w14:textId="77777777" w:rsidR="00F966D6" w:rsidRDefault="00F966D6" w:rsidP="00F966D6">
      <w:pPr>
        <w:rPr>
          <w:b/>
          <w:bCs/>
          <w:lang w:bidi="fr-FR"/>
        </w:rPr>
      </w:pPr>
      <w:r>
        <w:rPr>
          <w:b/>
          <w:bCs/>
          <w:lang w:bidi="fr-FR"/>
        </w:rPr>
        <w:t>Sources évaluées mais non retenues</w:t>
      </w:r>
    </w:p>
    <w:p w14:paraId="1B5F1B24" w14:textId="77777777" w:rsidR="00F966D6" w:rsidRDefault="00F966D6" w:rsidP="00F966D6">
      <w:pPr>
        <w:rPr>
          <w:sz w:val="22"/>
          <w:szCs w:val="18"/>
        </w:rPr>
      </w:pPr>
      <w:r>
        <w:rPr>
          <w:sz w:val="22"/>
          <w:szCs w:val="18"/>
          <w:lang w:bidi="fr-FR"/>
        </w:rPr>
        <w:t xml:space="preserve">Nous avons étudié d’autres sources lors de notre phase d’exploration, </w:t>
      </w:r>
      <w:r>
        <w:rPr>
          <w:sz w:val="22"/>
          <w:szCs w:val="18"/>
        </w:rPr>
        <w:t>mais nous avons choisi de ne pas les utiliser. Les principales raisons sont les suivantes :</w:t>
      </w:r>
    </w:p>
    <w:p w14:paraId="2AA0E515" w14:textId="77777777" w:rsidR="00F966D6" w:rsidRPr="00F966D6" w:rsidRDefault="00F966D6" w:rsidP="00B54A3C">
      <w:pPr>
        <w:pStyle w:val="Paragraphedeliste"/>
        <w:numPr>
          <w:ilvl w:val="0"/>
          <w:numId w:val="10"/>
        </w:numPr>
        <w:rPr>
          <w:sz w:val="22"/>
          <w:szCs w:val="18"/>
        </w:rPr>
      </w:pPr>
      <w:r>
        <w:rPr>
          <w:sz w:val="22"/>
          <w:szCs w:val="18"/>
        </w:rPr>
        <w:t>Couverture géographique trop restreinte (</w:t>
      </w:r>
      <w:r>
        <w:rPr>
          <w:i/>
          <w:iCs/>
          <w:sz w:val="22"/>
          <w:szCs w:val="18"/>
        </w:rPr>
        <w:t>transport.data.gouv.fr</w:t>
      </w:r>
      <w:r>
        <w:rPr>
          <w:sz w:val="22"/>
          <w:szCs w:val="18"/>
        </w:rPr>
        <w:t xml:space="preserve">, </w:t>
      </w:r>
      <w:r>
        <w:rPr>
          <w:i/>
          <w:iCs/>
          <w:sz w:val="22"/>
          <w:szCs w:val="18"/>
        </w:rPr>
        <w:t>SNCF Open Data</w:t>
      </w:r>
      <w:r>
        <w:rPr>
          <w:sz w:val="22"/>
          <w:szCs w:val="18"/>
        </w:rPr>
        <w:t xml:space="preserve">) </w:t>
      </w:r>
    </w:p>
    <w:p w14:paraId="79812886" w14:textId="77777777" w:rsidR="00F966D6" w:rsidRDefault="00F966D6" w:rsidP="00F966D6">
      <w:pPr>
        <w:pStyle w:val="Paragraphedeliste"/>
        <w:numPr>
          <w:ilvl w:val="0"/>
          <w:numId w:val="10"/>
        </w:numPr>
        <w:rPr>
          <w:sz w:val="22"/>
          <w:szCs w:val="18"/>
        </w:rPr>
      </w:pPr>
      <w:r>
        <w:rPr>
          <w:sz w:val="22"/>
          <w:szCs w:val="18"/>
        </w:rPr>
        <w:t>Redondance avec des sources déjà sélectionnées (</w:t>
      </w:r>
      <w:r>
        <w:rPr>
          <w:i/>
          <w:iCs/>
          <w:sz w:val="22"/>
          <w:szCs w:val="18"/>
        </w:rPr>
        <w:t>Transitland</w:t>
      </w:r>
      <w:r>
        <w:rPr>
          <w:sz w:val="22"/>
          <w:szCs w:val="18"/>
        </w:rPr>
        <w:t xml:space="preserve">, </w:t>
      </w:r>
      <w:r>
        <w:rPr>
          <w:i/>
          <w:iCs/>
          <w:sz w:val="22"/>
          <w:szCs w:val="18"/>
        </w:rPr>
        <w:t>HUSAHUC GTFS France)</w:t>
      </w:r>
    </w:p>
    <w:p w14:paraId="6AFC8AF9" w14:textId="77777777" w:rsidR="00F966D6" w:rsidRDefault="00F966D6" w:rsidP="00F966D6">
      <w:pPr>
        <w:pStyle w:val="Paragraphedeliste"/>
        <w:numPr>
          <w:ilvl w:val="0"/>
          <w:numId w:val="10"/>
        </w:numPr>
        <w:rPr>
          <w:sz w:val="22"/>
          <w:szCs w:val="18"/>
        </w:rPr>
      </w:pPr>
      <w:r>
        <w:rPr>
          <w:sz w:val="22"/>
          <w:szCs w:val="18"/>
        </w:rPr>
        <w:t>Format des données inadapté (</w:t>
      </w:r>
      <w:r>
        <w:rPr>
          <w:i/>
          <w:iCs/>
          <w:sz w:val="22"/>
          <w:szCs w:val="18"/>
        </w:rPr>
        <w:t>Eurostat</w:t>
      </w:r>
      <w:r>
        <w:rPr>
          <w:sz w:val="22"/>
          <w:szCs w:val="18"/>
        </w:rPr>
        <w:t xml:space="preserve">, </w:t>
      </w:r>
      <w:r>
        <w:rPr>
          <w:i/>
          <w:iCs/>
          <w:sz w:val="22"/>
          <w:szCs w:val="18"/>
        </w:rPr>
        <w:t>European Data Portal, UIC)</w:t>
      </w:r>
    </w:p>
    <w:p w14:paraId="756C5AAE" w14:textId="77777777" w:rsidR="00E14E95" w:rsidRPr="00E14E95" w:rsidRDefault="00F966D6" w:rsidP="00E14E95">
      <w:pPr>
        <w:pStyle w:val="Paragraphedeliste"/>
        <w:numPr>
          <w:ilvl w:val="0"/>
          <w:numId w:val="10"/>
        </w:numPr>
        <w:rPr>
          <w:sz w:val="22"/>
          <w:szCs w:val="18"/>
        </w:rPr>
      </w:pPr>
      <w:r>
        <w:rPr>
          <w:sz w:val="22"/>
          <w:szCs w:val="18"/>
        </w:rPr>
        <w:t>Niveau de mise à jour insuffisant (</w:t>
      </w:r>
      <w:r>
        <w:rPr>
          <w:i/>
          <w:iCs/>
          <w:sz w:val="22"/>
          <w:szCs w:val="18"/>
        </w:rPr>
        <w:t>European Environment Agency</w:t>
      </w:r>
      <w:r>
        <w:rPr>
          <w:sz w:val="22"/>
          <w:szCs w:val="18"/>
        </w:rPr>
        <w:t>)</w:t>
      </w:r>
    </w:p>
    <w:p w14:paraId="58DFB886" w14:textId="77777777" w:rsidR="00E14E95" w:rsidRDefault="00E14E95" w:rsidP="00E14E95">
      <w:pPr>
        <w:spacing w:before="240"/>
        <w:rPr>
          <w:sz w:val="22"/>
          <w:szCs w:val="18"/>
        </w:rPr>
      </w:pPr>
      <w:r>
        <w:rPr>
          <w:sz w:val="22"/>
          <w:szCs w:val="18"/>
        </w:rPr>
        <w:t>Ces choix ont permis de concentrer notre travail sur des sources fiables, régulièrement mises à jour et couvrant l’ensemble du périmètre européen, tout en garantissant la cohérence et la qualité des données intégrées dans le pipeline ETL.</w:t>
      </w:r>
    </w:p>
    <w:p w14:paraId="19B6DB80" w14:textId="77777777" w:rsidR="00DC7DC7" w:rsidRPr="00353C28" w:rsidRDefault="00DC7DC7" w:rsidP="00F006C1">
      <w:pPr>
        <w:pStyle w:val="Titre1"/>
        <w:rPr>
          <w:sz w:val="44"/>
          <w:szCs w:val="18"/>
        </w:rPr>
      </w:pPr>
      <w:bookmarkStart w:id="3" w:name="_Toc224256928"/>
      <w:r>
        <w:rPr>
          <w:sz w:val="44"/>
          <w:szCs w:val="18"/>
          <w:lang w:bidi="fr-FR"/>
        </w:rPr>
        <w:lastRenderedPageBreak/>
        <w:t>Choix techniques</w:t>
      </w:r>
      <w:bookmarkEnd w:id="3"/>
    </w:p>
    <w:p w14:paraId="170F89C8" w14:textId="77777777" w:rsidR="00BD717C" w:rsidRPr="00787299" w:rsidRDefault="00B03927" w:rsidP="00D43A50">
      <w:pPr>
        <w:spacing w:before="240" w:after="240"/>
        <w:rPr>
          <w:sz w:val="22"/>
          <w:szCs w:val="18"/>
        </w:rPr>
      </w:pPr>
      <w:r>
        <w:rPr>
          <w:sz w:val="22"/>
          <w:szCs w:val="18"/>
        </w:rPr>
        <w:t xml:space="preserve">Nous avons développé le projet en </w:t>
      </w:r>
      <w:r>
        <w:rPr>
          <w:b/>
          <w:bCs/>
          <w:sz w:val="22"/>
          <w:szCs w:val="18"/>
        </w:rPr>
        <w:t>Python</w:t>
      </w:r>
      <w:r>
        <w:rPr>
          <w:sz w:val="22"/>
          <w:szCs w:val="18"/>
        </w:rPr>
        <w:t>, un langage largement utilisé dans le domaine de la data et de l’intelligence artificielle. Ce choix s’appuie à la fois sur la maîtrise de notre équipe et sur la richesse de son écosystème. De plus, sa syntaxe simple et lisible facilite la collaboration et la maintenance du code, tout en permettant une intégration efficace avec des outils ou librairies externes, telle qu’Apache Spark qui est essentiel pour réaliser notre pipeline ETL.</w:t>
      </w:r>
    </w:p>
    <w:p w14:paraId="4A256DAF" w14:textId="77777777" w:rsidR="006D25D5" w:rsidRPr="00787299" w:rsidRDefault="006D25D5" w:rsidP="00787299">
      <w:pPr>
        <w:spacing w:after="240"/>
        <w:rPr>
          <w:sz w:val="22"/>
          <w:szCs w:val="18"/>
        </w:rPr>
      </w:pPr>
      <w:r>
        <w:rPr>
          <w:sz w:val="22"/>
          <w:szCs w:val="18"/>
        </w:rPr>
        <w:t xml:space="preserve">En effet, </w:t>
      </w:r>
      <w:r>
        <w:rPr>
          <w:b/>
          <w:bCs/>
          <w:sz w:val="22"/>
          <w:szCs w:val="18"/>
        </w:rPr>
        <w:t>PySpark</w:t>
      </w:r>
      <w:r>
        <w:rPr>
          <w:sz w:val="22"/>
          <w:szCs w:val="18"/>
        </w:rPr>
        <w:t xml:space="preserve"> est utile pour manipuler et transformer des volumes importants de données à travers des opérations distribuées, ce qui nous a permis de réaliser notre phase de transformation. </w:t>
      </w:r>
      <w:r>
        <w:rPr>
          <w:b/>
          <w:bCs/>
          <w:sz w:val="22"/>
          <w:szCs w:val="18"/>
        </w:rPr>
        <w:t>Pycountry</w:t>
      </w:r>
      <w:r>
        <w:rPr>
          <w:sz w:val="22"/>
          <w:szCs w:val="18"/>
        </w:rPr>
        <w:t xml:space="preserve"> nous a aussi servi notamment pour la normalisation des codes pays, facilitant l’intégration de sources hétérogènes.</w:t>
      </w:r>
    </w:p>
    <w:p w14:paraId="18EDBCFA" w14:textId="77777777" w:rsidR="0050269D" w:rsidRPr="00787299" w:rsidRDefault="006D25D5" w:rsidP="00787299">
      <w:pPr>
        <w:spacing w:after="240"/>
        <w:rPr>
          <w:sz w:val="22"/>
          <w:szCs w:val="18"/>
        </w:rPr>
      </w:pPr>
      <w:r>
        <w:rPr>
          <w:sz w:val="22"/>
          <w:szCs w:val="18"/>
        </w:rPr>
        <w:t xml:space="preserve">Pour la collecte des données, nous avons utilisé les librairies </w:t>
      </w:r>
      <w:r>
        <w:rPr>
          <w:b/>
          <w:bCs/>
          <w:sz w:val="22"/>
          <w:szCs w:val="18"/>
        </w:rPr>
        <w:t>requests</w:t>
      </w:r>
      <w:r>
        <w:rPr>
          <w:sz w:val="22"/>
          <w:szCs w:val="18"/>
        </w:rPr>
        <w:t xml:space="preserve"> et </w:t>
      </w:r>
      <w:r>
        <w:rPr>
          <w:b/>
          <w:bCs/>
          <w:sz w:val="22"/>
          <w:szCs w:val="18"/>
        </w:rPr>
        <w:t>aiohttp</w:t>
      </w:r>
      <w:r>
        <w:rPr>
          <w:sz w:val="22"/>
          <w:szCs w:val="18"/>
        </w:rPr>
        <w:t xml:space="preserve"> pour interroger différentes APIs et sources web, avec une approche synchrone ou asynchrone selon les besoins de performance. </w:t>
      </w:r>
      <w:r>
        <w:rPr>
          <w:b/>
          <w:bCs/>
          <w:sz w:val="22"/>
          <w:szCs w:val="18"/>
        </w:rPr>
        <w:t>Pandas</w:t>
      </w:r>
      <w:r>
        <w:rPr>
          <w:sz w:val="22"/>
          <w:szCs w:val="18"/>
        </w:rPr>
        <w:t xml:space="preserve"> a également été utile, mais uniquement pour l’ouverture et la manipulation de fichiers Excel (.xlsx). </w:t>
      </w:r>
    </w:p>
    <w:p w14:paraId="73777399" w14:textId="77777777" w:rsidR="00BD717C" w:rsidRDefault="0050269D" w:rsidP="000808BC">
      <w:pPr>
        <w:spacing w:after="240"/>
        <w:rPr>
          <w:sz w:val="22"/>
          <w:szCs w:val="18"/>
        </w:rPr>
      </w:pPr>
      <w:r>
        <w:rPr>
          <w:sz w:val="22"/>
          <w:szCs w:val="18"/>
        </w:rPr>
        <w:t>Plusieurs librairies complémentaires interviennent pour des aspects techniques transverses : gestion des fichiers et des flux (</w:t>
      </w:r>
      <w:r>
        <w:rPr>
          <w:b/>
          <w:bCs/>
          <w:sz w:val="22"/>
          <w:szCs w:val="18"/>
        </w:rPr>
        <w:t>os</w:t>
      </w:r>
      <w:r>
        <w:rPr>
          <w:sz w:val="22"/>
          <w:szCs w:val="18"/>
        </w:rPr>
        <w:t xml:space="preserve">, </w:t>
      </w:r>
      <w:r>
        <w:rPr>
          <w:b/>
          <w:bCs/>
          <w:sz w:val="22"/>
          <w:szCs w:val="18"/>
        </w:rPr>
        <w:t>pathlib</w:t>
      </w:r>
      <w:r>
        <w:rPr>
          <w:sz w:val="22"/>
          <w:szCs w:val="18"/>
        </w:rPr>
        <w:t xml:space="preserve">, </w:t>
      </w:r>
      <w:r>
        <w:rPr>
          <w:b/>
          <w:bCs/>
          <w:sz w:val="22"/>
          <w:szCs w:val="18"/>
        </w:rPr>
        <w:t>zipfile</w:t>
      </w:r>
      <w:r>
        <w:rPr>
          <w:sz w:val="22"/>
          <w:szCs w:val="18"/>
        </w:rPr>
        <w:t xml:space="preserve">, </w:t>
      </w:r>
      <w:r>
        <w:rPr>
          <w:b/>
          <w:bCs/>
          <w:sz w:val="22"/>
          <w:szCs w:val="18"/>
        </w:rPr>
        <w:t>BytesIO</w:t>
      </w:r>
      <w:r>
        <w:rPr>
          <w:sz w:val="22"/>
          <w:szCs w:val="18"/>
        </w:rPr>
        <w:t>), gestion de la configuration (</w:t>
      </w:r>
      <w:r>
        <w:rPr>
          <w:b/>
          <w:bCs/>
          <w:sz w:val="22"/>
          <w:szCs w:val="18"/>
        </w:rPr>
        <w:t>dotenv</w:t>
      </w:r>
      <w:r>
        <w:rPr>
          <w:sz w:val="22"/>
          <w:szCs w:val="18"/>
        </w:rPr>
        <w:t>), suivi des tâches et monitoring centralisé (</w:t>
      </w:r>
      <w:r>
        <w:rPr>
          <w:b/>
          <w:bCs/>
          <w:sz w:val="22"/>
          <w:szCs w:val="18"/>
        </w:rPr>
        <w:t>logging</w:t>
      </w:r>
      <w:r>
        <w:rPr>
          <w:sz w:val="22"/>
          <w:szCs w:val="18"/>
        </w:rPr>
        <w:t>), manipulation de données (</w:t>
      </w:r>
      <w:r>
        <w:rPr>
          <w:b/>
          <w:bCs/>
          <w:sz w:val="22"/>
          <w:szCs w:val="18"/>
        </w:rPr>
        <w:t>json</w:t>
      </w:r>
      <w:r>
        <w:rPr>
          <w:sz w:val="22"/>
          <w:szCs w:val="18"/>
        </w:rPr>
        <w:t>), ou encore gestion du temps et des types (</w:t>
      </w:r>
      <w:r>
        <w:rPr>
          <w:b/>
          <w:bCs/>
          <w:sz w:val="22"/>
          <w:szCs w:val="18"/>
        </w:rPr>
        <w:t>datetime</w:t>
      </w:r>
      <w:r>
        <w:rPr>
          <w:sz w:val="22"/>
          <w:szCs w:val="18"/>
        </w:rPr>
        <w:t xml:space="preserve">, </w:t>
      </w:r>
      <w:r>
        <w:rPr>
          <w:b/>
          <w:bCs/>
          <w:sz w:val="22"/>
          <w:szCs w:val="18"/>
        </w:rPr>
        <w:t>typing</w:t>
      </w:r>
      <w:r>
        <w:rPr>
          <w:sz w:val="22"/>
          <w:szCs w:val="18"/>
        </w:rPr>
        <w:t>). Ces outils nous aident à structurer le projet et à en améliorer la robustesse et la maintenabilité.</w:t>
      </w:r>
    </w:p>
    <w:p w14:paraId="489A97F0" w14:textId="77777777" w:rsidR="00EC3237" w:rsidRDefault="003E7C4D" w:rsidP="00EC3237">
      <w:pPr>
        <w:spacing w:before="240"/>
        <w:contextualSpacing/>
        <w:rPr>
          <w:sz w:val="22"/>
          <w:szCs w:val="18"/>
        </w:rPr>
      </w:pPr>
      <w:r>
        <w:rPr>
          <w:sz w:val="22"/>
          <w:szCs w:val="18"/>
        </w:rPr>
        <w:t xml:space="preserve">Ensuite, le stockage des données transformées et agrégées du pipeline ETL dans les DataMarts repose sur </w:t>
      </w:r>
      <w:r>
        <w:rPr>
          <w:b/>
          <w:bCs/>
          <w:sz w:val="22"/>
          <w:szCs w:val="18"/>
        </w:rPr>
        <w:t>PostgreSQL</w:t>
      </w:r>
      <w:r>
        <w:rPr>
          <w:sz w:val="22"/>
          <w:szCs w:val="18"/>
        </w:rPr>
        <w:t xml:space="preserve">. Ce système de gestion de base de données relationnelle est robuste, conforme ACID garantissant l’intégrité des données, et regroupe des fonctionnalités analytiques avancées. Son intégration avec l’écosystème Python est facilitée par l’utilisation de </w:t>
      </w:r>
      <w:r>
        <w:rPr>
          <w:b/>
          <w:bCs/>
          <w:sz w:val="22"/>
          <w:szCs w:val="18"/>
        </w:rPr>
        <w:t>SQLAlchemy</w:t>
      </w:r>
      <w:r>
        <w:rPr>
          <w:sz w:val="22"/>
          <w:szCs w:val="18"/>
        </w:rPr>
        <w:t xml:space="preserve"> comme ORM, qui fournit une couche d’abstraction pour mapper les tables de la base en objets Python et simplifier l’exécution des requêtes SQL. Cette combinaison permet ainsi de stocker et d’interroger efficacement les données afin de produire des analyses et des métriques sur les transports. </w:t>
      </w:r>
    </w:p>
    <w:p w14:paraId="6DC3A67B" w14:textId="77777777" w:rsidR="00DC7DC7" w:rsidRDefault="001539EE" w:rsidP="00D06E22">
      <w:pPr>
        <w:spacing w:before="240" w:after="240"/>
        <w:rPr>
          <w:sz w:val="22"/>
          <w:szCs w:val="18"/>
        </w:rPr>
      </w:pPr>
      <w:r>
        <w:rPr>
          <w:sz w:val="22"/>
          <w:szCs w:val="18"/>
        </w:rPr>
        <w:t xml:space="preserve">Pour l’exposition des données via des applications clientes et notre tableau de bord de contrôle, nous avons choisi </w:t>
      </w:r>
      <w:r>
        <w:rPr>
          <w:b/>
          <w:bCs/>
          <w:sz w:val="22"/>
          <w:szCs w:val="18"/>
        </w:rPr>
        <w:t>FastAPI</w:t>
      </w:r>
      <w:r>
        <w:rPr>
          <w:sz w:val="22"/>
          <w:szCs w:val="18"/>
        </w:rPr>
        <w:t xml:space="preserve">, un framework Python moderne, asynchrone et performant. Ce dernier permet de créer des API avec endpoints flexibles, capables d’intégrer </w:t>
      </w:r>
      <w:r>
        <w:rPr>
          <w:rFonts w:cs="Arial"/>
          <w:sz w:val="22"/>
          <w:szCs w:val="18"/>
        </w:rPr>
        <w:t xml:space="preserve">facilement des transformations ou calculs complexes avant l’envoie des données. </w:t>
      </w:r>
      <w:r>
        <w:rPr>
          <w:sz w:val="22"/>
          <w:szCs w:val="18"/>
        </w:rPr>
        <w:t>Il offre aussi une documentation interactive automatique, facilitant la compréhension et la maintenance du code, et s’intègre aisément avec l’écosystème Python et l’infrastructure Docker déployée pour le projet. Couplé à PostgreSQL pour le stockage dans les DataMarts, FastAPI assure une exposition fiable, performante et maintenable des données transformées.</w:t>
      </w:r>
    </w:p>
    <w:p w14:paraId="05D6A3CA" w14:textId="77777777" w:rsidR="001539EE" w:rsidRPr="001539EE" w:rsidRDefault="001539EE" w:rsidP="001539EE">
      <w:pPr>
        <w:spacing w:before="240" w:after="240"/>
        <w:rPr>
          <w:sz w:val="22"/>
          <w:szCs w:val="18"/>
        </w:rPr>
      </w:pPr>
      <w:r>
        <w:rPr>
          <w:sz w:val="22"/>
          <w:szCs w:val="18"/>
        </w:rPr>
        <w:t xml:space="preserve">Enfin, nous avons développé un dashboard avec le framework open-source </w:t>
      </w:r>
      <w:r>
        <w:rPr>
          <w:b/>
          <w:bCs/>
          <w:sz w:val="22"/>
          <w:szCs w:val="18"/>
        </w:rPr>
        <w:t>Dash</w:t>
      </w:r>
      <w:r>
        <w:rPr>
          <w:sz w:val="22"/>
          <w:szCs w:val="18"/>
        </w:rPr>
        <w:t>, développé par Plotly et conçu spécifiquement pour la visualisation de données. Ce choix repose sur son intégration dans l’écosystème Python ainsi que sur sa compatibilité avec notre stack technique existante.</w:t>
      </w:r>
    </w:p>
    <w:p w14:paraId="16562D77" w14:textId="77777777" w:rsidR="000418E4" w:rsidRDefault="003978EB" w:rsidP="00D06E22">
      <w:pPr>
        <w:spacing w:before="240" w:after="240"/>
        <w:rPr>
          <w:sz w:val="22"/>
          <w:szCs w:val="18"/>
        </w:rPr>
      </w:pPr>
      <w:r>
        <w:rPr>
          <w:sz w:val="22"/>
          <w:szCs w:val="18"/>
        </w:rPr>
        <w:t xml:space="preserve">Le déploiement de l’ensemble du projet, incluant l’API, le dashboard, la base de données et le pipeline ETL, se fait avec </w:t>
      </w:r>
      <w:r>
        <w:rPr>
          <w:b/>
          <w:bCs/>
          <w:sz w:val="22"/>
          <w:szCs w:val="18"/>
        </w:rPr>
        <w:t>Docker</w:t>
      </w:r>
      <w:r>
        <w:rPr>
          <w:sz w:val="22"/>
          <w:szCs w:val="18"/>
        </w:rPr>
        <w:t xml:space="preserve">, qui combine simplicité, performance et virtualisation. La conteneurisation permet d’encapsuler chaque composant de l’architecture dans un environnement isolé et homogène, qui garantit une configuration d’exécution identique et reproductible quelle que soit la machine utilisée. Ce point est particulièrement important pour un projet comme le nôtre, où chaque membre de l’équipe dispose de systèmes et de configuration matérielles et logicielles différentes, ce qui peut entrainer des problèmes de dépendances ou de compatibilité. </w:t>
      </w:r>
    </w:p>
    <w:p w14:paraId="031AE0BC" w14:textId="77777777" w:rsidR="00D06E22" w:rsidRDefault="0064080D" w:rsidP="000418E4">
      <w:pPr>
        <w:spacing w:after="180"/>
        <w:rPr>
          <w:rFonts w:cs="Arial"/>
          <w:sz w:val="22"/>
          <w:szCs w:val="18"/>
        </w:rPr>
      </w:pPr>
      <w:r>
        <w:rPr>
          <w:sz w:val="22"/>
          <w:szCs w:val="18"/>
        </w:rPr>
        <w:t xml:space="preserve">Cette approche contribue également à structurer le projet sous la forme d’un pipeline ETL complet, autonome et modulaire, dans lequel les différentes étapes d’extraction, de transformation et de chargement des données sont clairement séparées et exécutées de manière cohérente. </w:t>
      </w:r>
      <w:r>
        <w:rPr>
          <w:rFonts w:cs="Arial"/>
          <w:sz w:val="22"/>
          <w:szCs w:val="18"/>
        </w:rPr>
        <w:br w:type="page"/>
      </w:r>
    </w:p>
    <w:p w14:paraId="392C501C" w14:textId="77777777" w:rsidR="002063EE" w:rsidRPr="00353C28" w:rsidRDefault="00457601" w:rsidP="00F006C1">
      <w:pPr>
        <w:pStyle w:val="Titre1"/>
        <w:rPr>
          <w:rFonts w:cs="Arial"/>
          <w:sz w:val="44"/>
          <w:szCs w:val="18"/>
        </w:rPr>
      </w:pPr>
      <w:bookmarkStart w:id="4" w:name="_Toc224256929"/>
      <w:r>
        <w:rPr>
          <w:rFonts w:cs="Arial"/>
          <w:sz w:val="44"/>
          <w:szCs w:val="18"/>
          <w:lang w:bidi="fr-FR"/>
        </w:rPr>
        <w:lastRenderedPageBreak/>
        <w:t>Étapes du processus ETL</w:t>
      </w:r>
      <w:bookmarkEnd w:id="4"/>
    </w:p>
    <w:p w14:paraId="740A0468" w14:textId="77777777" w:rsidR="00745D1C" w:rsidRDefault="00745D1C" w:rsidP="00D013B0">
      <w:pPr>
        <w:spacing w:before="240"/>
        <w:rPr>
          <w:rFonts w:cs="Arial"/>
          <w:sz w:val="22"/>
          <w:szCs w:val="18"/>
        </w:rPr>
      </w:pPr>
      <w:r>
        <w:rPr>
          <w:rFonts w:cs="Arial"/>
          <w:sz w:val="22"/>
          <w:szCs w:val="18"/>
        </w:rPr>
        <w:t xml:space="preserve">Afin de structurer et d’automatiser l’intégration des différentes sources de données hétérogènes, nous avons mis en place un pipeline ETL (Extract - Transform - Load). Ce dernier permet de collecter les données provenant des sources mentionnées précédemment,  de les nettoyer et de les transformer pour obtenir un modèle de données cohérent et exploitable pour l’analyse et l’exposition via une API. </w:t>
      </w:r>
    </w:p>
    <w:p w14:paraId="3F581081" w14:textId="77777777" w:rsidR="00745D1C" w:rsidRDefault="00745D1C" w:rsidP="00D013B0">
      <w:pPr>
        <w:spacing w:before="240"/>
        <w:rPr>
          <w:sz w:val="22"/>
          <w:szCs w:val="18"/>
        </w:rPr>
      </w:pPr>
      <w:r>
        <w:rPr>
          <w:rFonts w:cs="Arial"/>
          <w:sz w:val="22"/>
          <w:szCs w:val="18"/>
        </w:rPr>
        <w:t xml:space="preserve">Comme indiqué dans les choix techniques, l’architecture du pipeline repose sur Python et PySpark et est organisée en plusieurs modules pour garantir la modularité, la maintenabilité et la réutilisabilité du code. </w:t>
      </w:r>
      <w:r>
        <w:rPr>
          <w:sz w:val="22"/>
          <w:szCs w:val="18"/>
        </w:rPr>
        <w:t>Ce découpage permet de relancer indépendamment chaque phase du pipeline : si les règles de nettoyage ou de modélisation évoluent, il est possible de relancer uniquement la transformation sans collecter à nouveau les données.</w:t>
      </w:r>
    </w:p>
    <w:p w14:paraId="307DEEF8" w14:textId="77777777" w:rsidR="00FE1A1B" w:rsidRPr="004B3EAF" w:rsidRDefault="00745D1C" w:rsidP="00D013B0">
      <w:pPr>
        <w:spacing w:before="240"/>
        <w:rPr>
          <w:rFonts w:cs="Arial"/>
          <w:b/>
          <w:bCs/>
          <w:sz w:val="22"/>
          <w:szCs w:val="18"/>
        </w:rPr>
      </w:pPr>
      <w:r>
        <w:rPr>
          <w:rFonts w:cs="Arial"/>
          <w:sz w:val="22"/>
          <w:szCs w:val="18"/>
        </w:rPr>
        <w:t>Le pipeline est orchestré par un module central (</w:t>
      </w:r>
      <w:r>
        <w:rPr>
          <w:rFonts w:cs="Arial"/>
          <w:i/>
          <w:iCs/>
          <w:sz w:val="22"/>
          <w:szCs w:val="18"/>
        </w:rPr>
        <w:t>pipeline.py</w:t>
      </w:r>
      <w:r>
        <w:rPr>
          <w:rFonts w:cs="Arial"/>
          <w:sz w:val="22"/>
          <w:szCs w:val="18"/>
        </w:rPr>
        <w:t xml:space="preserve">) qui gère les différentes phases du processus ETL : </w:t>
      </w:r>
      <w:r>
        <w:rPr>
          <w:rFonts w:cs="Arial"/>
          <w:b/>
          <w:bCs/>
          <w:sz w:val="22"/>
          <w:szCs w:val="18"/>
        </w:rPr>
        <w:t xml:space="preserve">extraction des données, transformation et préparation/chargement du modèle de données. </w:t>
      </w:r>
    </w:p>
    <w:p w14:paraId="6A456C38" w14:textId="77777777" w:rsidR="00745D1C" w:rsidRDefault="004B3EAF" w:rsidP="00D013B0">
      <w:pPr>
        <w:spacing w:before="240"/>
        <w:rPr>
          <w:rFonts w:cs="Arial"/>
          <w:sz w:val="22"/>
          <w:szCs w:val="18"/>
        </w:rPr>
      </w:pPr>
      <w:r>
        <w:rPr>
          <w:rFonts w:cs="Arial"/>
          <w:sz w:val="22"/>
          <w:szCs w:val="18"/>
        </w:rPr>
        <w:t xml:space="preserve">Nous avons organisé l’architecture du projet autour d’un dossier </w:t>
      </w:r>
      <w:r>
        <w:rPr>
          <w:rFonts w:cs="Arial"/>
          <w:i/>
          <w:iCs/>
          <w:color w:val="8076B8" w:themeColor="text1" w:themeTint="80"/>
          <w:sz w:val="22"/>
          <w:szCs w:val="18"/>
        </w:rPr>
        <w:t>src/</w:t>
      </w:r>
      <w:r>
        <w:rPr>
          <w:rFonts w:cs="Arial"/>
          <w:sz w:val="22"/>
          <w:szCs w:val="18"/>
        </w:rPr>
        <w:t xml:space="preserve"> contenant les différents modules du pipeline. Un dossier </w:t>
      </w:r>
      <w:r>
        <w:rPr>
          <w:rFonts w:cs="Arial"/>
          <w:i/>
          <w:iCs/>
          <w:color w:val="8076B8" w:themeColor="text1" w:themeTint="80"/>
          <w:sz w:val="22"/>
          <w:szCs w:val="18"/>
        </w:rPr>
        <w:t>common/</w:t>
      </w:r>
      <w:r>
        <w:rPr>
          <w:rFonts w:cs="Arial"/>
          <w:color w:val="8076B8" w:themeColor="text1" w:themeTint="80"/>
          <w:sz w:val="22"/>
          <w:szCs w:val="18"/>
        </w:rPr>
        <w:t xml:space="preserve"> </w:t>
      </w:r>
      <w:r>
        <w:rPr>
          <w:rFonts w:cs="Arial"/>
          <w:sz w:val="22"/>
          <w:szCs w:val="18"/>
        </w:rPr>
        <w:t>regroupe les composants partagés par l’ensemble du pipeline, notamment la configuration globale, la gestion des logs, le suivi des performances et la gestion de la session Spark, initialisée une seule fois et partagée entre les différentes phases pour optimiser la consommation mémoire et le temps d’exécution.</w:t>
      </w:r>
    </w:p>
    <w:p w14:paraId="04558F2B" w14:textId="77777777" w:rsidR="00E22688" w:rsidRPr="00F006C1" w:rsidRDefault="008E7424" w:rsidP="00D013B0">
      <w:pPr>
        <w:spacing w:before="240"/>
        <w:rPr>
          <w:rFonts w:cs="Arial"/>
          <w:sz w:val="22"/>
          <w:szCs w:val="18"/>
        </w:rPr>
      </w:pPr>
      <w:r>
        <w:rPr>
          <w:rFonts w:cs="Arial"/>
          <w:sz w:val="22"/>
          <w:szCs w:val="18"/>
        </w:rPr>
        <w:t>Nous avons aussi monté un système de monitoring centralisé et détaillé avec une gestion des logs PySpark, ce qui facilite l’exploitation et la maintenance du pipeline. Il permet de suivre l’exécution des différentes étapes du processus ETL, notamment la durée des traitements et les volumes de données manipulés. Par ailleurs, plusieurs mécanismes d’optimisation ont été intégrés dans les traitements Spark, notamment l’ajustement du nombre de partitions et la matérialisation intermédiaire de certains DataFrames afin de limiter les recomputations et d’améliorer les performances globales du pipeline.</w:t>
      </w:r>
    </w:p>
    <w:p w14:paraId="61620A88" w14:textId="77777777" w:rsidR="002063EE" w:rsidRPr="00457601" w:rsidRDefault="00745D1C" w:rsidP="0053508D">
      <w:pPr>
        <w:pStyle w:val="Titre2"/>
        <w:spacing w:after="240"/>
        <w:rPr>
          <w:rFonts w:cs="Arial"/>
        </w:rPr>
      </w:pPr>
      <w:bookmarkStart w:id="5" w:name="_Toc224256930"/>
      <w:r>
        <w:rPr>
          <w:rFonts w:cs="Arial"/>
        </w:rPr>
        <w:t>Phase de collecte</w:t>
      </w:r>
      <w:bookmarkEnd w:id="5"/>
    </w:p>
    <w:p w14:paraId="093B002A" w14:textId="77777777" w:rsidR="002B0314" w:rsidRPr="002B0314" w:rsidRDefault="002B0314" w:rsidP="0053508D">
      <w:pPr>
        <w:rPr>
          <w:rFonts w:cs="Arial"/>
          <w:sz w:val="22"/>
          <w:szCs w:val="18"/>
        </w:rPr>
      </w:pPr>
      <w:r>
        <w:rPr>
          <w:rFonts w:cs="Arial"/>
          <w:sz w:val="22"/>
          <w:szCs w:val="18"/>
        </w:rPr>
        <w:t xml:space="preserve">La phase d’extraction consiste à récupérer les données depuis les sources identifiées. Étant toutes variées, nous avons développé un système d’extracteur spécifique à chaque source. </w:t>
      </w:r>
    </w:p>
    <w:p w14:paraId="37820F4B" w14:textId="77777777" w:rsidR="0030324B" w:rsidRDefault="002B0314" w:rsidP="002B0314">
      <w:pPr>
        <w:spacing w:before="240"/>
        <w:rPr>
          <w:rFonts w:cs="Arial"/>
          <w:sz w:val="22"/>
          <w:szCs w:val="18"/>
        </w:rPr>
      </w:pPr>
      <w:r>
        <w:rPr>
          <w:rFonts w:cs="Arial"/>
          <w:sz w:val="22"/>
          <w:szCs w:val="18"/>
        </w:rPr>
        <w:t xml:space="preserve">Dans un premier temps, nous avons développé un script indépendant pour chaque source afin de tester et valider la méthode de récupération de leurs données. Ainsi, dès qu’ils furent fonctionnels, nous les avons intégrés dans le pipeline, dans un module nommé </w:t>
      </w:r>
      <w:r>
        <w:rPr>
          <w:rFonts w:cs="Arial"/>
          <w:i/>
          <w:iCs/>
          <w:color w:val="8076B8" w:themeColor="text1" w:themeTint="80"/>
          <w:sz w:val="22"/>
          <w:szCs w:val="18"/>
        </w:rPr>
        <w:t>extraction/</w:t>
      </w:r>
      <w:r>
        <w:rPr>
          <w:rFonts w:cs="Arial"/>
          <w:sz w:val="22"/>
          <w:szCs w:val="18"/>
        </w:rPr>
        <w:t xml:space="preserve">. </w:t>
      </w:r>
    </w:p>
    <w:p w14:paraId="13918764" w14:textId="77777777" w:rsidR="00D237D9" w:rsidRPr="00732F57" w:rsidRDefault="002B0314" w:rsidP="00732F57">
      <w:pPr>
        <w:spacing w:before="240" w:after="240"/>
        <w:rPr>
          <w:rFonts w:cs="Arial"/>
          <w:sz w:val="22"/>
          <w:szCs w:val="18"/>
        </w:rPr>
      </w:pPr>
      <w:r>
        <w:rPr>
          <w:rFonts w:cs="Arial"/>
          <w:sz w:val="22"/>
          <w:szCs w:val="18"/>
        </w:rPr>
        <w:t xml:space="preserve">Cette phase repose sur une classe orchestratrice appelée </w:t>
      </w:r>
      <w:r>
        <w:rPr>
          <w:rFonts w:cs="Arial"/>
          <w:b/>
          <w:bCs/>
          <w:i/>
          <w:iCs/>
          <w:sz w:val="22"/>
          <w:szCs w:val="18"/>
        </w:rPr>
        <w:t>RawDataIngestor</w:t>
      </w:r>
      <w:r>
        <w:rPr>
          <w:rFonts w:cs="Arial"/>
          <w:sz w:val="22"/>
          <w:szCs w:val="18"/>
        </w:rPr>
        <w:t xml:space="preserve">, chargée de lancer les différents extracteurs, contenus dans le module </w:t>
      </w:r>
      <w:r>
        <w:rPr>
          <w:rFonts w:cs="Arial"/>
          <w:i/>
          <w:iCs/>
          <w:color w:val="8076B8" w:themeColor="text1" w:themeTint="80"/>
          <w:sz w:val="22"/>
          <w:szCs w:val="18"/>
        </w:rPr>
        <w:t>extractors/</w:t>
      </w:r>
      <w:r>
        <w:rPr>
          <w:rFonts w:cs="Arial"/>
          <w:sz w:val="22"/>
          <w:szCs w:val="18"/>
        </w:rPr>
        <w:t xml:space="preserve">.  On y retrouve les 6 extracteurs, chacun associé à une source, qui héritent d’une classe abstraite </w:t>
      </w:r>
      <w:r>
        <w:rPr>
          <w:rFonts w:cs="Arial"/>
          <w:b/>
          <w:bCs/>
          <w:i/>
          <w:iCs/>
          <w:sz w:val="22"/>
          <w:szCs w:val="18"/>
        </w:rPr>
        <w:t>BaseExtractor</w:t>
      </w:r>
      <w:r>
        <w:rPr>
          <w:rFonts w:cs="Arial"/>
          <w:sz w:val="22"/>
          <w:szCs w:val="18"/>
        </w:rPr>
        <w:t>, fournissant un comportement commun tel que la gestion des erreurs, le suivi des performances et la collecte de métriques.</w:t>
      </w:r>
    </w:p>
    <w:p w14:paraId="5103C452" w14:textId="77777777" w:rsidR="00D237D9" w:rsidRDefault="00D237D9" w:rsidP="0053508D">
      <w:pPr>
        <w:pStyle w:val="Titre5"/>
        <w:spacing w:after="240"/>
        <w:rPr>
          <w:rFonts w:ascii="Arial" w:hAnsi="Arial" w:cs="Arial"/>
        </w:rPr>
      </w:pPr>
      <w:r>
        <w:rPr>
          <w:rFonts w:ascii="Arial" w:hAnsi="Arial" w:cs="Arial"/>
        </w:rPr>
        <w:t>Exécution en parallèle</w:t>
      </w:r>
    </w:p>
    <w:p w14:paraId="188F5216" w14:textId="77777777" w:rsidR="0030324B" w:rsidRDefault="0030324B" w:rsidP="0053508D">
      <w:pPr>
        <w:rPr>
          <w:rFonts w:cs="Arial"/>
          <w:sz w:val="22"/>
          <w:szCs w:val="18"/>
        </w:rPr>
      </w:pPr>
      <w:r>
        <w:rPr>
          <w:rFonts w:cs="Arial"/>
          <w:sz w:val="22"/>
          <w:szCs w:val="18"/>
        </w:rPr>
        <w:t xml:space="preserve">Le pipeline devant lancer tous les extracteurs en même temps, la récupération des données était limitée par les opérations réseau (requêtes HTTP et téléchargement). Nous avons donc utilisé le module </w:t>
      </w:r>
      <w:r>
        <w:rPr>
          <w:rFonts w:cs="Arial"/>
          <w:i/>
          <w:iCs/>
          <w:sz w:val="22"/>
          <w:szCs w:val="18"/>
        </w:rPr>
        <w:t>Thread Pool Executor</w:t>
      </w:r>
      <w:r>
        <w:rPr>
          <w:rFonts w:cs="Arial"/>
          <w:sz w:val="22"/>
          <w:szCs w:val="18"/>
        </w:rPr>
        <w:t xml:space="preserve"> pour optimiser cette phase.</w:t>
      </w:r>
    </w:p>
    <w:p w14:paraId="4D4CD6BB" w14:textId="77777777" w:rsidR="0030324B" w:rsidRDefault="00732F57" w:rsidP="002B0314">
      <w:pPr>
        <w:spacing w:before="240"/>
        <w:rPr>
          <w:rFonts w:cs="Arial"/>
          <w:sz w:val="22"/>
          <w:szCs w:val="18"/>
        </w:rPr>
      </w:pPr>
      <w:r>
        <w:rPr>
          <w:rFonts w:cs="Arial"/>
          <w:sz w:val="22"/>
          <w:szCs w:val="18"/>
        </w:rPr>
        <w:t xml:space="preserve">En effet, l’utilisation de thread est adaptée aux tâches </w:t>
      </w:r>
      <w:r>
        <w:rPr>
          <w:rFonts w:cs="Arial"/>
          <w:i/>
          <w:iCs/>
          <w:sz w:val="22"/>
          <w:szCs w:val="18"/>
        </w:rPr>
        <w:t>I/O-bound</w:t>
      </w:r>
      <w:r>
        <w:rPr>
          <w:rFonts w:cs="Arial"/>
          <w:b/>
          <w:bCs/>
          <w:sz w:val="22"/>
          <w:szCs w:val="18"/>
        </w:rPr>
        <w:t xml:space="preserve"> </w:t>
      </w:r>
      <w:r>
        <w:rPr>
          <w:rFonts w:cs="Arial"/>
          <w:sz w:val="22"/>
          <w:szCs w:val="18"/>
        </w:rPr>
        <w:t xml:space="preserve">car elles passent une grande partie du temps à attendre les réponses des serveurs externes sans faire de calcul CPU intensif. </w:t>
      </w:r>
    </w:p>
    <w:p w14:paraId="17D69B61" w14:textId="77777777" w:rsidR="00732F57" w:rsidRPr="00732F57" w:rsidRDefault="00732F57" w:rsidP="00732F57">
      <w:pPr>
        <w:spacing w:before="240"/>
        <w:rPr>
          <w:rFonts w:cs="Arial"/>
          <w:sz w:val="22"/>
          <w:szCs w:val="18"/>
        </w:rPr>
      </w:pPr>
      <w:r>
        <w:rPr>
          <w:rFonts w:cs="Arial"/>
          <w:sz w:val="22"/>
          <w:szCs w:val="18"/>
        </w:rPr>
        <w:lastRenderedPageBreak/>
        <w:t xml:space="preserve">Chaque extracteur implémente une méthode </w:t>
      </w:r>
      <w:r>
        <w:rPr>
          <w:rFonts w:cs="Arial"/>
          <w:i/>
          <w:iCs/>
          <w:color w:val="28A0EB" w:themeColor="accent2" w:themeShade="BF"/>
          <w:sz w:val="22"/>
          <w:szCs w:val="18"/>
        </w:rPr>
        <w:t>extract()</w:t>
      </w:r>
      <w:r>
        <w:rPr>
          <w:rFonts w:cs="Arial"/>
          <w:color w:val="28A0EB" w:themeColor="accent2" w:themeShade="BF"/>
          <w:sz w:val="22"/>
          <w:szCs w:val="18"/>
        </w:rPr>
        <w:t xml:space="preserve"> </w:t>
      </w:r>
      <w:r>
        <w:rPr>
          <w:rFonts w:cs="Arial"/>
          <w:sz w:val="22"/>
          <w:szCs w:val="18"/>
        </w:rPr>
        <w:t xml:space="preserve">qui réalise les opérations spécifiques à la source. Cette dernière est encapsulée dans une méthode </w:t>
      </w:r>
      <w:r>
        <w:rPr>
          <w:rFonts w:cs="Arial"/>
          <w:i/>
          <w:iCs/>
          <w:color w:val="28A0EB" w:themeColor="accent2" w:themeShade="BF"/>
          <w:sz w:val="22"/>
          <w:szCs w:val="18"/>
        </w:rPr>
        <w:t>run()</w:t>
      </w:r>
      <w:r>
        <w:rPr>
          <w:rFonts w:cs="Arial"/>
          <w:color w:val="28A0EB" w:themeColor="accent2" w:themeShade="BF"/>
          <w:sz w:val="22"/>
          <w:szCs w:val="18"/>
        </w:rPr>
        <w:t xml:space="preserve"> </w:t>
      </w:r>
      <w:r>
        <w:rPr>
          <w:rFonts w:cs="Arial"/>
          <w:sz w:val="22"/>
          <w:szCs w:val="18"/>
        </w:rPr>
        <w:t xml:space="preserve">fournie par la classe </w:t>
      </w:r>
      <w:r>
        <w:rPr>
          <w:rFonts w:cs="Arial"/>
          <w:b/>
          <w:bCs/>
          <w:i/>
          <w:iCs/>
          <w:sz w:val="22"/>
          <w:szCs w:val="18"/>
        </w:rPr>
        <w:t>BaseExtractor</w:t>
      </w:r>
      <w:r>
        <w:rPr>
          <w:rFonts w:cs="Arial"/>
          <w:sz w:val="22"/>
          <w:szCs w:val="18"/>
        </w:rPr>
        <w:t>, qui ajoute automatiquement :</w:t>
      </w:r>
    </w:p>
    <w:p w14:paraId="1F138ABE" w14:textId="77777777" w:rsidR="00732F57" w:rsidRPr="00732F57" w:rsidRDefault="00732F57" w:rsidP="003833E2">
      <w:pPr>
        <w:numPr>
          <w:ilvl w:val="0"/>
          <w:numId w:val="4"/>
        </w:numPr>
        <w:rPr>
          <w:rFonts w:cs="Arial"/>
          <w:sz w:val="22"/>
          <w:szCs w:val="18"/>
        </w:rPr>
      </w:pPr>
      <w:r>
        <w:rPr>
          <w:rFonts w:cs="Arial"/>
          <w:sz w:val="22"/>
          <w:szCs w:val="18"/>
        </w:rPr>
        <w:t>le suivi du temps d’exécution</w:t>
      </w:r>
    </w:p>
    <w:p w14:paraId="4BBE5ED5" w14:textId="77777777" w:rsidR="00732F57" w:rsidRPr="00732F57" w:rsidRDefault="00732F57" w:rsidP="003833E2">
      <w:pPr>
        <w:numPr>
          <w:ilvl w:val="0"/>
          <w:numId w:val="4"/>
        </w:numPr>
        <w:rPr>
          <w:rFonts w:cs="Arial"/>
          <w:sz w:val="22"/>
          <w:szCs w:val="18"/>
        </w:rPr>
      </w:pPr>
      <w:r>
        <w:rPr>
          <w:rFonts w:cs="Arial"/>
          <w:sz w:val="22"/>
          <w:szCs w:val="18"/>
        </w:rPr>
        <w:t>la gestion des erreurs</w:t>
      </w:r>
    </w:p>
    <w:p w14:paraId="6148F9FA" w14:textId="77777777" w:rsidR="00732F57" w:rsidRPr="00732F57" w:rsidRDefault="00732F57" w:rsidP="003833E2">
      <w:pPr>
        <w:numPr>
          <w:ilvl w:val="0"/>
          <w:numId w:val="4"/>
        </w:numPr>
        <w:spacing w:after="240"/>
        <w:rPr>
          <w:rFonts w:cs="Arial"/>
          <w:sz w:val="22"/>
          <w:szCs w:val="18"/>
        </w:rPr>
      </w:pPr>
      <w:r>
        <w:rPr>
          <w:rFonts w:cs="Arial"/>
          <w:sz w:val="22"/>
          <w:szCs w:val="18"/>
        </w:rPr>
        <w:t>la collecte de métriques (nombre de fichiers téléchargés, taille totale, durée)</w:t>
      </w:r>
    </w:p>
    <w:p w14:paraId="47AADB8A" w14:textId="77777777" w:rsidR="00732F57" w:rsidRPr="00FF08D7" w:rsidRDefault="00732F57" w:rsidP="0053508D">
      <w:pPr>
        <w:pStyle w:val="Titre5"/>
        <w:spacing w:after="240"/>
        <w:rPr>
          <w:rFonts w:ascii="Arial" w:hAnsi="Arial" w:cs="Arial"/>
        </w:rPr>
      </w:pPr>
      <w:r>
        <w:rPr>
          <w:rFonts w:ascii="Arial" w:hAnsi="Arial" w:cs="Arial"/>
        </w:rPr>
        <w:t xml:space="preserve">Génération du manifeste d’extraction </w:t>
      </w:r>
    </w:p>
    <w:p w14:paraId="00B5104F" w14:textId="77777777" w:rsidR="00732F57" w:rsidRDefault="00732F57" w:rsidP="0053508D">
      <w:pPr>
        <w:rPr>
          <w:rFonts w:cs="Arial"/>
          <w:sz w:val="22"/>
          <w:szCs w:val="18"/>
        </w:rPr>
      </w:pPr>
      <w:r>
        <w:rPr>
          <w:rFonts w:cs="Arial"/>
          <w:sz w:val="22"/>
          <w:szCs w:val="18"/>
        </w:rPr>
        <w:t xml:space="preserve">Une fois la phase d’extraction fini, le script d’orchestration génère un fichier de métadonnées appelé </w:t>
      </w:r>
      <w:r>
        <w:rPr>
          <w:rFonts w:cs="Arial"/>
          <w:i/>
          <w:iCs/>
          <w:color w:val="A1810D" w:themeColor="accent1" w:themeShade="80"/>
          <w:sz w:val="22"/>
          <w:szCs w:val="18"/>
        </w:rPr>
        <w:t>manifest.json</w:t>
      </w:r>
      <w:r>
        <w:rPr>
          <w:rFonts w:cs="Arial"/>
          <w:color w:val="A1810D" w:themeColor="accent1" w:themeShade="80"/>
          <w:sz w:val="22"/>
          <w:szCs w:val="18"/>
        </w:rPr>
        <w:t xml:space="preserve"> </w:t>
      </w:r>
      <w:r>
        <w:rPr>
          <w:rFonts w:cs="Arial"/>
          <w:sz w:val="22"/>
          <w:szCs w:val="18"/>
        </w:rPr>
        <w:t xml:space="preserve">et le stocke dans le dossier </w:t>
      </w:r>
      <w:r>
        <w:rPr>
          <w:rFonts w:cs="Arial"/>
          <w:i/>
          <w:iCs/>
          <w:color w:val="8076B8" w:themeColor="text1" w:themeTint="80"/>
          <w:sz w:val="22"/>
          <w:szCs w:val="18"/>
        </w:rPr>
        <w:t>data/raw/</w:t>
      </w:r>
    </w:p>
    <w:p w14:paraId="3D3F4BA4" w14:textId="77777777" w:rsidR="008905B2" w:rsidRDefault="00732F57" w:rsidP="008905B2">
      <w:pPr>
        <w:tabs>
          <w:tab w:val="num" w:pos="720"/>
        </w:tabs>
        <w:spacing w:before="240" w:after="240"/>
        <w:rPr>
          <w:rFonts w:cs="Arial"/>
          <w:sz w:val="22"/>
          <w:szCs w:val="18"/>
        </w:rPr>
      </w:pPr>
      <w:r>
        <w:rPr>
          <w:rFonts w:cs="Arial"/>
          <w:sz w:val="22"/>
          <w:szCs w:val="18"/>
        </w:rPr>
        <w:t xml:space="preserve">Ce fichier est produit par la classe </w:t>
      </w:r>
      <w:r>
        <w:rPr>
          <w:rFonts w:cs="Arial"/>
          <w:b/>
          <w:bCs/>
          <w:i/>
          <w:iCs/>
          <w:sz w:val="22"/>
          <w:szCs w:val="18"/>
        </w:rPr>
        <w:t>MetadataManager</w:t>
      </w:r>
      <w:r>
        <w:rPr>
          <w:rFonts w:cs="Arial"/>
          <w:sz w:val="22"/>
          <w:szCs w:val="18"/>
        </w:rPr>
        <w:t xml:space="preserve"> et contient un résumé de l’exécution pour chaque source avec plusieurs données, telles que le statut de l’extraction, le nombre de fichiers téléchargés, la taille totale des données et la durée de traitement. </w:t>
      </w:r>
    </w:p>
    <w:p w14:paraId="40459B1C" w14:textId="77777777" w:rsidR="007D4034" w:rsidRPr="007D4034" w:rsidRDefault="007D4034" w:rsidP="008905B2">
      <w:pPr>
        <w:tabs>
          <w:tab w:val="num" w:pos="720"/>
        </w:tabs>
        <w:spacing w:before="240" w:after="240"/>
        <w:rPr>
          <w:rFonts w:cs="Arial"/>
          <w:sz w:val="22"/>
          <w:szCs w:val="18"/>
        </w:rPr>
      </w:pPr>
      <w:r>
        <w:rPr>
          <w:rFonts w:cs="Arial"/>
          <w:sz w:val="22"/>
          <w:szCs w:val="18"/>
        </w:rPr>
        <w:t>Ce mécanisme permet d’assurer la traçabilité et le suivi des exécutions du pipeline.</w:t>
      </w:r>
    </w:p>
    <w:p w14:paraId="495C5FE2" w14:textId="77777777" w:rsidR="007D4034" w:rsidRPr="00FF08D7" w:rsidRDefault="00AF3168" w:rsidP="00F31148">
      <w:pPr>
        <w:pStyle w:val="Titre5"/>
        <w:spacing w:after="240"/>
        <w:rPr>
          <w:rFonts w:ascii="Arial" w:hAnsi="Arial" w:cs="Arial"/>
        </w:rPr>
      </w:pPr>
      <w:r>
        <w:rPr>
          <w:rFonts w:ascii="Arial" w:hAnsi="Arial" w:cs="Arial"/>
        </w:rPr>
        <w:t xml:space="preserve">Stockage des données brutes </w:t>
      </w:r>
    </w:p>
    <w:p w14:paraId="77D72B5A" w14:textId="77777777" w:rsidR="00AF3168" w:rsidRPr="00AF3168" w:rsidRDefault="00AF3168" w:rsidP="00F31148">
      <w:pPr>
        <w:rPr>
          <w:rFonts w:cs="Arial"/>
          <w:sz w:val="22"/>
          <w:szCs w:val="18"/>
        </w:rPr>
      </w:pPr>
      <w:r>
        <w:rPr>
          <w:rFonts w:cs="Arial"/>
          <w:sz w:val="22"/>
          <w:szCs w:val="18"/>
        </w:rPr>
        <w:t xml:space="preserve">Les données collectées sont ensuite automatiquement stockées dans le dossier </w:t>
      </w:r>
      <w:r>
        <w:rPr>
          <w:rFonts w:cs="Arial"/>
          <w:i/>
          <w:iCs/>
          <w:color w:val="8076B8" w:themeColor="text1" w:themeTint="80"/>
          <w:sz w:val="22"/>
          <w:szCs w:val="18"/>
        </w:rPr>
        <w:t>data/raw/{source}/</w:t>
      </w:r>
      <w:r>
        <w:rPr>
          <w:rFonts w:cs="Arial"/>
          <w:i/>
          <w:iCs/>
          <w:sz w:val="22"/>
          <w:szCs w:val="18"/>
        </w:rPr>
        <w:t xml:space="preserve"> </w:t>
      </w:r>
      <w:r>
        <w:rPr>
          <w:rFonts w:cs="Arial"/>
          <w:sz w:val="22"/>
          <w:szCs w:val="18"/>
        </w:rPr>
        <w:t xml:space="preserve">où {source} est le nom de la source. </w:t>
      </w:r>
    </w:p>
    <w:p w14:paraId="14A71C20" w14:textId="77777777" w:rsidR="00AF3168" w:rsidRPr="00AF3168" w:rsidRDefault="00AF3168" w:rsidP="00353C28">
      <w:pPr>
        <w:spacing w:before="240" w:after="240"/>
        <w:rPr>
          <w:rFonts w:cs="Arial"/>
          <w:sz w:val="22"/>
          <w:szCs w:val="18"/>
        </w:rPr>
      </w:pPr>
      <w:r>
        <w:rPr>
          <w:rFonts w:cs="Arial"/>
          <w:sz w:val="22"/>
          <w:szCs w:val="18"/>
        </w:rPr>
        <w:t xml:space="preserve">Ainsi, chaque source possède son propre répertoire pour conserver une séparation claire entre les données. Les fichiers collectés ne sont pas conservés dans leur type d’origine (CSV, JSON, ZIP), mais sont convertis au format </w:t>
      </w:r>
      <w:r>
        <w:rPr>
          <w:rFonts w:cs="Arial"/>
          <w:i/>
          <w:iCs/>
          <w:sz w:val="22"/>
          <w:szCs w:val="18"/>
        </w:rPr>
        <w:t>Parquet</w:t>
      </w:r>
      <w:r>
        <w:rPr>
          <w:rFonts w:cs="Arial"/>
          <w:sz w:val="22"/>
          <w:szCs w:val="18"/>
        </w:rPr>
        <w:t>, un stockage colonnaire optimisé pour la compression, les performances de lecture et le traitement distribué de grands volumes de données.</w:t>
      </w:r>
    </w:p>
    <w:p w14:paraId="69EEB7D6" w14:textId="77777777" w:rsidR="00457601" w:rsidRDefault="00AF3168" w:rsidP="00353C28">
      <w:pPr>
        <w:pStyle w:val="Titre2"/>
        <w:spacing w:before="0"/>
        <w:rPr>
          <w:rFonts w:cs="Arial"/>
        </w:rPr>
      </w:pPr>
      <w:bookmarkStart w:id="6" w:name="_Toc224256931"/>
      <w:r>
        <w:rPr>
          <w:rFonts w:cs="Arial"/>
        </w:rPr>
        <w:t>Transformation des données</w:t>
      </w:r>
      <w:bookmarkEnd w:id="6"/>
    </w:p>
    <w:p w14:paraId="060F8023" w14:textId="77777777" w:rsidR="00140A70" w:rsidRDefault="00140A70" w:rsidP="00AF3168">
      <w:pPr>
        <w:spacing w:before="240"/>
        <w:rPr>
          <w:sz w:val="22"/>
          <w:szCs w:val="18"/>
        </w:rPr>
      </w:pPr>
      <w:r>
        <w:rPr>
          <w:sz w:val="22"/>
          <w:szCs w:val="18"/>
        </w:rPr>
        <w:t>La phase de transformation exploite les fichiers produits lors de la phase d’extraction afin de nettoyer, normaliser et structurer les données, puis de construire un modèle de données cohérent.</w:t>
      </w:r>
    </w:p>
    <w:p w14:paraId="1BB367B4" w14:textId="77777777" w:rsidR="00AF3168" w:rsidRDefault="00AF3168" w:rsidP="00353C28">
      <w:pPr>
        <w:spacing w:before="240"/>
        <w:rPr>
          <w:sz w:val="22"/>
          <w:szCs w:val="18"/>
        </w:rPr>
      </w:pPr>
      <w:r>
        <w:rPr>
          <w:sz w:val="22"/>
          <w:szCs w:val="18"/>
        </w:rPr>
        <w:t xml:space="preserve">Contrairement à l’extraction, cette phase s’exécute de manière séquentielle, puisque certaines transformations dépendent des résultats produits par les étapes précédentes. </w:t>
      </w:r>
    </w:p>
    <w:p w14:paraId="4C9E2594" w14:textId="77777777" w:rsidR="00353C28" w:rsidRDefault="00353C28" w:rsidP="006F17AD">
      <w:pPr>
        <w:spacing w:before="240" w:after="240"/>
        <w:rPr>
          <w:sz w:val="22"/>
          <w:szCs w:val="18"/>
        </w:rPr>
      </w:pPr>
      <w:r>
        <w:rPr>
          <w:sz w:val="22"/>
          <w:szCs w:val="18"/>
        </w:rPr>
        <w:t xml:space="preserve">L’architecture des dossiers est similaire à celle de la collecte : la logique de transformation est implémentée dans le module </w:t>
      </w:r>
      <w:r>
        <w:rPr>
          <w:i/>
          <w:iCs/>
          <w:color w:val="8076B8" w:themeColor="text1" w:themeTint="80"/>
          <w:sz w:val="22"/>
          <w:szCs w:val="18"/>
        </w:rPr>
        <w:t>transformation/</w:t>
      </w:r>
      <w:r>
        <w:rPr>
          <w:sz w:val="22"/>
          <w:szCs w:val="18"/>
        </w:rPr>
        <w:t xml:space="preserve">. Elle est orchestrée par la classe </w:t>
      </w:r>
      <w:r>
        <w:rPr>
          <w:b/>
          <w:bCs/>
          <w:i/>
          <w:iCs/>
          <w:sz w:val="22"/>
          <w:szCs w:val="18"/>
        </w:rPr>
        <w:t>DataTransformer</w:t>
      </w:r>
      <w:r>
        <w:rPr>
          <w:sz w:val="22"/>
          <w:szCs w:val="18"/>
        </w:rPr>
        <w:t xml:space="preserve">, qui exécute une série de transformateurs spécialisés. Chaque transformateur est responsable du traitement d’une source de données et hérite de la classe abstraite </w:t>
      </w:r>
      <w:r>
        <w:rPr>
          <w:b/>
          <w:bCs/>
          <w:i/>
          <w:iCs/>
          <w:sz w:val="22"/>
          <w:szCs w:val="18"/>
        </w:rPr>
        <w:t>BaseTransformer</w:t>
      </w:r>
      <w:r>
        <w:rPr>
          <w:sz w:val="22"/>
          <w:szCs w:val="18"/>
        </w:rPr>
        <w:t>, qui fournit des mécanismes communs de gestion des erreurs, de journalisation et de suivi des performances.</w:t>
      </w:r>
    </w:p>
    <w:p w14:paraId="6A1479A7" w14:textId="77777777" w:rsidR="00353C28" w:rsidRPr="00FF08D7" w:rsidRDefault="006F17AD" w:rsidP="00BC4123">
      <w:pPr>
        <w:pStyle w:val="Titre5"/>
        <w:spacing w:after="240"/>
        <w:rPr>
          <w:rFonts w:ascii="Arial" w:hAnsi="Arial" w:cs="Arial"/>
        </w:rPr>
      </w:pPr>
      <w:r>
        <w:rPr>
          <w:rFonts w:ascii="Arial" w:hAnsi="Arial" w:cs="Arial"/>
        </w:rPr>
        <w:t xml:space="preserve">Étapes de transformation </w:t>
      </w:r>
    </w:p>
    <w:p w14:paraId="2E8BE22C" w14:textId="77777777" w:rsidR="00F96DB6" w:rsidRDefault="00A01C3D" w:rsidP="00140A70">
      <w:pPr>
        <w:spacing w:before="240"/>
        <w:rPr>
          <w:sz w:val="22"/>
          <w:szCs w:val="18"/>
        </w:rPr>
      </w:pPr>
      <w:r>
        <w:rPr>
          <w:sz w:val="22"/>
          <w:szCs w:val="18"/>
        </w:rPr>
        <w:t xml:space="preserve">Les données ferroviaires issues de Mobility Database sont traitées par le </w:t>
      </w:r>
      <w:r>
        <w:rPr>
          <w:b/>
          <w:bCs/>
          <w:sz w:val="22"/>
          <w:szCs w:val="18"/>
        </w:rPr>
        <w:t>MobilityDatabaseTransformer</w:t>
      </w:r>
      <w:r>
        <w:rPr>
          <w:sz w:val="22"/>
          <w:szCs w:val="18"/>
        </w:rPr>
        <w:t>, qui charge et combine les différentes tables au format GTFS (</w:t>
      </w:r>
      <w:r>
        <w:rPr>
          <w:i/>
          <w:iCs/>
          <w:sz w:val="22"/>
          <w:szCs w:val="18"/>
        </w:rPr>
        <w:t>stops, routes, trips, stop_times, agency, calendar</w:t>
      </w:r>
      <w:r>
        <w:rPr>
          <w:sz w:val="22"/>
          <w:szCs w:val="18"/>
        </w:rPr>
        <w:t xml:space="preserve">, etc.). Les flux provenant de plus de 150 réseaux européens sont d’abord harmonisés afin de gérer les différences de schéma entre sources. </w:t>
      </w:r>
    </w:p>
    <w:p w14:paraId="4770780B" w14:textId="77777777" w:rsidR="009C702D" w:rsidRDefault="00A01C3D" w:rsidP="00140A70">
      <w:pPr>
        <w:spacing w:before="240"/>
        <w:rPr>
          <w:sz w:val="22"/>
          <w:szCs w:val="18"/>
        </w:rPr>
      </w:pPr>
      <w:r>
        <w:rPr>
          <w:sz w:val="22"/>
          <w:szCs w:val="18"/>
        </w:rPr>
        <w:t>Plusieurs opérations de nettoyage et de normalisation sont ensuite appliquées : correction des types de données, suppression des coordonnées invalides (valeurs nulles, vides ou (0,0)), déduplication de trajets provenant de sources multiples, filtrage pour ne conserver que les services ferroviaires pertinents, et normalisation des noms de colonnes. Des traitements temporels et spatiaux complètent ce processus, comme la reconstruction de calendriers de circulation incomplets, le calcul des distances entre arrêts successifs avec des formules géographiques, et le matching des coordonnées pour identifier les correspondances entre gares et arrêts.</w:t>
      </w:r>
    </w:p>
    <w:p w14:paraId="40BA1177" w14:textId="77777777" w:rsidR="008905B2" w:rsidRDefault="008905B2" w:rsidP="00140A70">
      <w:pPr>
        <w:spacing w:before="240"/>
        <w:rPr>
          <w:sz w:val="22"/>
          <w:szCs w:val="18"/>
        </w:rPr>
      </w:pPr>
    </w:p>
    <w:p w14:paraId="3D3CE968" w14:textId="77777777" w:rsidR="00F96DB6" w:rsidRDefault="00F96DB6" w:rsidP="00140A70">
      <w:pPr>
        <w:spacing w:before="240"/>
        <w:rPr>
          <w:sz w:val="22"/>
          <w:szCs w:val="18"/>
        </w:rPr>
      </w:pPr>
      <w:r>
        <w:rPr>
          <w:sz w:val="22"/>
          <w:szCs w:val="18"/>
        </w:rPr>
        <w:lastRenderedPageBreak/>
        <w:t xml:space="preserve">Les données complémentaires sont ensuite intégrées et transformées. Le </w:t>
      </w:r>
      <w:r>
        <w:rPr>
          <w:b/>
          <w:bCs/>
          <w:sz w:val="22"/>
          <w:szCs w:val="18"/>
        </w:rPr>
        <w:t>BackOnTrackTransformer</w:t>
      </w:r>
      <w:r>
        <w:rPr>
          <w:sz w:val="22"/>
          <w:szCs w:val="18"/>
        </w:rPr>
        <w:t xml:space="preserve"> traite les informations relatives aux trains de nuit européens en combinant les différentes tables GTFS fournies par la source et en les adaptant au modèle utilisé dans le pipeline. Cette étape inclut le nettoyage de valeurs, la normalisation des champs, et l’enrichissement par jointures et complétions internes afin de consolider les informations manquantes.</w:t>
      </w:r>
    </w:p>
    <w:p w14:paraId="64D31930" w14:textId="77777777" w:rsidR="00F96DB6" w:rsidRDefault="00F96DB6" w:rsidP="00140A70">
      <w:pPr>
        <w:spacing w:before="240"/>
        <w:rPr>
          <w:sz w:val="22"/>
          <w:szCs w:val="18"/>
        </w:rPr>
      </w:pPr>
      <w:r>
        <w:rPr>
          <w:sz w:val="22"/>
          <w:szCs w:val="18"/>
        </w:rPr>
        <w:t xml:space="preserve">Par la suite, le </w:t>
      </w:r>
      <w:r>
        <w:rPr>
          <w:b/>
          <w:bCs/>
          <w:sz w:val="22"/>
          <w:szCs w:val="18"/>
        </w:rPr>
        <w:t>EmberTransformer</w:t>
      </w:r>
      <w:r>
        <w:rPr>
          <w:sz w:val="22"/>
          <w:szCs w:val="18"/>
        </w:rPr>
        <w:t xml:space="preserve"> et le </w:t>
      </w:r>
      <w:r>
        <w:rPr>
          <w:b/>
          <w:bCs/>
          <w:sz w:val="22"/>
          <w:szCs w:val="18"/>
        </w:rPr>
        <w:t>AdemeTransformer</w:t>
      </w:r>
      <w:r>
        <w:rPr>
          <w:sz w:val="22"/>
          <w:szCs w:val="18"/>
        </w:rPr>
        <w:t xml:space="preserve"> préparent les données nécessaires au calcul des facteurs d’émission de CO2 : Ember extrait pour chaque pays l’intensité carbone la plus récente du mix électrique, tandis qu’Ademe normalise les facteurs d’émission fournis par l’ADEME et sélectionne les valeurs pertinentes pour l’analyse.</w:t>
      </w:r>
    </w:p>
    <w:p w14:paraId="117A418C" w14:textId="77777777" w:rsidR="00F90AFD" w:rsidRDefault="00F90AFD" w:rsidP="00140A70">
      <w:pPr>
        <w:spacing w:before="240"/>
        <w:rPr>
          <w:sz w:val="22"/>
          <w:szCs w:val="18"/>
        </w:rPr>
      </w:pPr>
      <w:r>
        <w:rPr>
          <w:sz w:val="22"/>
          <w:szCs w:val="18"/>
        </w:rPr>
        <w:t xml:space="preserve">Enfin, le </w:t>
      </w:r>
      <w:r>
        <w:rPr>
          <w:b/>
          <w:bCs/>
          <w:sz w:val="22"/>
          <w:szCs w:val="18"/>
        </w:rPr>
        <w:t>OurAirportsTransformer</w:t>
      </w:r>
      <w:r>
        <w:rPr>
          <w:sz w:val="22"/>
          <w:szCs w:val="18"/>
        </w:rPr>
        <w:t xml:space="preserve"> nettoie les données d’aéroports (suppression des coordonnées invalides, valeurs nulles ou manquantes) et les enrichit en les associant aux villes correspondantes à l’aide des données géographiques de GeoNames, tout en générant les routes aériennes possibles et en réalisant un matching des coordonnées entre aéroports et villes.</w:t>
      </w:r>
    </w:p>
    <w:p w14:paraId="1A315C0C" w14:textId="77777777" w:rsidR="00140A70" w:rsidRPr="00140A70" w:rsidRDefault="00140A70" w:rsidP="00140A70">
      <w:pPr>
        <w:spacing w:before="240"/>
        <w:rPr>
          <w:sz w:val="22"/>
          <w:szCs w:val="18"/>
        </w:rPr>
      </w:pPr>
      <w:r>
        <w:rPr>
          <w:sz w:val="22"/>
          <w:szCs w:val="18"/>
        </w:rPr>
        <w:t xml:space="preserve">L’étape centrale du pipeline est assurée par le </w:t>
      </w:r>
      <w:r>
        <w:rPr>
          <w:b/>
          <w:bCs/>
          <w:sz w:val="22"/>
          <w:szCs w:val="18"/>
        </w:rPr>
        <w:t>MergeTransformer</w:t>
      </w:r>
      <w:r>
        <w:rPr>
          <w:sz w:val="22"/>
          <w:szCs w:val="18"/>
        </w:rPr>
        <w:t xml:space="preserve">, qui fusionne l’ensemble des données et construit le modèle analytique silver sous la forme d’un schéma en étoile. </w:t>
      </w:r>
    </w:p>
    <w:p w14:paraId="72A4F712" w14:textId="77777777" w:rsidR="00140A70" w:rsidRDefault="0001582A" w:rsidP="00DC3E22">
      <w:pPr>
        <w:spacing w:before="240" w:after="240"/>
        <w:rPr>
          <w:sz w:val="22"/>
          <w:szCs w:val="18"/>
        </w:rPr>
      </w:pPr>
      <w:r>
        <w:rPr>
          <w:sz w:val="22"/>
          <w:szCs w:val="18"/>
        </w:rPr>
        <w:t xml:space="preserve">Pour finir, les données aériennes sont enrichies en ajoutant des clés étrangères vers les villes d’origine et de destination afin d’assurer leur cohérence avec la dimension géographique. Une dernière étape, réalisée par le </w:t>
      </w:r>
      <w:r>
        <w:rPr>
          <w:b/>
          <w:bCs/>
          <w:sz w:val="22"/>
          <w:szCs w:val="18"/>
        </w:rPr>
        <w:t>StopMatchingTransformer</w:t>
      </w:r>
      <w:r>
        <w:rPr>
          <w:sz w:val="22"/>
          <w:szCs w:val="18"/>
        </w:rPr>
        <w:t>, identifie les gares et les aéroports situés à moins de 100 km les uns des autres. Cette correspondance spatiale permet d’envisager des combinaisons de trajets train–avion et ouvre la voie à des analyses multimodales des déplacements.</w:t>
      </w:r>
    </w:p>
    <w:p w14:paraId="3DA76F04" w14:textId="77777777" w:rsidR="00C333E9" w:rsidRPr="00C333E9" w:rsidRDefault="00C333E9" w:rsidP="00C333E9">
      <w:pPr>
        <w:pStyle w:val="Titre5"/>
        <w:spacing w:after="240"/>
        <w:rPr>
          <w:rFonts w:ascii="Arial" w:hAnsi="Arial" w:cs="Arial"/>
        </w:rPr>
      </w:pPr>
      <w:r>
        <w:rPr>
          <w:rFonts w:ascii="Arial" w:hAnsi="Arial" w:cs="Arial"/>
        </w:rPr>
        <w:t xml:space="preserve">Calcul des facteurs d’emission </w:t>
      </w:r>
    </w:p>
    <w:p w14:paraId="5B5AC17F" w14:textId="77777777" w:rsidR="00CC7AEA" w:rsidRDefault="00CC7AEA" w:rsidP="00456426">
      <w:pPr>
        <w:spacing w:before="240" w:after="240"/>
        <w:rPr>
          <w:sz w:val="22"/>
          <w:szCs w:val="18"/>
        </w:rPr>
      </w:pPr>
      <w:r>
        <w:rPr>
          <w:sz w:val="22"/>
          <w:szCs w:val="18"/>
        </w:rPr>
        <w:t xml:space="preserve">Les facteurs d’émission unitaires sont calculés séparément pour les trajets aériens et ferroviaires et stockés dans la table </w:t>
      </w:r>
      <w:r>
        <w:rPr>
          <w:i/>
          <w:iCs/>
          <w:sz w:val="22"/>
          <w:szCs w:val="18"/>
        </w:rPr>
        <w:t>emission.parquet</w:t>
      </w:r>
      <w:r>
        <w:rPr>
          <w:sz w:val="22"/>
          <w:szCs w:val="18"/>
        </w:rPr>
        <w:t xml:space="preserve"> en </w:t>
      </w:r>
      <w:r>
        <w:rPr>
          <w:i/>
          <w:iCs/>
          <w:sz w:val="22"/>
          <w:szCs w:val="18"/>
        </w:rPr>
        <w:t>gCO</w:t>
      </w:r>
      <w:r>
        <w:rPr>
          <w:rFonts w:ascii="Cambria Math" w:hAnsi="Cambria Math" w:cs="Cambria Math"/>
          <w:i/>
          <w:iCs/>
          <w:sz w:val="22"/>
          <w:szCs w:val="18"/>
        </w:rPr>
        <w:t>₂</w:t>
      </w:r>
      <w:r>
        <w:rPr>
          <w:i/>
          <w:iCs/>
          <w:sz w:val="22"/>
          <w:szCs w:val="18"/>
        </w:rPr>
        <w:t xml:space="preserve"> par passager</w:t>
      </w:r>
      <w:r>
        <w:rPr>
          <w:rFonts w:cs="Arial"/>
          <w:i/>
          <w:iCs/>
          <w:sz w:val="22"/>
          <w:szCs w:val="18"/>
        </w:rPr>
        <w:t xml:space="preserve"> x </w:t>
      </w:r>
      <w:r>
        <w:rPr>
          <w:i/>
          <w:iCs/>
          <w:sz w:val="22"/>
          <w:szCs w:val="18"/>
        </w:rPr>
        <w:t>km</w:t>
      </w:r>
      <w:r>
        <w:rPr>
          <w:sz w:val="22"/>
          <w:szCs w:val="18"/>
        </w:rPr>
        <w:t>. Pour conna</w:t>
      </w:r>
      <w:r>
        <w:rPr>
          <w:rFonts w:cs="Arial"/>
          <w:sz w:val="22"/>
          <w:szCs w:val="18"/>
        </w:rPr>
        <w:t>î</w:t>
      </w:r>
      <w:r>
        <w:rPr>
          <w:sz w:val="22"/>
          <w:szCs w:val="18"/>
        </w:rPr>
        <w:t xml:space="preserve">tre les </w:t>
      </w:r>
      <w:r>
        <w:rPr>
          <w:rFonts w:cs="Arial"/>
          <w:sz w:val="22"/>
          <w:szCs w:val="18"/>
        </w:rPr>
        <w:t>é</w:t>
      </w:r>
      <w:r>
        <w:rPr>
          <w:sz w:val="22"/>
          <w:szCs w:val="18"/>
        </w:rPr>
        <w:t>missions totales d</w:t>
      </w:r>
      <w:r>
        <w:rPr>
          <w:rFonts w:cs="Arial"/>
          <w:sz w:val="22"/>
          <w:szCs w:val="18"/>
        </w:rPr>
        <w:t>’</w:t>
      </w:r>
      <w:r>
        <w:rPr>
          <w:sz w:val="22"/>
          <w:szCs w:val="18"/>
        </w:rPr>
        <w:t>un trajet, on multiplie simplement ce facteur par la distance, ce qui donne une valeur utilisable pour l</w:t>
      </w:r>
      <w:r>
        <w:rPr>
          <w:rFonts w:cs="Arial"/>
          <w:sz w:val="22"/>
          <w:szCs w:val="18"/>
        </w:rPr>
        <w:t>’</w:t>
      </w:r>
      <w:r>
        <w:rPr>
          <w:sz w:val="22"/>
          <w:szCs w:val="18"/>
        </w:rPr>
        <w:t>analyse et l</w:t>
      </w:r>
      <w:r>
        <w:rPr>
          <w:rFonts w:cs="Arial"/>
          <w:sz w:val="22"/>
          <w:szCs w:val="18"/>
        </w:rPr>
        <w:t>’</w:t>
      </w:r>
      <w:r>
        <w:rPr>
          <w:sz w:val="22"/>
          <w:szCs w:val="18"/>
        </w:rPr>
        <w:t>API.</w:t>
      </w:r>
    </w:p>
    <w:p w14:paraId="43BE0532" w14:textId="77777777" w:rsidR="00CC7AEA" w:rsidRPr="00CC7AEA" w:rsidRDefault="00CC7AEA" w:rsidP="00CC7AEA">
      <w:pPr>
        <w:spacing w:before="240" w:after="240"/>
        <w:rPr>
          <w:sz w:val="22"/>
          <w:szCs w:val="18"/>
        </w:rPr>
      </w:pPr>
      <w:r>
        <w:rPr>
          <w:sz w:val="22"/>
          <w:szCs w:val="18"/>
        </w:rPr>
        <w:t>Pour les vols, on récupère les facteurs depuis la base ADEME et on filtre cette dernière pour garder seulement les lignes valides et pertinentes, puis on classe chaque vol selon la taille de l’avion et la distance parcourue. Les facteurs de base sont ensuite combinés pour créer sept facteurs “métier”, qui sont appliqués aux routes aériennes grâce à un mapping. Les valeurs finales sont exprimées en gCO</w:t>
      </w:r>
      <w:r>
        <w:rPr>
          <w:rFonts w:ascii="Cambria Math" w:hAnsi="Cambria Math" w:cs="Cambria Math"/>
          <w:sz w:val="22"/>
          <w:szCs w:val="18"/>
        </w:rPr>
        <w:t xml:space="preserve">₂ </w:t>
      </w:r>
      <w:r>
        <w:rPr>
          <w:sz w:val="22"/>
          <w:szCs w:val="18"/>
        </w:rPr>
        <w:t>/ p</w:t>
      </w:r>
      <w:r>
        <w:rPr>
          <w:rFonts w:cs="Arial"/>
          <w:sz w:val="22"/>
          <w:szCs w:val="18"/>
        </w:rPr>
        <w:t xml:space="preserve"> x </w:t>
      </w:r>
      <w:r>
        <w:rPr>
          <w:sz w:val="22"/>
          <w:szCs w:val="18"/>
        </w:rPr>
        <w:t>km.</w:t>
      </w:r>
    </w:p>
    <w:p w14:paraId="6BDA23C1" w14:textId="77777777" w:rsidR="00CC7AEA" w:rsidRPr="00CC7AEA" w:rsidRDefault="00CC7AEA" w:rsidP="00CC7AEA">
      <w:pPr>
        <w:spacing w:before="240" w:after="240"/>
        <w:rPr>
          <w:sz w:val="22"/>
          <w:szCs w:val="18"/>
        </w:rPr>
      </w:pPr>
      <w:r>
        <w:rPr>
          <w:sz w:val="22"/>
          <w:szCs w:val="18"/>
        </w:rPr>
        <w:t xml:space="preserve">Pour les trains, le calcul se base sur la consommation énergétique par type, le taux d’électrification du pays et l’intensité carbone de l’électricité, issue de la source Ember. Les trains 100 % électriques utilisent </w:t>
      </w:r>
      <w:r>
        <w:rPr>
          <w:i/>
          <w:iCs/>
          <w:sz w:val="22"/>
          <w:szCs w:val="18"/>
        </w:rPr>
        <w:t>consommation × intensité carbone</w:t>
      </w:r>
      <w:r>
        <w:rPr>
          <w:sz w:val="22"/>
          <w:szCs w:val="18"/>
        </w:rPr>
        <w:t xml:space="preserve">, tandis que pour les trains partiellement électriques, on fait un calcul pondéré entre électricité et diesel. Chaque couple </w:t>
      </w:r>
      <w:r>
        <w:rPr>
          <w:i/>
          <w:iCs/>
          <w:sz w:val="22"/>
          <w:szCs w:val="18"/>
        </w:rPr>
        <w:t>pays × type de train</w:t>
      </w:r>
      <w:r>
        <w:rPr>
          <w:sz w:val="22"/>
          <w:szCs w:val="18"/>
        </w:rPr>
        <w:t xml:space="preserve"> reçoit un facteur, qui est ensuite lié aux trajets par jointure, avec des valeurs de substitution en cas de données manquantes. </w:t>
      </w:r>
    </w:p>
    <w:p w14:paraId="2A9AA617" w14:textId="77777777" w:rsidR="008B39D1" w:rsidRDefault="00CC7AEA" w:rsidP="008B39D1">
      <w:pPr>
        <w:spacing w:before="240" w:after="240"/>
        <w:rPr>
          <w:sz w:val="22"/>
          <w:szCs w:val="18"/>
        </w:rPr>
      </w:pPr>
      <w:r>
        <w:rPr>
          <w:sz w:val="22"/>
          <w:szCs w:val="18"/>
        </w:rPr>
        <w:t>Cette méthode permet de comparer les modes de transport de façon cohérente, en utilisant des sources fiables et en gérant les cas où certaines données sont manquantes. En plus des sources déjà mentionnées, nous avons utilisé Eurostat pour les taux d’électrification et des références pour la consommation énergétique des trains et la taille des réseaux ferroviaires européens (</w:t>
      </w:r>
      <w:hyperlink r:id="rId14" w:tgtFrame="_new" w:history="1">
        <w:r>
          <w:rPr>
            <w:rStyle w:val="Lienhypertexte"/>
            <w:sz w:val="22"/>
            <w:szCs w:val="18"/>
          </w:rPr>
          <w:t>UIC EcoPassenger</w:t>
        </w:r>
      </w:hyperlink>
      <w:r>
        <w:rPr>
          <w:sz w:val="22"/>
          <w:szCs w:val="18"/>
        </w:rPr>
        <w:t xml:space="preserve">, </w:t>
      </w:r>
      <w:hyperlink r:id="rId15" w:tgtFrame="_new" w:history="1">
        <w:r>
          <w:rPr>
            <w:rStyle w:val="Lienhypertexte"/>
            <w:sz w:val="22"/>
            <w:szCs w:val="18"/>
          </w:rPr>
          <w:t>Wikipedia</w:t>
        </w:r>
      </w:hyperlink>
      <w:r>
        <w:rPr>
          <w:sz w:val="22"/>
          <w:szCs w:val="18"/>
        </w:rPr>
        <w:t xml:space="preserve">, </w:t>
      </w:r>
      <w:hyperlink r:id="rId16" w:tgtFrame="_new" w:history="1">
        <w:r>
          <w:rPr>
            <w:rStyle w:val="Lienhypertexte"/>
            <w:sz w:val="22"/>
            <w:szCs w:val="18"/>
          </w:rPr>
          <w:t>Eurostat</w:t>
        </w:r>
      </w:hyperlink>
      <w:r>
        <w:rPr>
          <w:sz w:val="22"/>
          <w:szCs w:val="18"/>
        </w:rPr>
        <w:t xml:space="preserve">). </w:t>
      </w:r>
    </w:p>
    <w:p w14:paraId="09E28751" w14:textId="77777777" w:rsidR="008B39D1" w:rsidRDefault="008B39D1" w:rsidP="008B39D1">
      <w:pPr>
        <w:spacing w:before="240" w:after="240"/>
        <w:rPr>
          <w:sz w:val="22"/>
          <w:szCs w:val="18"/>
        </w:rPr>
      </w:pPr>
    </w:p>
    <w:p w14:paraId="526DE26D" w14:textId="77777777" w:rsidR="008B39D1" w:rsidRPr="008B39D1" w:rsidRDefault="008B39D1" w:rsidP="008B39D1">
      <w:pPr>
        <w:spacing w:before="240" w:after="240"/>
        <w:rPr>
          <w:sz w:val="22"/>
          <w:szCs w:val="18"/>
        </w:rPr>
      </w:pPr>
    </w:p>
    <w:p w14:paraId="5C944BAF" w14:textId="77777777" w:rsidR="00FF08D7" w:rsidRPr="00FF08D7" w:rsidRDefault="00FF08D7" w:rsidP="00F96DB6">
      <w:pPr>
        <w:pStyle w:val="Titre5"/>
        <w:spacing w:after="240"/>
        <w:rPr>
          <w:rFonts w:ascii="Arial" w:hAnsi="Arial" w:cs="Arial"/>
        </w:rPr>
      </w:pPr>
      <w:r>
        <w:rPr>
          <w:rFonts w:ascii="Arial" w:hAnsi="Arial" w:cs="Arial"/>
        </w:rPr>
        <w:lastRenderedPageBreak/>
        <w:t>Fonctions utilitaires</w:t>
      </w:r>
    </w:p>
    <w:p w14:paraId="40285B7B" w14:textId="77777777" w:rsidR="00FF08D7" w:rsidRDefault="00BF07AE" w:rsidP="00353C28">
      <w:pPr>
        <w:spacing w:before="240"/>
        <w:rPr>
          <w:sz w:val="22"/>
          <w:szCs w:val="18"/>
        </w:rPr>
      </w:pPr>
      <w:r>
        <w:rPr>
          <w:sz w:val="22"/>
          <w:szCs w:val="18"/>
        </w:rPr>
        <w:t xml:space="preserve">La plupart des transformations utilisent des fonctions utilitaires implémentées dans le module </w:t>
      </w:r>
      <w:r>
        <w:rPr>
          <w:i/>
          <w:iCs/>
          <w:color w:val="8076B8" w:themeColor="text1" w:themeTint="80"/>
          <w:sz w:val="22"/>
          <w:szCs w:val="18"/>
        </w:rPr>
        <w:t>utils/spark_functions.py</w:t>
      </w:r>
      <w:r>
        <w:rPr>
          <w:sz w:val="22"/>
          <w:szCs w:val="18"/>
        </w:rPr>
        <w:t>, notamment :</w:t>
      </w:r>
    </w:p>
    <w:p w14:paraId="674A4E87" w14:textId="77777777" w:rsidR="00A757DE" w:rsidRPr="00A757DE" w:rsidRDefault="00A757DE" w:rsidP="00A757DE">
      <w:pPr>
        <w:pStyle w:val="Paragraphedeliste"/>
        <w:numPr>
          <w:ilvl w:val="0"/>
          <w:numId w:val="4"/>
        </w:numPr>
        <w:rPr>
          <w:sz w:val="22"/>
          <w:szCs w:val="18"/>
        </w:rPr>
      </w:pPr>
      <w:r>
        <w:rPr>
          <w:sz w:val="22"/>
          <w:szCs w:val="18"/>
        </w:rPr>
        <w:t xml:space="preserve">le calcul de distance géographique via la formule de </w:t>
      </w:r>
      <w:r>
        <w:rPr>
          <w:i/>
          <w:iCs/>
          <w:sz w:val="22"/>
          <w:szCs w:val="18"/>
        </w:rPr>
        <w:t>Haversine</w:t>
      </w:r>
    </w:p>
    <w:p w14:paraId="28B390DF" w14:textId="77777777" w:rsidR="00A757DE" w:rsidRPr="00A757DE" w:rsidRDefault="00A757DE" w:rsidP="00A757DE">
      <w:pPr>
        <w:pStyle w:val="Paragraphedeliste"/>
        <w:numPr>
          <w:ilvl w:val="0"/>
          <w:numId w:val="4"/>
        </w:numPr>
        <w:rPr>
          <w:sz w:val="22"/>
          <w:szCs w:val="18"/>
        </w:rPr>
      </w:pPr>
      <w:r>
        <w:rPr>
          <w:sz w:val="22"/>
          <w:szCs w:val="18"/>
        </w:rPr>
        <w:t>la normalisation des noms de villes</w:t>
      </w:r>
    </w:p>
    <w:p w14:paraId="0BC99035" w14:textId="77777777" w:rsidR="00A757DE" w:rsidRPr="00A757DE" w:rsidRDefault="00A757DE" w:rsidP="00A757DE">
      <w:pPr>
        <w:pStyle w:val="Paragraphedeliste"/>
        <w:numPr>
          <w:ilvl w:val="0"/>
          <w:numId w:val="4"/>
        </w:numPr>
        <w:rPr>
          <w:sz w:val="22"/>
          <w:szCs w:val="18"/>
        </w:rPr>
      </w:pPr>
      <w:r>
        <w:rPr>
          <w:sz w:val="22"/>
          <w:szCs w:val="18"/>
        </w:rPr>
        <w:t>la validation des coordonnées géographiques</w:t>
      </w:r>
    </w:p>
    <w:p w14:paraId="4EAE08E3" w14:textId="77777777" w:rsidR="00A757DE" w:rsidRDefault="00A757DE" w:rsidP="00A757DE">
      <w:pPr>
        <w:pStyle w:val="Paragraphedeliste"/>
        <w:numPr>
          <w:ilvl w:val="0"/>
          <w:numId w:val="4"/>
        </w:numPr>
        <w:spacing w:after="240"/>
        <w:rPr>
          <w:sz w:val="22"/>
          <w:szCs w:val="18"/>
        </w:rPr>
      </w:pPr>
      <w:r>
        <w:rPr>
          <w:sz w:val="22"/>
          <w:szCs w:val="18"/>
        </w:rPr>
        <w:t>la suppression de doublons dans les trajets</w:t>
      </w:r>
    </w:p>
    <w:p w14:paraId="0597B8D2" w14:textId="77777777" w:rsidR="00873947" w:rsidRPr="00BF07AE" w:rsidRDefault="00BF07AE" w:rsidP="00BF07AE">
      <w:pPr>
        <w:spacing w:after="240"/>
        <w:rPr>
          <w:sz w:val="22"/>
          <w:szCs w:val="18"/>
        </w:rPr>
      </w:pPr>
      <w:r>
        <w:rPr>
          <w:sz w:val="22"/>
          <w:szCs w:val="18"/>
        </w:rPr>
        <w:t>Cette configuration permet d’éviter la duplication de code pour des utilisation similaires.</w:t>
      </w:r>
    </w:p>
    <w:p w14:paraId="289A074A" w14:textId="77777777" w:rsidR="00FF08D7" w:rsidRPr="00FF08D7" w:rsidRDefault="00FF08D7" w:rsidP="00FF08D7">
      <w:pPr>
        <w:pStyle w:val="Titre5"/>
        <w:rPr>
          <w:rFonts w:ascii="Arial" w:hAnsi="Arial" w:cs="Arial"/>
        </w:rPr>
      </w:pPr>
      <w:r>
        <w:rPr>
          <w:rFonts w:ascii="Arial" w:hAnsi="Arial" w:cs="Arial"/>
        </w:rPr>
        <w:t xml:space="preserve">Résultat de la transformation </w:t>
      </w:r>
    </w:p>
    <w:p w14:paraId="381661CC" w14:textId="77777777" w:rsidR="00FF08D7" w:rsidRDefault="008C1205" w:rsidP="00BF07AE">
      <w:pPr>
        <w:spacing w:before="240" w:after="240"/>
        <w:rPr>
          <w:sz w:val="22"/>
          <w:szCs w:val="18"/>
        </w:rPr>
      </w:pPr>
      <w:r>
        <w:rPr>
          <w:sz w:val="22"/>
          <w:szCs w:val="18"/>
        </w:rPr>
        <w:t xml:space="preserve">Les données transformées sont enregistrées dans le dossier </w:t>
      </w:r>
      <w:r>
        <w:rPr>
          <w:i/>
          <w:iCs/>
          <w:color w:val="8076B8" w:themeColor="text1" w:themeTint="80"/>
          <w:sz w:val="22"/>
          <w:szCs w:val="18"/>
        </w:rPr>
        <w:t>data/processed/</w:t>
      </w:r>
      <w:r>
        <w:rPr>
          <w:sz w:val="22"/>
          <w:szCs w:val="18"/>
        </w:rPr>
        <w:t xml:space="preserve"> au format </w:t>
      </w:r>
      <w:r>
        <w:rPr>
          <w:i/>
          <w:iCs/>
          <w:sz w:val="22"/>
          <w:szCs w:val="18"/>
        </w:rPr>
        <w:t>.parquet</w:t>
      </w:r>
      <w:r>
        <w:rPr>
          <w:sz w:val="22"/>
          <w:szCs w:val="18"/>
        </w:rPr>
        <w:t xml:space="preserve"> avec compression Snappy, optimisé pour les traitements analytiques avec Spark. </w:t>
      </w:r>
    </w:p>
    <w:p w14:paraId="4DB2A6A0" w14:textId="77777777" w:rsidR="004E354E" w:rsidRPr="004E354E" w:rsidRDefault="004E354E" w:rsidP="004E354E">
      <w:pPr>
        <w:spacing w:before="240"/>
        <w:rPr>
          <w:sz w:val="22"/>
          <w:szCs w:val="18"/>
        </w:rPr>
      </w:pPr>
      <w:r>
        <w:rPr>
          <w:sz w:val="22"/>
          <w:szCs w:val="18"/>
        </w:rPr>
        <w:t>Les principales tables produites sont :</w:t>
      </w:r>
    </w:p>
    <w:p w14:paraId="59AF27F5" w14:textId="77777777" w:rsidR="004E354E" w:rsidRPr="004E354E" w:rsidRDefault="004E354E" w:rsidP="004E354E">
      <w:pPr>
        <w:numPr>
          <w:ilvl w:val="0"/>
          <w:numId w:val="6"/>
        </w:numPr>
        <w:rPr>
          <w:sz w:val="22"/>
          <w:szCs w:val="18"/>
        </w:rPr>
      </w:pPr>
      <w:r>
        <w:rPr>
          <w:i/>
          <w:iCs/>
          <w:sz w:val="22"/>
          <w:szCs w:val="18"/>
        </w:rPr>
        <w:t>train_trip.parquet</w:t>
      </w:r>
      <w:r>
        <w:rPr>
          <w:sz w:val="22"/>
          <w:szCs w:val="18"/>
        </w:rPr>
        <w:t> : tous les trajets ferroviaires européens (décomposés stop par stop)</w:t>
      </w:r>
    </w:p>
    <w:p w14:paraId="2F9CC80F" w14:textId="77777777" w:rsidR="004E354E" w:rsidRPr="004E354E" w:rsidRDefault="004E354E" w:rsidP="004E354E">
      <w:pPr>
        <w:numPr>
          <w:ilvl w:val="0"/>
          <w:numId w:val="6"/>
        </w:numPr>
        <w:rPr>
          <w:sz w:val="22"/>
          <w:szCs w:val="18"/>
        </w:rPr>
      </w:pPr>
      <w:r>
        <w:rPr>
          <w:i/>
          <w:iCs/>
          <w:sz w:val="22"/>
          <w:szCs w:val="18"/>
        </w:rPr>
        <w:t>flight.parquet</w:t>
      </w:r>
      <w:r>
        <w:rPr>
          <w:sz w:val="22"/>
          <w:szCs w:val="18"/>
        </w:rPr>
        <w:t> : tous les trajets aériens possibles entre aéroports européens </w:t>
      </w:r>
    </w:p>
    <w:p w14:paraId="2CB3AA10" w14:textId="77777777" w:rsidR="00E71C1E" w:rsidRDefault="004E354E" w:rsidP="002154F7">
      <w:pPr>
        <w:numPr>
          <w:ilvl w:val="0"/>
          <w:numId w:val="6"/>
        </w:numPr>
        <w:rPr>
          <w:sz w:val="22"/>
          <w:szCs w:val="18"/>
        </w:rPr>
      </w:pPr>
      <w:r>
        <w:rPr>
          <w:i/>
          <w:iCs/>
          <w:sz w:val="22"/>
          <w:szCs w:val="18"/>
        </w:rPr>
        <w:t>localite.parquet</w:t>
      </w:r>
      <w:r>
        <w:rPr>
          <w:sz w:val="22"/>
          <w:szCs w:val="18"/>
        </w:rPr>
        <w:t> : référentiel unique de toutes les villes européennes présentes dans les données train et avion</w:t>
      </w:r>
    </w:p>
    <w:p w14:paraId="038FEDA6" w14:textId="77777777" w:rsidR="004E354E" w:rsidRPr="00E71C1E" w:rsidRDefault="004E354E" w:rsidP="002154F7">
      <w:pPr>
        <w:numPr>
          <w:ilvl w:val="0"/>
          <w:numId w:val="6"/>
        </w:numPr>
        <w:rPr>
          <w:sz w:val="22"/>
          <w:szCs w:val="18"/>
        </w:rPr>
      </w:pPr>
      <w:r>
        <w:rPr>
          <w:i/>
          <w:iCs/>
          <w:sz w:val="22"/>
          <w:szCs w:val="18"/>
        </w:rPr>
        <w:t>emission.parquet</w:t>
      </w:r>
      <w:r>
        <w:rPr>
          <w:sz w:val="22"/>
          <w:szCs w:val="18"/>
        </w:rPr>
        <w:t> : facteurs d'émission unifiés pour le train et l'avion</w:t>
      </w:r>
    </w:p>
    <w:p w14:paraId="439CB7DF" w14:textId="77777777" w:rsidR="00923265" w:rsidRDefault="004E354E" w:rsidP="00923265">
      <w:pPr>
        <w:numPr>
          <w:ilvl w:val="0"/>
          <w:numId w:val="6"/>
        </w:numPr>
        <w:spacing w:after="240"/>
        <w:rPr>
          <w:sz w:val="22"/>
          <w:szCs w:val="18"/>
        </w:rPr>
      </w:pPr>
      <w:r>
        <w:rPr>
          <w:i/>
          <w:iCs/>
          <w:sz w:val="22"/>
          <w:szCs w:val="18"/>
        </w:rPr>
        <w:t>stop_matching.parquet</w:t>
      </w:r>
      <w:r>
        <w:rPr>
          <w:sz w:val="22"/>
          <w:szCs w:val="18"/>
        </w:rPr>
        <w:t> : associations spatiales gare/aéroport pour trajets multimodaux</w:t>
      </w:r>
    </w:p>
    <w:p w14:paraId="6E46B32F" w14:textId="77777777" w:rsidR="00FF08D7" w:rsidRPr="00923265" w:rsidRDefault="004E354E" w:rsidP="00923265">
      <w:pPr>
        <w:rPr>
          <w:sz w:val="22"/>
          <w:szCs w:val="18"/>
        </w:rPr>
      </w:pPr>
      <w:r>
        <w:rPr>
          <w:sz w:val="22"/>
          <w:szCs w:val="18"/>
        </w:rPr>
        <w:t>Ce modèle de données structuré constitue une base optimisée pour l’analyse, l’exposition via l’API et la création de tableaux de bord.</w:t>
      </w:r>
    </w:p>
    <w:p w14:paraId="295515BA" w14:textId="77777777" w:rsidR="00D55CBC" w:rsidRDefault="00034856" w:rsidP="003E2CE7">
      <w:pPr>
        <w:pStyle w:val="Titre2"/>
        <w:rPr>
          <w:rFonts w:cs="Arial"/>
        </w:rPr>
      </w:pPr>
      <w:bookmarkStart w:id="7" w:name="_Toc224256932"/>
      <w:r>
        <w:rPr>
          <w:rFonts w:cs="Arial"/>
        </w:rPr>
        <w:t>Phase de chargement</w:t>
      </w:r>
      <w:bookmarkEnd w:id="7"/>
    </w:p>
    <w:p w14:paraId="402F3997" w14:textId="77777777" w:rsidR="00B75089" w:rsidRDefault="00925450" w:rsidP="00B75089">
      <w:pPr>
        <w:spacing w:before="240" w:after="240"/>
        <w:rPr>
          <w:sz w:val="22"/>
          <w:szCs w:val="18"/>
        </w:rPr>
      </w:pPr>
      <w:r>
        <w:rPr>
          <w:sz w:val="22"/>
          <w:szCs w:val="18"/>
        </w:rPr>
        <w:t>La phase de chargement constitue la dernière étape du pipeline ETL. Elle consiste à transférer les données transformées et agrégées, stockées localement au format Parquet, vers une base de données relationnelle PostgreSQL, afin de les rendre exploitables par l’API et les outils d’analyse.</w:t>
      </w:r>
    </w:p>
    <w:p w14:paraId="6EC13875" w14:textId="77777777" w:rsidR="00925450" w:rsidRDefault="00925450" w:rsidP="00925450">
      <w:pPr>
        <w:spacing w:before="240" w:after="240"/>
        <w:rPr>
          <w:sz w:val="22"/>
          <w:szCs w:val="18"/>
        </w:rPr>
      </w:pPr>
      <w:r>
        <w:rPr>
          <w:sz w:val="22"/>
          <w:szCs w:val="18"/>
        </w:rPr>
        <w:t xml:space="preserve">Le module de chargement est implémenté dans le dossier </w:t>
      </w:r>
      <w:r>
        <w:rPr>
          <w:i/>
          <w:iCs/>
          <w:color w:val="8076B8" w:themeColor="text1" w:themeTint="80"/>
          <w:sz w:val="22"/>
          <w:szCs w:val="18"/>
        </w:rPr>
        <w:t>src/chargement/</w:t>
      </w:r>
      <w:r>
        <w:rPr>
          <w:sz w:val="22"/>
          <w:szCs w:val="18"/>
        </w:rPr>
        <w:t xml:space="preserve">. Il repose sur une architecture modulaire similaire aux autres étapes du pipeline, avec un orchestrateur principal, </w:t>
      </w:r>
      <w:r>
        <w:rPr>
          <w:b/>
          <w:bCs/>
          <w:sz w:val="22"/>
          <w:szCs w:val="18"/>
        </w:rPr>
        <w:t>DataLoader</w:t>
      </w:r>
      <w:r>
        <w:rPr>
          <w:sz w:val="22"/>
          <w:szCs w:val="18"/>
        </w:rPr>
        <w:t xml:space="preserve">, qui coordonne les différentes opérations. Deux composants interviennent dans cette phase : </w:t>
      </w:r>
      <w:r>
        <w:rPr>
          <w:b/>
          <w:bCs/>
          <w:sz w:val="22"/>
          <w:szCs w:val="18"/>
        </w:rPr>
        <w:t>GoldAggregator</w:t>
      </w:r>
      <w:r>
        <w:rPr>
          <w:sz w:val="22"/>
          <w:szCs w:val="18"/>
        </w:rPr>
        <w:t xml:space="preserve">, responsable de la construction des tables analytiques, et </w:t>
      </w:r>
      <w:r>
        <w:rPr>
          <w:b/>
          <w:bCs/>
          <w:sz w:val="22"/>
          <w:szCs w:val="18"/>
        </w:rPr>
        <w:t>PostgresLoader</w:t>
      </w:r>
      <w:r>
        <w:rPr>
          <w:sz w:val="22"/>
          <w:szCs w:val="18"/>
        </w:rPr>
        <w:t>, chargé de la gestion du schéma PostgreSQL et de l’insertion des données.</w:t>
      </w:r>
    </w:p>
    <w:p w14:paraId="059FE235" w14:textId="77777777" w:rsidR="00B75089" w:rsidRDefault="00925450" w:rsidP="00925450">
      <w:pPr>
        <w:spacing w:before="240" w:after="240"/>
        <w:rPr>
          <w:sz w:val="22"/>
          <w:szCs w:val="18"/>
        </w:rPr>
      </w:pPr>
      <w:r>
        <w:rPr>
          <w:sz w:val="22"/>
          <w:szCs w:val="18"/>
        </w:rPr>
        <w:t>Pour garantir la cohérence et s’assurer que les structures nécessaires sont créées avant l’insertion des données, le processus de chargement est exécuté de manière séquentielle et se décompose en trois étapes.</w:t>
      </w:r>
    </w:p>
    <w:p w14:paraId="61B5CEEA" w14:textId="77777777" w:rsidR="00925450" w:rsidRPr="00925450" w:rsidRDefault="00925450" w:rsidP="00925450">
      <w:pPr>
        <w:pStyle w:val="Titre5"/>
        <w:numPr>
          <w:ilvl w:val="0"/>
          <w:numId w:val="14"/>
        </w:numPr>
        <w:rPr>
          <w:rFonts w:ascii="Arial" w:hAnsi="Arial" w:cs="Arial"/>
        </w:rPr>
      </w:pPr>
      <w:r>
        <w:rPr>
          <w:rFonts w:ascii="Arial" w:hAnsi="Arial" w:cs="Arial"/>
        </w:rPr>
        <w:t>Initialisation du schéma de base de données</w:t>
      </w:r>
    </w:p>
    <w:p w14:paraId="16CFC1AD" w14:textId="77777777" w:rsidR="00B837A1" w:rsidRDefault="00B837A1" w:rsidP="00625C39">
      <w:pPr>
        <w:spacing w:before="240" w:after="240"/>
        <w:rPr>
          <w:sz w:val="22"/>
          <w:szCs w:val="18"/>
        </w:rPr>
      </w:pPr>
      <w:r>
        <w:rPr>
          <w:sz w:val="22"/>
          <w:szCs w:val="18"/>
        </w:rPr>
        <w:t xml:space="preserve">Un script SQL prépare la base PostgreSQL en créant la structure nécessaire, incluant les tables, les index et les éventuelles vues. Parmi ces tables figurent la table principale des trajets et une table analytique dédiée à la comparaison des modes de transport. La structure détaillée de ces tables est décrite dans la section </w:t>
      </w:r>
      <w:r>
        <w:rPr>
          <w:i/>
          <w:iCs/>
          <w:sz w:val="22"/>
          <w:szCs w:val="18"/>
        </w:rPr>
        <w:t xml:space="preserve">Base de données </w:t>
      </w:r>
      <w:r>
        <w:rPr>
          <w:sz w:val="22"/>
          <w:szCs w:val="18"/>
        </w:rPr>
        <w:t>de ce rapport, page 7.</w:t>
      </w:r>
    </w:p>
    <w:p w14:paraId="3B45B515" w14:textId="77777777" w:rsidR="00925450" w:rsidRPr="00925450" w:rsidRDefault="00925450" w:rsidP="00625C39">
      <w:pPr>
        <w:pStyle w:val="Titre5"/>
        <w:numPr>
          <w:ilvl w:val="0"/>
          <w:numId w:val="14"/>
        </w:numPr>
        <w:rPr>
          <w:rFonts w:ascii="Arial" w:hAnsi="Arial" w:cs="Arial"/>
        </w:rPr>
      </w:pPr>
      <w:r>
        <w:rPr>
          <w:rFonts w:ascii="Arial" w:hAnsi="Arial" w:cs="Arial"/>
        </w:rPr>
        <w:t>Construction des tables analytiques</w:t>
      </w:r>
    </w:p>
    <w:p w14:paraId="7C40B90C" w14:textId="77777777" w:rsidR="00E66F47" w:rsidRDefault="00925450" w:rsidP="00925450">
      <w:pPr>
        <w:spacing w:before="240"/>
        <w:rPr>
          <w:sz w:val="22"/>
          <w:szCs w:val="18"/>
        </w:rPr>
      </w:pPr>
      <w:r>
        <w:rPr>
          <w:sz w:val="22"/>
          <w:szCs w:val="18"/>
        </w:rPr>
        <w:t>Les fichiers Parquet</w:t>
      </w:r>
      <w:r>
        <w:rPr>
          <w:i/>
          <w:iCs/>
          <w:sz w:val="22"/>
          <w:szCs w:val="18"/>
        </w:rPr>
        <w:t xml:space="preserve"> </w:t>
      </w:r>
      <w:r>
        <w:rPr>
          <w:sz w:val="22"/>
          <w:szCs w:val="18"/>
        </w:rPr>
        <w:t xml:space="preserve">présents dans le dossier </w:t>
      </w:r>
      <w:r>
        <w:rPr>
          <w:i/>
          <w:iCs/>
          <w:color w:val="8076B8" w:themeColor="text1" w:themeTint="80"/>
          <w:sz w:val="22"/>
          <w:szCs w:val="18"/>
        </w:rPr>
        <w:t>data/processed/</w:t>
      </w:r>
      <w:r>
        <w:rPr>
          <w:color w:val="8076B8" w:themeColor="text1" w:themeTint="80"/>
          <w:sz w:val="22"/>
          <w:szCs w:val="18"/>
        </w:rPr>
        <w:t xml:space="preserve"> </w:t>
      </w:r>
      <w:r>
        <w:rPr>
          <w:sz w:val="22"/>
          <w:szCs w:val="18"/>
        </w:rPr>
        <w:t xml:space="preserve">sont chargés sous forme de DataFrames Spark (niveau </w:t>
      </w:r>
      <w:r>
        <w:rPr>
          <w:b/>
          <w:bCs/>
          <w:i/>
          <w:iCs/>
          <w:sz w:val="22"/>
          <w:szCs w:val="18"/>
        </w:rPr>
        <w:t>silver</w:t>
      </w:r>
      <w:r>
        <w:rPr>
          <w:sz w:val="22"/>
          <w:szCs w:val="18"/>
        </w:rPr>
        <w:t xml:space="preserve"> du pipeline) et transformés en tables analytiques de niveau </w:t>
      </w:r>
      <w:r>
        <w:rPr>
          <w:b/>
          <w:bCs/>
          <w:i/>
          <w:iCs/>
          <w:sz w:val="22"/>
          <w:szCs w:val="18"/>
        </w:rPr>
        <w:t>gold</w:t>
      </w:r>
      <w:r>
        <w:rPr>
          <w:sz w:val="22"/>
          <w:szCs w:val="18"/>
        </w:rPr>
        <w:t>.</w:t>
      </w:r>
    </w:p>
    <w:p w14:paraId="5A07FA11" w14:textId="77777777" w:rsidR="00925450" w:rsidRPr="00925450" w:rsidRDefault="004E55E5" w:rsidP="00925450">
      <w:pPr>
        <w:spacing w:before="240"/>
        <w:rPr>
          <w:sz w:val="22"/>
          <w:szCs w:val="18"/>
        </w:rPr>
      </w:pPr>
      <w:r>
        <w:rPr>
          <w:sz w:val="22"/>
          <w:szCs w:val="18"/>
        </w:rPr>
        <w:t xml:space="preserve">Les trajets ferroviaires et aériens sont d’abord traités séparément, afin d’être enrichis avec des informations géographiques et environnementales issues des tables de localités et de facteurs d’émission carbone. Les deux ensembles de données sont ensuite fusionnés dans une table unique </w:t>
      </w:r>
      <w:r>
        <w:rPr>
          <w:sz w:val="22"/>
          <w:szCs w:val="18"/>
        </w:rPr>
        <w:lastRenderedPageBreak/>
        <w:t>avec un schéma commun regroupant vingt-sept colonnes. Cette normalisation permet d’intégrer les trajets train et avion dans une même structure de données et facilite les comparaisons entre les différents modes de transport.</w:t>
      </w:r>
    </w:p>
    <w:p w14:paraId="7F114FFD" w14:textId="77777777" w:rsidR="006A5C84" w:rsidRDefault="006A5C84" w:rsidP="00925450">
      <w:pPr>
        <w:spacing w:before="240" w:after="240"/>
        <w:rPr>
          <w:sz w:val="22"/>
          <w:szCs w:val="18"/>
        </w:rPr>
      </w:pPr>
      <w:r>
        <w:rPr>
          <w:sz w:val="22"/>
          <w:szCs w:val="18"/>
        </w:rPr>
        <w:t>Une étape supplémentaire identifie les paires origine-destination pour lesquelles les deux modes de transport sont disponibles et sélectionne la meilleure option de déplacement selon différents critères, notamment les émissions de CO</w:t>
      </w:r>
      <w:r>
        <w:rPr>
          <w:rFonts w:ascii="Cambria Math" w:hAnsi="Cambria Math" w:cs="Cambria Math"/>
          <w:sz w:val="22"/>
          <w:szCs w:val="18"/>
        </w:rPr>
        <w:t>₂</w:t>
      </w:r>
      <w:r>
        <w:rPr>
          <w:sz w:val="22"/>
          <w:szCs w:val="18"/>
        </w:rPr>
        <w:t>.</w:t>
      </w:r>
    </w:p>
    <w:p w14:paraId="563699BD" w14:textId="77777777" w:rsidR="00925450" w:rsidRPr="00925450" w:rsidRDefault="00925450" w:rsidP="00925450">
      <w:pPr>
        <w:pStyle w:val="Titre5"/>
        <w:numPr>
          <w:ilvl w:val="0"/>
          <w:numId w:val="14"/>
        </w:numPr>
        <w:rPr>
          <w:rFonts w:ascii="Arial" w:hAnsi="Arial" w:cs="Arial"/>
        </w:rPr>
      </w:pPr>
      <w:r>
        <w:rPr>
          <w:rFonts w:ascii="Arial" w:hAnsi="Arial" w:cs="Arial"/>
        </w:rPr>
        <w:t>Chargement des données dans PostgreSQL</w:t>
      </w:r>
    </w:p>
    <w:p w14:paraId="07B4D908" w14:textId="77777777" w:rsidR="00C32AB7" w:rsidRDefault="00925450" w:rsidP="00925450">
      <w:pPr>
        <w:spacing w:before="240"/>
        <w:rPr>
          <w:sz w:val="22"/>
          <w:szCs w:val="18"/>
        </w:rPr>
      </w:pPr>
      <w:r>
        <w:rPr>
          <w:sz w:val="22"/>
          <w:szCs w:val="18"/>
        </w:rPr>
        <w:t>Une fois les tables analytiques construites, les données sont transférées dans PostgreSQL via le connecteur JDBC de Spark. Au lieu de vider entièrement les tables cibles, le pipeline applique une stratégie de mise à jour : les nouvelles sources sont ajoutées, tandis que les sources déjà présentes sont remplacées pour prendre en compte les éventuelles mises à jour.</w:t>
      </w:r>
    </w:p>
    <w:p w14:paraId="3FF6B490" w14:textId="77777777" w:rsidR="00E66F47" w:rsidRDefault="00925450" w:rsidP="009C702D">
      <w:pPr>
        <w:spacing w:before="240"/>
        <w:rPr>
          <w:sz w:val="22"/>
          <w:szCs w:val="18"/>
        </w:rPr>
      </w:pPr>
      <w:r>
        <w:rPr>
          <w:sz w:val="22"/>
          <w:szCs w:val="18"/>
        </w:rPr>
        <w:t xml:space="preserve">Les insertions sont réalisées par lots pour améliorer les performances du chargement. À l’issue de cette étape, deux tables principales sont disponibles dans la base de données : </w:t>
      </w:r>
      <w:r>
        <w:rPr>
          <w:i/>
          <w:iCs/>
          <w:sz w:val="22"/>
          <w:szCs w:val="18"/>
        </w:rPr>
        <w:t>gold_routes</w:t>
      </w:r>
      <w:r>
        <w:rPr>
          <w:sz w:val="22"/>
          <w:szCs w:val="18"/>
        </w:rPr>
        <w:t xml:space="preserve"> et </w:t>
      </w:r>
      <w:r>
        <w:rPr>
          <w:i/>
          <w:iCs/>
          <w:sz w:val="22"/>
          <w:szCs w:val="18"/>
        </w:rPr>
        <w:t>gold_compare_best</w:t>
      </w:r>
      <w:r>
        <w:rPr>
          <w:sz w:val="22"/>
          <w:szCs w:val="18"/>
        </w:rPr>
        <w:t xml:space="preserve">. Ces dernières sont aussi conservées au format Parquet dans le dossier </w:t>
      </w:r>
      <w:r>
        <w:rPr>
          <w:i/>
          <w:iCs/>
          <w:color w:val="8076B8" w:themeColor="text1" w:themeTint="80"/>
          <w:sz w:val="22"/>
          <w:szCs w:val="18"/>
        </w:rPr>
        <w:t>data/gold/</w:t>
      </w:r>
      <w:r>
        <w:rPr>
          <w:sz w:val="22"/>
          <w:szCs w:val="18"/>
        </w:rPr>
        <w:t>, facilitant des analyses complémentaires et le débogage du pipeline.</w:t>
      </w:r>
    </w:p>
    <w:p w14:paraId="7679DC0A" w14:textId="77777777" w:rsidR="00C51AB6" w:rsidRPr="00925450" w:rsidRDefault="00C51AB6" w:rsidP="00C51AB6">
      <w:pPr>
        <w:spacing w:before="240"/>
        <w:rPr>
          <w:sz w:val="22"/>
          <w:szCs w:val="18"/>
        </w:rPr>
      </w:pPr>
      <w:r>
        <w:rPr>
          <w:sz w:val="22"/>
          <w:szCs w:val="18"/>
        </w:rPr>
        <w:t>Cette stratégie de mise à jour incrémentale permet de conserver les données existantes tout en intégrant les nouvelles sources ou leurs évolutions. En revanche, ces opérations sur de grands volumes de données entraînent des temps de chargement plus importants.</w:t>
      </w:r>
    </w:p>
    <w:p w14:paraId="3BFB62C5" w14:textId="77777777" w:rsidR="00C51AB6" w:rsidRDefault="00C51AB6" w:rsidP="009C702D">
      <w:pPr>
        <w:spacing w:before="240"/>
        <w:rPr>
          <w:sz w:val="22"/>
          <w:szCs w:val="18"/>
        </w:rPr>
      </w:pPr>
    </w:p>
    <w:p w14:paraId="3608F210" w14:textId="77777777" w:rsidR="000808BC" w:rsidRDefault="000808BC" w:rsidP="009C702D">
      <w:pPr>
        <w:spacing w:before="240"/>
        <w:rPr>
          <w:sz w:val="22"/>
          <w:szCs w:val="18"/>
        </w:rPr>
      </w:pPr>
      <w:r>
        <w:rPr>
          <w:sz w:val="22"/>
          <w:szCs w:val="18"/>
        </w:rPr>
        <w:br w:type="page"/>
      </w:r>
    </w:p>
    <w:p w14:paraId="103B2921" w14:textId="77777777" w:rsidR="002063EE" w:rsidRPr="00457601" w:rsidRDefault="00457601" w:rsidP="00DF6CD2">
      <w:pPr>
        <w:pStyle w:val="Titre1"/>
        <w:rPr>
          <w:rFonts w:cs="Arial"/>
        </w:rPr>
      </w:pPr>
      <w:bookmarkStart w:id="8" w:name="_Toc224256933"/>
      <w:r>
        <w:rPr>
          <w:rFonts w:cs="Arial"/>
          <w:lang w:bidi="fr-FR"/>
        </w:rPr>
        <w:lastRenderedPageBreak/>
        <w:t>Base de données</w:t>
      </w:r>
      <w:bookmarkEnd w:id="8"/>
    </w:p>
    <w:p w14:paraId="48A59E3F" w14:textId="77777777" w:rsidR="00E22688" w:rsidRPr="00E22688" w:rsidRDefault="00E22688" w:rsidP="00C553C6">
      <w:pPr>
        <w:spacing w:before="240" w:after="240"/>
        <w:rPr>
          <w:rFonts w:cs="Arial"/>
          <w:b/>
          <w:bCs/>
        </w:rPr>
      </w:pPr>
      <w:r>
        <w:rPr>
          <w:rFonts w:cs="Arial"/>
          <w:b/>
          <w:bCs/>
        </w:rPr>
        <w:t xml:space="preserve">Architecture </w:t>
      </w:r>
    </w:p>
    <w:p w14:paraId="14B4A6C3" w14:textId="77777777" w:rsidR="00E22688" w:rsidRDefault="00D766ED" w:rsidP="00C553C6">
      <w:pPr>
        <w:spacing w:after="240"/>
        <w:rPr>
          <w:rFonts w:cs="Arial"/>
          <w:sz w:val="22"/>
          <w:szCs w:val="18"/>
        </w:rPr>
      </w:pPr>
      <w:r>
        <w:rPr>
          <w:rFonts w:cs="Arial"/>
          <w:sz w:val="22"/>
          <w:szCs w:val="18"/>
        </w:rPr>
        <w:t>La base PostgreSQL complétée constitue la couche de persistance principale du système et sert de source de données pour l’API ainsi que pour les outils d’analyse et de visualisation.</w:t>
      </w:r>
    </w:p>
    <w:p w14:paraId="716E5271" w14:textId="77777777" w:rsidR="00847CCD" w:rsidRPr="00E22688" w:rsidRDefault="00847CCD" w:rsidP="00847CCD">
      <w:pPr>
        <w:rPr>
          <w:rFonts w:cs="Arial"/>
          <w:sz w:val="22"/>
          <w:szCs w:val="18"/>
        </w:rPr>
      </w:pPr>
      <w:r>
        <w:rPr>
          <w:rFonts w:cs="Arial"/>
          <w:sz w:val="22"/>
          <w:szCs w:val="18"/>
        </w:rPr>
        <w:t>Le modèle de données final repose sur deux tables principales du niveau gold, optimisées pour l’exploration et l’exploitation applicative :</w:t>
      </w:r>
    </w:p>
    <w:p w14:paraId="305D9D75" w14:textId="77777777" w:rsidR="00E22688" w:rsidRPr="00E22688" w:rsidRDefault="00E22688" w:rsidP="00C553C6">
      <w:pPr>
        <w:numPr>
          <w:ilvl w:val="0"/>
          <w:numId w:val="15"/>
        </w:numPr>
        <w:rPr>
          <w:rFonts w:cs="Arial"/>
          <w:sz w:val="22"/>
          <w:szCs w:val="18"/>
        </w:rPr>
      </w:pPr>
      <w:r>
        <w:rPr>
          <w:rFonts w:cs="Arial"/>
          <w:i/>
          <w:iCs/>
          <w:sz w:val="22"/>
          <w:szCs w:val="18"/>
        </w:rPr>
        <w:t>gold_routes</w:t>
      </w:r>
      <w:r>
        <w:rPr>
          <w:rFonts w:cs="Arial"/>
          <w:sz w:val="22"/>
          <w:szCs w:val="18"/>
        </w:rPr>
        <w:t>, qui regroupe l’ensemble des trajets ferroviaires et aériens ;</w:t>
      </w:r>
    </w:p>
    <w:p w14:paraId="126E5445" w14:textId="77777777" w:rsidR="00E22688" w:rsidRPr="00E22688" w:rsidRDefault="00E22688" w:rsidP="00C553C6">
      <w:pPr>
        <w:numPr>
          <w:ilvl w:val="0"/>
          <w:numId w:val="15"/>
        </w:numPr>
        <w:rPr>
          <w:rFonts w:cs="Arial"/>
          <w:sz w:val="22"/>
          <w:szCs w:val="18"/>
        </w:rPr>
      </w:pPr>
      <w:r>
        <w:rPr>
          <w:rFonts w:cs="Arial"/>
          <w:i/>
          <w:iCs/>
          <w:sz w:val="22"/>
          <w:szCs w:val="18"/>
        </w:rPr>
        <w:t>gold_compare_best</w:t>
      </w:r>
      <w:r>
        <w:rPr>
          <w:rFonts w:cs="Arial"/>
          <w:sz w:val="22"/>
          <w:szCs w:val="18"/>
        </w:rPr>
        <w:t>, qui contient la meilleure option de transport entre deux villes selon différents critères.</w:t>
      </w:r>
    </w:p>
    <w:p w14:paraId="2DA38879" w14:textId="77777777" w:rsidR="00C553C6" w:rsidRPr="00C553C6" w:rsidRDefault="00C553C6" w:rsidP="00C553C6">
      <w:pPr>
        <w:spacing w:before="240"/>
        <w:rPr>
          <w:rFonts w:cs="Arial"/>
          <w:b/>
          <w:bCs/>
        </w:rPr>
      </w:pPr>
      <w:r>
        <w:rPr>
          <w:rFonts w:cs="Arial"/>
          <w:b/>
          <w:bCs/>
        </w:rPr>
        <w:t xml:space="preserve">Table </w:t>
      </w:r>
      <w:r>
        <w:rPr>
          <w:rFonts w:cs="Arial"/>
          <w:b/>
          <w:bCs/>
          <w:i/>
          <w:iCs/>
        </w:rPr>
        <w:t>gold_routes</w:t>
      </w:r>
    </w:p>
    <w:p w14:paraId="75B766A4" w14:textId="77777777" w:rsidR="00C553C6" w:rsidRDefault="00C553C6" w:rsidP="00C553C6">
      <w:pPr>
        <w:spacing w:before="240"/>
        <w:rPr>
          <w:rFonts w:cs="Arial"/>
          <w:sz w:val="22"/>
          <w:szCs w:val="18"/>
        </w:rPr>
      </w:pPr>
      <w:r>
        <w:rPr>
          <w:rFonts w:cs="Arial"/>
          <w:sz w:val="22"/>
          <w:szCs w:val="18"/>
        </w:rPr>
        <w:t>Cette table constitue la table centrale du modèle. Elle contient environ 93 millions de lignes et regroupe l’ensemble des trajets train et avion dans un schéma unifié, permettant de comparer directement les deux modes de transport.</w:t>
      </w:r>
    </w:p>
    <w:p w14:paraId="17E995DF" w14:textId="77777777" w:rsidR="00CF5554" w:rsidRDefault="001D5526" w:rsidP="001D5526">
      <w:pPr>
        <w:spacing w:before="240"/>
        <w:rPr>
          <w:rFonts w:cs="Arial"/>
          <w:sz w:val="22"/>
          <w:szCs w:val="18"/>
        </w:rPr>
      </w:pPr>
      <w:r>
        <w:rPr>
          <w:rFonts w:cs="Arial"/>
          <w:sz w:val="22"/>
          <w:szCs w:val="18"/>
        </w:rPr>
        <w:t xml:space="preserve">La table est partitionnée via un type LIST sur la colonne </w:t>
      </w:r>
      <w:r>
        <w:rPr>
          <w:rFonts w:cs="Arial"/>
          <w:i/>
          <w:iCs/>
          <w:sz w:val="22"/>
          <w:szCs w:val="18"/>
        </w:rPr>
        <w:t>departure_country</w:t>
      </w:r>
      <w:r>
        <w:rPr>
          <w:rFonts w:cs="Arial"/>
          <w:sz w:val="22"/>
          <w:szCs w:val="18"/>
        </w:rPr>
        <w:t xml:space="preserve"> avec 30 partitions pour les principaux pays européens et une partition par défaut (XX) pour les enregistrements hors pays définis. Cette stratégie réduit la taille des ensembles de données parcourus lors des requêtes filtrant sur le pays de départ et améliorent les performances globales du système</w:t>
      </w:r>
    </w:p>
    <w:p w14:paraId="77273BE3" w14:textId="77777777" w:rsidR="001D5526" w:rsidRPr="001D5526" w:rsidRDefault="00F9653C" w:rsidP="001D5526">
      <w:pPr>
        <w:spacing w:before="240"/>
        <w:rPr>
          <w:rFonts w:cs="Arial"/>
          <w:sz w:val="22"/>
          <w:szCs w:val="18"/>
        </w:rPr>
      </w:pPr>
      <w:r>
        <w:rPr>
          <w:rFonts w:cs="Arial"/>
          <w:sz w:val="22"/>
          <w:szCs w:val="18"/>
        </w:rPr>
        <w:t>via un type LIST afin d’optimiser les performances des requêtes géographiques.</w:t>
      </w:r>
    </w:p>
    <w:p w14:paraId="3731764A" w14:textId="77777777" w:rsidR="00C553C6" w:rsidRPr="00C553C6" w:rsidRDefault="00C553C6" w:rsidP="00C553C6">
      <w:pPr>
        <w:spacing w:before="240"/>
        <w:rPr>
          <w:rFonts w:cs="Arial"/>
          <w:sz w:val="22"/>
          <w:szCs w:val="18"/>
        </w:rPr>
      </w:pPr>
      <w:r>
        <w:rPr>
          <w:rFonts w:cs="Arial"/>
          <w:sz w:val="22"/>
          <w:szCs w:val="18"/>
        </w:rPr>
        <w:t>Les colonnes principales de la table incluent :</w:t>
      </w:r>
    </w:p>
    <w:p w14:paraId="7F93D443" w14:textId="77777777" w:rsidR="00C553C6" w:rsidRPr="00C553C6" w:rsidRDefault="00C553C6" w:rsidP="00C553C6">
      <w:pPr>
        <w:numPr>
          <w:ilvl w:val="0"/>
          <w:numId w:val="16"/>
        </w:numPr>
        <w:rPr>
          <w:rFonts w:cs="Arial"/>
          <w:sz w:val="22"/>
          <w:szCs w:val="18"/>
        </w:rPr>
      </w:pPr>
      <w:r>
        <w:rPr>
          <w:rFonts w:cs="Arial"/>
          <w:sz w:val="22"/>
          <w:szCs w:val="18"/>
        </w:rPr>
        <w:t xml:space="preserve">des </w:t>
      </w:r>
      <w:r>
        <w:rPr>
          <w:rFonts w:cs="Arial"/>
          <w:b/>
          <w:bCs/>
          <w:sz w:val="22"/>
          <w:szCs w:val="18"/>
        </w:rPr>
        <w:t>identifiants et métadonnées de trajet</w:t>
      </w:r>
      <w:r>
        <w:rPr>
          <w:rFonts w:cs="Arial"/>
          <w:sz w:val="22"/>
          <w:szCs w:val="18"/>
        </w:rPr>
        <w:t xml:space="preserve"> (</w:t>
      </w:r>
      <w:r>
        <w:rPr>
          <w:rFonts w:cs="Arial"/>
          <w:i/>
          <w:iCs/>
          <w:sz w:val="22"/>
          <w:szCs w:val="18"/>
        </w:rPr>
        <w:t>source</w:t>
      </w:r>
      <w:r>
        <w:rPr>
          <w:rFonts w:cs="Arial"/>
          <w:sz w:val="22"/>
          <w:szCs w:val="18"/>
        </w:rPr>
        <w:t xml:space="preserve">, </w:t>
      </w:r>
      <w:r>
        <w:rPr>
          <w:rFonts w:cs="Arial"/>
          <w:i/>
          <w:iCs/>
          <w:sz w:val="22"/>
          <w:szCs w:val="18"/>
        </w:rPr>
        <w:t>trip_id</w:t>
      </w:r>
      <w:r>
        <w:rPr>
          <w:rFonts w:cs="Arial"/>
          <w:sz w:val="22"/>
          <w:szCs w:val="18"/>
        </w:rPr>
        <w:t xml:space="preserve">, </w:t>
      </w:r>
      <w:r>
        <w:rPr>
          <w:rFonts w:cs="Arial"/>
          <w:i/>
          <w:iCs/>
          <w:sz w:val="22"/>
          <w:szCs w:val="18"/>
        </w:rPr>
        <w:t>mode</w:t>
      </w:r>
      <w:r>
        <w:rPr>
          <w:rFonts w:cs="Arial"/>
          <w:sz w:val="22"/>
          <w:szCs w:val="18"/>
        </w:rPr>
        <w:t xml:space="preserve">, </w:t>
      </w:r>
      <w:r>
        <w:rPr>
          <w:rFonts w:cs="Arial"/>
          <w:i/>
          <w:iCs/>
          <w:sz w:val="22"/>
          <w:szCs w:val="18"/>
        </w:rPr>
        <w:t>route_id</w:t>
      </w:r>
      <w:r>
        <w:rPr>
          <w:rFonts w:cs="Arial"/>
          <w:sz w:val="22"/>
          <w:szCs w:val="18"/>
        </w:rPr>
        <w:t xml:space="preserve">, </w:t>
      </w:r>
      <w:r>
        <w:rPr>
          <w:rFonts w:cs="Arial"/>
          <w:i/>
          <w:iCs/>
          <w:sz w:val="22"/>
          <w:szCs w:val="18"/>
        </w:rPr>
        <w:t>service_id</w:t>
      </w:r>
      <w:r>
        <w:rPr>
          <w:rFonts w:cs="Arial"/>
          <w:sz w:val="22"/>
          <w:szCs w:val="18"/>
        </w:rPr>
        <w:t>) ;</w:t>
      </w:r>
    </w:p>
    <w:p w14:paraId="6543174F" w14:textId="77777777" w:rsidR="00C553C6" w:rsidRPr="00C553C6" w:rsidRDefault="00C553C6" w:rsidP="00C553C6">
      <w:pPr>
        <w:numPr>
          <w:ilvl w:val="0"/>
          <w:numId w:val="16"/>
        </w:numPr>
        <w:rPr>
          <w:rFonts w:cs="Arial"/>
          <w:sz w:val="22"/>
          <w:szCs w:val="18"/>
        </w:rPr>
      </w:pPr>
      <w:r>
        <w:rPr>
          <w:rFonts w:cs="Arial"/>
          <w:sz w:val="22"/>
          <w:szCs w:val="18"/>
        </w:rPr>
        <w:t xml:space="preserve">des </w:t>
      </w:r>
      <w:r>
        <w:rPr>
          <w:rFonts w:cs="Arial"/>
          <w:b/>
          <w:bCs/>
          <w:sz w:val="22"/>
          <w:szCs w:val="18"/>
        </w:rPr>
        <w:t>informations d’agence et de service</w:t>
      </w:r>
      <w:r>
        <w:rPr>
          <w:rFonts w:cs="Arial"/>
          <w:sz w:val="22"/>
          <w:szCs w:val="18"/>
        </w:rPr>
        <w:t xml:space="preserve"> (</w:t>
      </w:r>
      <w:r>
        <w:rPr>
          <w:rFonts w:cs="Arial"/>
          <w:i/>
          <w:iCs/>
          <w:sz w:val="22"/>
          <w:szCs w:val="18"/>
        </w:rPr>
        <w:t>agency_name</w:t>
      </w:r>
      <w:r>
        <w:rPr>
          <w:rFonts w:cs="Arial"/>
          <w:sz w:val="22"/>
          <w:szCs w:val="18"/>
        </w:rPr>
        <w:t xml:space="preserve">, </w:t>
      </w:r>
      <w:r>
        <w:rPr>
          <w:rFonts w:cs="Arial"/>
          <w:i/>
          <w:iCs/>
          <w:sz w:val="22"/>
          <w:szCs w:val="18"/>
        </w:rPr>
        <w:t>agency_timezone</w:t>
      </w:r>
      <w:r>
        <w:rPr>
          <w:rFonts w:cs="Arial"/>
          <w:sz w:val="22"/>
          <w:szCs w:val="18"/>
        </w:rPr>
        <w:t>) ;</w:t>
      </w:r>
    </w:p>
    <w:p w14:paraId="59E20D09" w14:textId="77777777" w:rsidR="00C553C6" w:rsidRPr="00C553C6" w:rsidRDefault="00C553C6" w:rsidP="00C553C6">
      <w:pPr>
        <w:numPr>
          <w:ilvl w:val="0"/>
          <w:numId w:val="16"/>
        </w:numPr>
        <w:rPr>
          <w:rFonts w:cs="Arial"/>
          <w:sz w:val="22"/>
          <w:szCs w:val="18"/>
        </w:rPr>
      </w:pPr>
      <w:r>
        <w:rPr>
          <w:rFonts w:cs="Arial"/>
          <w:sz w:val="22"/>
          <w:szCs w:val="18"/>
        </w:rPr>
        <w:t xml:space="preserve">les </w:t>
      </w:r>
      <w:r>
        <w:rPr>
          <w:rFonts w:cs="Arial"/>
          <w:b/>
          <w:bCs/>
          <w:sz w:val="22"/>
          <w:szCs w:val="18"/>
        </w:rPr>
        <w:t>données de départ et d’arrivée</w:t>
      </w:r>
      <w:r>
        <w:rPr>
          <w:rFonts w:cs="Arial"/>
          <w:sz w:val="22"/>
          <w:szCs w:val="18"/>
        </w:rPr>
        <w:t xml:space="preserve"> (gare ou aéroport, ville, pays, horaires) ;</w:t>
      </w:r>
    </w:p>
    <w:p w14:paraId="501AFC38" w14:textId="77777777" w:rsidR="00C553C6" w:rsidRPr="00C553C6" w:rsidRDefault="00C553C6" w:rsidP="00C553C6">
      <w:pPr>
        <w:numPr>
          <w:ilvl w:val="0"/>
          <w:numId w:val="16"/>
        </w:numPr>
        <w:rPr>
          <w:rFonts w:cs="Arial"/>
          <w:sz w:val="22"/>
          <w:szCs w:val="18"/>
        </w:rPr>
      </w:pPr>
      <w:r>
        <w:rPr>
          <w:rFonts w:cs="Arial"/>
          <w:sz w:val="22"/>
          <w:szCs w:val="18"/>
        </w:rPr>
        <w:t xml:space="preserve">des </w:t>
      </w:r>
      <w:r>
        <w:rPr>
          <w:rFonts w:cs="Arial"/>
          <w:b/>
          <w:bCs/>
          <w:sz w:val="22"/>
          <w:szCs w:val="18"/>
        </w:rPr>
        <w:t>informations temporelles</w:t>
      </w:r>
      <w:r>
        <w:rPr>
          <w:rFonts w:cs="Arial"/>
          <w:sz w:val="22"/>
          <w:szCs w:val="18"/>
        </w:rPr>
        <w:t xml:space="preserve"> relatives au calendrier de circulation (</w:t>
      </w:r>
      <w:r>
        <w:rPr>
          <w:rFonts w:cs="Arial"/>
          <w:i/>
          <w:iCs/>
          <w:sz w:val="22"/>
          <w:szCs w:val="18"/>
        </w:rPr>
        <w:t>service_start_date</w:t>
      </w:r>
      <w:r>
        <w:rPr>
          <w:rFonts w:cs="Arial"/>
          <w:sz w:val="22"/>
          <w:szCs w:val="18"/>
        </w:rPr>
        <w:t xml:space="preserve">, </w:t>
      </w:r>
      <w:r>
        <w:rPr>
          <w:rFonts w:cs="Arial"/>
          <w:i/>
          <w:iCs/>
          <w:sz w:val="22"/>
          <w:szCs w:val="18"/>
        </w:rPr>
        <w:t>service_end_date</w:t>
      </w:r>
      <w:r>
        <w:rPr>
          <w:rFonts w:cs="Arial"/>
          <w:sz w:val="22"/>
          <w:szCs w:val="18"/>
        </w:rPr>
        <w:t xml:space="preserve">, </w:t>
      </w:r>
      <w:r>
        <w:rPr>
          <w:rFonts w:cs="Arial"/>
          <w:i/>
          <w:iCs/>
          <w:sz w:val="22"/>
          <w:szCs w:val="18"/>
        </w:rPr>
        <w:t>days_of_week</w:t>
      </w:r>
      <w:r>
        <w:rPr>
          <w:rFonts w:cs="Arial"/>
          <w:sz w:val="22"/>
          <w:szCs w:val="18"/>
        </w:rPr>
        <w:t>) ;</w:t>
      </w:r>
    </w:p>
    <w:p w14:paraId="364AC40A" w14:textId="77777777" w:rsidR="0078791E" w:rsidRDefault="0078791E" w:rsidP="00C553C6">
      <w:pPr>
        <w:numPr>
          <w:ilvl w:val="0"/>
          <w:numId w:val="16"/>
        </w:numPr>
        <w:rPr>
          <w:rFonts w:cs="Arial"/>
          <w:sz w:val="22"/>
          <w:szCs w:val="18"/>
        </w:rPr>
      </w:pPr>
      <w:r>
        <w:rPr>
          <w:rFonts w:cs="Arial"/>
          <w:b/>
          <w:bCs/>
          <w:sz w:val="22"/>
          <w:szCs w:val="18"/>
        </w:rPr>
        <w:t>des métriques de trajet</w:t>
      </w:r>
      <w:r>
        <w:rPr>
          <w:rFonts w:cs="Arial"/>
          <w:sz w:val="22"/>
          <w:szCs w:val="18"/>
        </w:rPr>
        <w:t>, incluant la distance et les émissions de CO</w:t>
      </w:r>
      <w:r>
        <w:rPr>
          <w:rFonts w:ascii="Cambria Math" w:hAnsi="Cambria Math" w:cs="Cambria Math"/>
          <w:sz w:val="22"/>
          <w:szCs w:val="18"/>
        </w:rPr>
        <w:t>₂</w:t>
      </w:r>
      <w:r>
        <w:rPr>
          <w:rFonts w:cs="Arial"/>
          <w:sz w:val="22"/>
          <w:szCs w:val="18"/>
        </w:rPr>
        <w:t xml:space="preserve"> par passager. Le facteur d’émission est exprimé en </w:t>
      </w:r>
      <w:r>
        <w:rPr>
          <w:rFonts w:cs="Arial"/>
          <w:b/>
          <w:bCs/>
          <w:sz w:val="22"/>
          <w:szCs w:val="18"/>
        </w:rPr>
        <w:t>gCO</w:t>
      </w:r>
      <w:r>
        <w:rPr>
          <w:rFonts w:ascii="Cambria Math" w:hAnsi="Cambria Math" w:cs="Cambria Math"/>
          <w:b/>
          <w:bCs/>
          <w:sz w:val="22"/>
          <w:szCs w:val="18"/>
        </w:rPr>
        <w:t>₂</w:t>
      </w:r>
      <w:r>
        <w:rPr>
          <w:rFonts w:cs="Arial"/>
          <w:b/>
          <w:bCs/>
          <w:sz w:val="22"/>
          <w:szCs w:val="18"/>
        </w:rPr>
        <w:t xml:space="preserve"> par passager.km</w:t>
      </w:r>
      <w:r>
        <w:rPr>
          <w:rFonts w:cs="Arial"/>
          <w:sz w:val="22"/>
          <w:szCs w:val="18"/>
        </w:rPr>
        <w:t>, et les émissions d’un trajet sont obtenues en multipliant ce facteur par la distance parcourue.</w:t>
      </w:r>
    </w:p>
    <w:p w14:paraId="6D4F8959" w14:textId="77777777" w:rsidR="00CF5554" w:rsidRPr="00C553C6" w:rsidRDefault="00C553C6" w:rsidP="00C553C6">
      <w:pPr>
        <w:spacing w:before="240"/>
        <w:rPr>
          <w:rFonts w:cs="Arial"/>
          <w:sz w:val="22"/>
          <w:szCs w:val="18"/>
        </w:rPr>
      </w:pPr>
      <w:r>
        <w:rPr>
          <w:rFonts w:cs="Arial"/>
          <w:sz w:val="22"/>
          <w:szCs w:val="18"/>
        </w:rPr>
        <w:t>Cette structure unifiée permet d’interroger les trajets ferroviaires et aériens au sein d’une même table et simplifie les requêtes de l’API.</w:t>
      </w:r>
    </w:p>
    <w:p w14:paraId="1F5513BE" w14:textId="77777777" w:rsidR="00C553C6" w:rsidRPr="00C553C6" w:rsidRDefault="00C553C6" w:rsidP="00C553C6">
      <w:pPr>
        <w:spacing w:before="240"/>
        <w:rPr>
          <w:rFonts w:cs="Arial"/>
          <w:b/>
          <w:bCs/>
        </w:rPr>
      </w:pPr>
      <w:r>
        <w:rPr>
          <w:rFonts w:cs="Arial"/>
          <w:b/>
          <w:bCs/>
        </w:rPr>
        <w:t xml:space="preserve">Table </w:t>
      </w:r>
      <w:r>
        <w:rPr>
          <w:rFonts w:cs="Arial"/>
          <w:b/>
          <w:bCs/>
          <w:i/>
          <w:iCs/>
        </w:rPr>
        <w:t>gold_compare_best</w:t>
      </w:r>
    </w:p>
    <w:p w14:paraId="1DE335F8" w14:textId="77777777" w:rsidR="000D73B2" w:rsidRPr="00C553C6" w:rsidRDefault="00C553C6" w:rsidP="00C553C6">
      <w:pPr>
        <w:spacing w:before="240"/>
        <w:rPr>
          <w:rFonts w:cs="Arial"/>
          <w:sz w:val="22"/>
          <w:szCs w:val="18"/>
        </w:rPr>
      </w:pPr>
      <w:r>
        <w:rPr>
          <w:rFonts w:cs="Arial"/>
          <w:sz w:val="22"/>
          <w:szCs w:val="18"/>
        </w:rPr>
        <w:t>Cette table analytique dérivée contient environ 90 millions de lignes et permet de comparer les différents modes de transport. Chaque enregistrement correspond à une paire origine-destination pour laquelle au moins une alternative train et avion existe.</w:t>
      </w:r>
    </w:p>
    <w:p w14:paraId="309A2BAF" w14:textId="77777777" w:rsidR="00C553C6" w:rsidRPr="00C553C6" w:rsidRDefault="00C553C6" w:rsidP="00C553C6">
      <w:pPr>
        <w:spacing w:before="240"/>
        <w:rPr>
          <w:rFonts w:cs="Arial"/>
          <w:sz w:val="22"/>
          <w:szCs w:val="18"/>
        </w:rPr>
      </w:pPr>
      <w:r>
        <w:rPr>
          <w:rFonts w:cs="Arial"/>
          <w:sz w:val="22"/>
          <w:szCs w:val="18"/>
        </w:rPr>
        <w:t>Pour chaque paire de villes, la table stocke :</w:t>
      </w:r>
    </w:p>
    <w:p w14:paraId="258AA215" w14:textId="77777777" w:rsidR="00C553C6" w:rsidRPr="00C553C6" w:rsidRDefault="00C553C6" w:rsidP="00C553C6">
      <w:pPr>
        <w:numPr>
          <w:ilvl w:val="0"/>
          <w:numId w:val="17"/>
        </w:numPr>
        <w:rPr>
          <w:rFonts w:cs="Arial"/>
          <w:sz w:val="22"/>
          <w:szCs w:val="18"/>
        </w:rPr>
      </w:pPr>
      <w:r>
        <w:rPr>
          <w:rFonts w:cs="Arial"/>
          <w:sz w:val="22"/>
          <w:szCs w:val="18"/>
        </w:rPr>
        <w:t>les métriques du trajet ferroviaire (durée, distance, émissions) ;</w:t>
      </w:r>
    </w:p>
    <w:p w14:paraId="5278BA5F" w14:textId="77777777" w:rsidR="00C553C6" w:rsidRPr="00C553C6" w:rsidRDefault="00C553C6" w:rsidP="00C553C6">
      <w:pPr>
        <w:numPr>
          <w:ilvl w:val="0"/>
          <w:numId w:val="17"/>
        </w:numPr>
        <w:rPr>
          <w:rFonts w:cs="Arial"/>
          <w:sz w:val="22"/>
          <w:szCs w:val="18"/>
        </w:rPr>
      </w:pPr>
      <w:r>
        <w:rPr>
          <w:rFonts w:cs="Arial"/>
          <w:sz w:val="22"/>
          <w:szCs w:val="18"/>
        </w:rPr>
        <w:t>les métriques du trajet aérien correspondant ;</w:t>
      </w:r>
    </w:p>
    <w:p w14:paraId="7C92B7EF" w14:textId="77777777" w:rsidR="00C553C6" w:rsidRPr="00C553C6" w:rsidRDefault="00C553C6" w:rsidP="00C553C6">
      <w:pPr>
        <w:numPr>
          <w:ilvl w:val="0"/>
          <w:numId w:val="17"/>
        </w:numPr>
        <w:rPr>
          <w:rFonts w:cs="Arial"/>
          <w:sz w:val="22"/>
          <w:szCs w:val="18"/>
        </w:rPr>
      </w:pPr>
      <w:r>
        <w:rPr>
          <w:rFonts w:cs="Arial"/>
          <w:sz w:val="22"/>
          <w:szCs w:val="18"/>
        </w:rPr>
        <w:t xml:space="preserve">le </w:t>
      </w:r>
      <w:r>
        <w:rPr>
          <w:rFonts w:cs="Arial"/>
          <w:b/>
          <w:bCs/>
          <w:sz w:val="22"/>
          <w:szCs w:val="18"/>
        </w:rPr>
        <w:t>mode de transport optimal</w:t>
      </w:r>
      <w:r>
        <w:rPr>
          <w:rFonts w:cs="Arial"/>
          <w:sz w:val="22"/>
          <w:szCs w:val="18"/>
        </w:rPr>
        <w:t xml:space="preserve"> selon les critères définis dans le pipeline.</w:t>
      </w:r>
    </w:p>
    <w:p w14:paraId="23A73B78" w14:textId="77777777" w:rsidR="003C5DDD" w:rsidRDefault="00847CCD" w:rsidP="00C553C6">
      <w:pPr>
        <w:spacing w:before="240"/>
        <w:rPr>
          <w:rFonts w:cs="Arial"/>
          <w:sz w:val="22"/>
          <w:szCs w:val="18"/>
        </w:rPr>
      </w:pPr>
      <w:r>
        <w:rPr>
          <w:rFonts w:cs="Arial"/>
          <w:sz w:val="22"/>
          <w:szCs w:val="18"/>
        </w:rPr>
        <w:t>L’API l’utilise notamment pour fournir rapidement des comparaisons entre les différents modes de déplacement.</w:t>
      </w:r>
    </w:p>
    <w:p w14:paraId="61A136CB" w14:textId="77777777" w:rsidR="00C333E9" w:rsidRDefault="00C333E9" w:rsidP="00C553C6">
      <w:pPr>
        <w:spacing w:before="240"/>
        <w:rPr>
          <w:rFonts w:cs="Arial"/>
          <w:sz w:val="22"/>
          <w:szCs w:val="18"/>
        </w:rPr>
      </w:pPr>
    </w:p>
    <w:p w14:paraId="00BFFF8A" w14:textId="77777777" w:rsidR="00C333E9" w:rsidRPr="00C553C6" w:rsidRDefault="00C333E9" w:rsidP="00C553C6">
      <w:pPr>
        <w:spacing w:before="240"/>
        <w:rPr>
          <w:rFonts w:cs="Arial"/>
          <w:sz w:val="22"/>
          <w:szCs w:val="18"/>
        </w:rPr>
      </w:pPr>
    </w:p>
    <w:p w14:paraId="60BAF2EC" w14:textId="77777777" w:rsidR="00C553C6" w:rsidRPr="00C553C6" w:rsidRDefault="00C553C6" w:rsidP="009B4A78">
      <w:pPr>
        <w:spacing w:before="240" w:after="180"/>
        <w:rPr>
          <w:rFonts w:cs="Arial"/>
          <w:b/>
          <w:bCs/>
        </w:rPr>
      </w:pPr>
      <w:r>
        <w:rPr>
          <w:rFonts w:cs="Arial"/>
          <w:b/>
          <w:bCs/>
        </w:rPr>
        <w:lastRenderedPageBreak/>
        <w:t>Relations et intégrité des données</w:t>
      </w:r>
    </w:p>
    <w:p w14:paraId="7F0644DD" w14:textId="77777777" w:rsidR="00C553C6" w:rsidRPr="00C553C6" w:rsidRDefault="00C553C6" w:rsidP="00C553C6">
      <w:pPr>
        <w:spacing w:after="180"/>
        <w:rPr>
          <w:rFonts w:cs="Arial"/>
          <w:sz w:val="22"/>
          <w:szCs w:val="18"/>
        </w:rPr>
      </w:pPr>
      <w:r>
        <w:rPr>
          <w:rFonts w:cs="Arial"/>
          <w:sz w:val="22"/>
          <w:szCs w:val="18"/>
        </w:rPr>
        <w:t>Le modèle ne repose pas sur des clés étrangères explicites entre les tables. Nous avons fait ce choix pour privilégier les performances sur de très grands volumes de données et simplifier les opérations d’insertion lors du chargement.</w:t>
      </w:r>
    </w:p>
    <w:p w14:paraId="2E8CC4A1" w14:textId="77777777" w:rsidR="00C553C6" w:rsidRDefault="00C553C6" w:rsidP="00C553C6">
      <w:pPr>
        <w:spacing w:after="180"/>
        <w:rPr>
          <w:rFonts w:cs="Arial"/>
          <w:sz w:val="22"/>
          <w:szCs w:val="18"/>
        </w:rPr>
      </w:pPr>
      <w:r>
        <w:rPr>
          <w:rFonts w:cs="Arial"/>
          <w:sz w:val="22"/>
          <w:szCs w:val="18"/>
        </w:rPr>
        <w:t>Les relations logiques entre les données sont maintenues au niveau du pipeline de transformation et de l’application plutôt qu’au niveau du moteur de base de données.</w:t>
      </w:r>
    </w:p>
    <w:p w14:paraId="69600F01" w14:textId="77777777" w:rsidR="00C553C6" w:rsidRPr="00C553C6" w:rsidRDefault="00C553C6" w:rsidP="00C553C6">
      <w:pPr>
        <w:spacing w:after="180"/>
        <w:rPr>
          <w:rFonts w:cs="Arial"/>
          <w:b/>
          <w:bCs/>
        </w:rPr>
      </w:pPr>
      <w:r>
        <w:rPr>
          <w:rFonts w:cs="Arial"/>
          <w:b/>
          <w:bCs/>
        </w:rPr>
        <w:t>Indexation et optimisation des requêtes</w:t>
      </w:r>
    </w:p>
    <w:p w14:paraId="252C943F" w14:textId="77777777" w:rsidR="00BA71DB" w:rsidRDefault="006B0259" w:rsidP="00BA71DB">
      <w:pPr>
        <w:spacing w:after="180"/>
        <w:rPr>
          <w:rFonts w:cs="Arial"/>
          <w:sz w:val="22"/>
          <w:szCs w:val="18"/>
        </w:rPr>
      </w:pPr>
      <w:r>
        <w:rPr>
          <w:rFonts w:cs="Arial"/>
          <w:sz w:val="22"/>
          <w:szCs w:val="18"/>
        </w:rPr>
        <w:t xml:space="preserve">Pour optimiser les requêtes les plus fréquentes exposées par l’API, nous avons mis en place une stratégie d'indexation post-chargement (script </w:t>
      </w:r>
      <w:r>
        <w:rPr>
          <w:rFonts w:cs="Arial"/>
          <w:i/>
          <w:iCs/>
          <w:sz w:val="22"/>
          <w:szCs w:val="18"/>
        </w:rPr>
        <w:t>post_load.sql</w:t>
      </w:r>
      <w:r>
        <w:rPr>
          <w:rFonts w:cs="Arial"/>
          <w:sz w:val="22"/>
          <w:szCs w:val="18"/>
        </w:rPr>
        <w:t>) sur les tables analytiques.</w:t>
      </w:r>
    </w:p>
    <w:p w14:paraId="3A400A88" w14:textId="77777777" w:rsidR="006B0259" w:rsidRPr="006B0259" w:rsidRDefault="006B0259" w:rsidP="00BA71DB">
      <w:pPr>
        <w:spacing w:after="180"/>
        <w:rPr>
          <w:rFonts w:cs="Arial"/>
          <w:sz w:val="22"/>
          <w:szCs w:val="18"/>
        </w:rPr>
      </w:pPr>
      <w:r>
        <w:rPr>
          <w:rFonts w:cs="Arial"/>
          <w:sz w:val="22"/>
          <w:szCs w:val="18"/>
        </w:rPr>
        <w:t>Index principaux :</w:t>
      </w:r>
    </w:p>
    <w:p w14:paraId="45E0CE7C" w14:textId="77777777" w:rsidR="00BA71DB" w:rsidRPr="00BA71DB" w:rsidRDefault="00BA71DB" w:rsidP="00BA71DB">
      <w:pPr>
        <w:numPr>
          <w:ilvl w:val="0"/>
          <w:numId w:val="25"/>
        </w:numPr>
        <w:spacing w:after="180"/>
        <w:rPr>
          <w:rFonts w:cs="Arial"/>
          <w:sz w:val="22"/>
          <w:szCs w:val="18"/>
        </w:rPr>
      </w:pPr>
      <w:r>
        <w:rPr>
          <w:rFonts w:cs="Arial"/>
          <w:b/>
          <w:bCs/>
          <w:sz w:val="22"/>
          <w:szCs w:val="18"/>
        </w:rPr>
        <w:t>BTREE,</w:t>
      </w:r>
      <w:r>
        <w:rPr>
          <w:rFonts w:cs="Arial"/>
          <w:sz w:val="22"/>
          <w:szCs w:val="18"/>
        </w:rPr>
        <w:t xml:space="preserve"> </w:t>
      </w:r>
      <w:r>
        <w:rPr>
          <w:rFonts w:eastAsia="Times New Roman" w:cs="Arial"/>
          <w:color w:val="auto"/>
          <w:sz w:val="22"/>
          <w:szCs w:val="22"/>
          <w:lang w:eastAsia="fr-FR"/>
        </w:rPr>
        <w:t>type d’index standard qui accélère les recherches par valeur exacte ou par intervalle (ex. recherche par ville de départ/arrivée ou par identifiant de trajet)</w:t>
      </w:r>
      <w:r>
        <w:rPr>
          <w:rFonts w:cs="Arial"/>
          <w:sz w:val="22"/>
          <w:szCs w:val="18"/>
        </w:rPr>
        <w:t xml:space="preserve"> </w:t>
      </w:r>
    </w:p>
    <w:p w14:paraId="5C5E4509" w14:textId="77777777" w:rsidR="00BA71DB" w:rsidRDefault="00BA71DB" w:rsidP="00BA71DB">
      <w:pPr>
        <w:numPr>
          <w:ilvl w:val="0"/>
          <w:numId w:val="25"/>
        </w:numPr>
        <w:spacing w:after="180"/>
        <w:rPr>
          <w:rFonts w:cs="Arial"/>
          <w:sz w:val="22"/>
          <w:szCs w:val="18"/>
        </w:rPr>
      </w:pPr>
      <w:r>
        <w:rPr>
          <w:rFonts w:cs="Arial"/>
          <w:b/>
          <w:bCs/>
          <w:sz w:val="22"/>
          <w:szCs w:val="18"/>
        </w:rPr>
        <w:t>GIN trigram (pg_trgm)</w:t>
      </w:r>
      <w:r>
        <w:rPr>
          <w:rFonts w:cs="Arial"/>
          <w:sz w:val="22"/>
          <w:szCs w:val="18"/>
        </w:rPr>
        <w:t xml:space="preserve">, </w:t>
      </w:r>
      <w:r>
        <w:rPr>
          <w:rFonts w:eastAsia="Times New Roman" w:cs="Arial"/>
          <w:color w:val="auto"/>
          <w:sz w:val="22"/>
          <w:szCs w:val="22"/>
          <w:lang w:eastAsia="fr-FR"/>
        </w:rPr>
        <w:t xml:space="preserve">index spécialisé pour les recherches de texte partiel avec ILIKE '%...%', utile pour l’autocomplétion et les filtres sur les noms de villes, gares ou agences </w:t>
      </w:r>
    </w:p>
    <w:p w14:paraId="278B49E1" w14:textId="77777777" w:rsidR="00405811" w:rsidRDefault="00405811" w:rsidP="00BA71DB">
      <w:pPr>
        <w:spacing w:after="180"/>
        <w:rPr>
          <w:rFonts w:cs="Arial"/>
          <w:sz w:val="22"/>
          <w:szCs w:val="18"/>
        </w:rPr>
      </w:pPr>
      <w:r>
        <w:rPr>
          <w:rFonts w:cs="Arial"/>
          <w:sz w:val="22"/>
          <w:szCs w:val="18"/>
        </w:rPr>
        <w:t xml:space="preserve">Un </w:t>
      </w:r>
      <w:r>
        <w:rPr>
          <w:rFonts w:cs="Arial"/>
          <w:b/>
          <w:bCs/>
          <w:sz w:val="22"/>
          <w:szCs w:val="18"/>
        </w:rPr>
        <w:t>ANALYZE</w:t>
      </w:r>
      <w:r>
        <w:rPr>
          <w:rFonts w:cs="Arial"/>
          <w:sz w:val="22"/>
          <w:szCs w:val="18"/>
        </w:rPr>
        <w:t xml:space="preserve"> est exécuté après le bulk load pour mettre à jour les statistiques des tables dans PostgreSQL, ce qui permet au moteur de générer des plans d’exécution plus efficaces.</w:t>
      </w:r>
    </w:p>
    <w:p w14:paraId="259E0DE3" w14:textId="77777777" w:rsidR="00BA71DB" w:rsidRPr="00BA71DB" w:rsidRDefault="00BA71DB" w:rsidP="00BA71DB">
      <w:pPr>
        <w:spacing w:after="180"/>
        <w:rPr>
          <w:rFonts w:cs="Arial"/>
          <w:sz w:val="22"/>
          <w:szCs w:val="18"/>
        </w:rPr>
      </w:pPr>
      <w:r>
        <w:rPr>
          <w:rFonts w:cs="Arial"/>
          <w:sz w:val="22"/>
          <w:szCs w:val="18"/>
        </w:rPr>
        <w:t xml:space="preserve">Ces optimisations bénéficient directement aux endpoints </w:t>
      </w:r>
      <w:r>
        <w:rPr>
          <w:rFonts w:cs="Arial"/>
          <w:i/>
          <w:iCs/>
          <w:color w:val="00B050"/>
          <w:sz w:val="22"/>
          <w:szCs w:val="18"/>
        </w:rPr>
        <w:t>/routes</w:t>
      </w:r>
      <w:r>
        <w:rPr>
          <w:rFonts w:cs="Arial"/>
          <w:sz w:val="22"/>
          <w:szCs w:val="18"/>
        </w:rPr>
        <w:t xml:space="preserve">, </w:t>
      </w:r>
      <w:r>
        <w:rPr>
          <w:rFonts w:cs="Arial"/>
          <w:i/>
          <w:iCs/>
          <w:color w:val="00B050"/>
          <w:sz w:val="22"/>
          <w:szCs w:val="18"/>
        </w:rPr>
        <w:t>/routes/search</w:t>
      </w:r>
      <w:r>
        <w:rPr>
          <w:rFonts w:cs="Arial"/>
          <w:sz w:val="22"/>
          <w:szCs w:val="18"/>
        </w:rPr>
        <w:t xml:space="preserve">, </w:t>
      </w:r>
      <w:r>
        <w:rPr>
          <w:rFonts w:cs="Arial"/>
          <w:i/>
          <w:iCs/>
          <w:color w:val="00B050"/>
          <w:sz w:val="22"/>
          <w:szCs w:val="18"/>
        </w:rPr>
        <w:t>/routes/{trip_id}</w:t>
      </w:r>
      <w:r>
        <w:rPr>
          <w:rFonts w:cs="Arial"/>
          <w:sz w:val="22"/>
          <w:szCs w:val="18"/>
        </w:rPr>
        <w:t xml:space="preserve">, </w:t>
      </w:r>
      <w:r>
        <w:rPr>
          <w:rFonts w:cs="Arial"/>
          <w:i/>
          <w:iCs/>
          <w:color w:val="00B050"/>
          <w:sz w:val="22"/>
          <w:szCs w:val="18"/>
        </w:rPr>
        <w:t>/compare</w:t>
      </w:r>
      <w:r>
        <w:rPr>
          <w:rFonts w:cs="Arial"/>
          <w:sz w:val="22"/>
          <w:szCs w:val="18"/>
        </w:rPr>
        <w:t xml:space="preserve">, </w:t>
      </w:r>
      <w:r>
        <w:rPr>
          <w:rFonts w:cs="Arial"/>
          <w:i/>
          <w:iCs/>
          <w:color w:val="00B050"/>
          <w:sz w:val="22"/>
          <w:szCs w:val="18"/>
        </w:rPr>
        <w:t>/carbon/trip/{trip_id}</w:t>
      </w:r>
      <w:r>
        <w:rPr>
          <w:rFonts w:cs="Arial"/>
          <w:sz w:val="22"/>
          <w:szCs w:val="18"/>
        </w:rPr>
        <w:t xml:space="preserve">, </w:t>
      </w:r>
      <w:r>
        <w:rPr>
          <w:rFonts w:cs="Arial"/>
          <w:i/>
          <w:iCs/>
          <w:color w:val="00B050"/>
          <w:sz w:val="22"/>
          <w:szCs w:val="18"/>
        </w:rPr>
        <w:t>/carbon/estimate</w:t>
      </w:r>
      <w:r>
        <w:rPr>
          <w:rFonts w:cs="Arial"/>
          <w:sz w:val="22"/>
          <w:szCs w:val="18"/>
        </w:rPr>
        <w:t xml:space="preserve">, </w:t>
      </w:r>
      <w:r>
        <w:rPr>
          <w:rFonts w:cs="Arial"/>
          <w:i/>
          <w:iCs/>
          <w:color w:val="00B050"/>
          <w:sz w:val="22"/>
          <w:szCs w:val="18"/>
        </w:rPr>
        <w:t>/carbon/ranking</w:t>
      </w:r>
      <w:r>
        <w:rPr>
          <w:rFonts w:cs="Arial"/>
          <w:color w:val="00B050"/>
          <w:sz w:val="22"/>
          <w:szCs w:val="18"/>
        </w:rPr>
        <w:t xml:space="preserve"> </w:t>
      </w:r>
      <w:r>
        <w:rPr>
          <w:rFonts w:cs="Arial"/>
          <w:sz w:val="22"/>
          <w:szCs w:val="18"/>
        </w:rPr>
        <w:t xml:space="preserve">et </w:t>
      </w:r>
      <w:r>
        <w:rPr>
          <w:rFonts w:cs="Arial"/>
          <w:i/>
          <w:iCs/>
          <w:color w:val="00B050"/>
          <w:sz w:val="22"/>
          <w:szCs w:val="18"/>
        </w:rPr>
        <w:t>/carbon/factors</w:t>
      </w:r>
      <w:r>
        <w:rPr>
          <w:rFonts w:cs="Arial"/>
          <w:sz w:val="22"/>
          <w:szCs w:val="18"/>
        </w:rPr>
        <w:t>, améliorant les performances des requêtes liées à la consultation des trajets, à la comparaison des modes de transport et aux analyses environnementales.</w:t>
      </w:r>
    </w:p>
    <w:p w14:paraId="3B878C71" w14:textId="77777777" w:rsidR="000808BC" w:rsidRPr="003667D9" w:rsidRDefault="000808BC" w:rsidP="003667D9">
      <w:pPr>
        <w:spacing w:after="180"/>
        <w:rPr>
          <w:rFonts w:cs="Arial"/>
          <w:sz w:val="22"/>
          <w:szCs w:val="18"/>
        </w:rPr>
      </w:pPr>
      <w:r>
        <w:rPr>
          <w:rFonts w:cs="Arial"/>
        </w:rPr>
        <w:br w:type="page"/>
      </w:r>
    </w:p>
    <w:p w14:paraId="5A238FC2" w14:textId="77777777" w:rsidR="00457601" w:rsidRPr="00457601" w:rsidRDefault="00457601" w:rsidP="00DF6CD2">
      <w:pPr>
        <w:pStyle w:val="Titre1"/>
        <w:rPr>
          <w:rFonts w:cs="Arial"/>
        </w:rPr>
      </w:pPr>
      <w:bookmarkStart w:id="9" w:name="_Toc224256934"/>
      <w:r>
        <w:rPr>
          <w:rFonts w:cs="Arial"/>
        </w:rPr>
        <w:lastRenderedPageBreak/>
        <w:t>API</w:t>
      </w:r>
      <w:bookmarkEnd w:id="9"/>
    </w:p>
    <w:p w14:paraId="214EF4F9" w14:textId="77777777" w:rsidR="00860C45" w:rsidRPr="00860C45" w:rsidRDefault="00860C45" w:rsidP="00860C45">
      <w:pPr>
        <w:spacing w:before="240" w:after="240"/>
        <w:rPr>
          <w:rFonts w:cs="Arial"/>
          <w:b/>
          <w:bCs/>
        </w:rPr>
      </w:pPr>
      <w:r>
        <w:rPr>
          <w:rFonts w:cs="Arial"/>
          <w:b/>
          <w:bCs/>
        </w:rPr>
        <w:t>Architecture</w:t>
      </w:r>
    </w:p>
    <w:p w14:paraId="6D18B2B8" w14:textId="77777777" w:rsidR="00860C45" w:rsidRPr="00860C45" w:rsidRDefault="00860C45" w:rsidP="00860C45">
      <w:pPr>
        <w:spacing w:after="240"/>
        <w:rPr>
          <w:rFonts w:cs="Arial"/>
          <w:sz w:val="22"/>
          <w:szCs w:val="22"/>
        </w:rPr>
      </w:pPr>
      <w:r>
        <w:rPr>
          <w:rFonts w:cs="Arial"/>
          <w:sz w:val="22"/>
          <w:szCs w:val="22"/>
        </w:rPr>
        <w:t>L’API que nous avons développée constitue la couche d’exposition des données et permet aux applications clientes d’interroger la base de données PostgreSQL de manière structurée et sécurisée.</w:t>
      </w:r>
    </w:p>
    <w:p w14:paraId="678D3ADF" w14:textId="77777777" w:rsidR="00860C45" w:rsidRPr="00860C45" w:rsidRDefault="00860C45" w:rsidP="00860C45">
      <w:pPr>
        <w:rPr>
          <w:rFonts w:cs="Arial"/>
          <w:sz w:val="22"/>
          <w:szCs w:val="22"/>
        </w:rPr>
      </w:pPr>
      <w:r>
        <w:rPr>
          <w:rFonts w:cs="Arial"/>
          <w:sz w:val="22"/>
          <w:szCs w:val="22"/>
        </w:rPr>
        <w:t>L’API repose sur une architecture REST et expose l’ensemble de ses endpoints sous le préfixe :</w:t>
      </w:r>
    </w:p>
    <w:p w14:paraId="30186AC8" w14:textId="77777777" w:rsidR="00860C45" w:rsidRPr="00860C45" w:rsidRDefault="00860C45" w:rsidP="00860C45">
      <w:pPr>
        <w:rPr>
          <w:rFonts w:cs="Arial"/>
          <w:sz w:val="22"/>
          <w:szCs w:val="22"/>
        </w:rPr>
      </w:pPr>
      <w:r>
        <w:rPr>
          <w:rFonts w:cs="Arial"/>
          <w:i/>
          <w:iCs/>
          <w:color w:val="00B050"/>
          <w:sz w:val="22"/>
          <w:szCs w:val="22"/>
        </w:rPr>
        <w:t>/api/v1</w:t>
      </w:r>
      <w:r>
        <w:rPr>
          <w:rFonts w:cs="Arial"/>
          <w:sz w:val="22"/>
          <w:szCs w:val="22"/>
        </w:rPr>
        <w:t xml:space="preserve">. Toutes les réponses sont renvoyées au format JSON et suivent une structure homogène contenant notamment le statut de la requête, les informations de pagination et les données retournées. </w:t>
      </w:r>
    </w:p>
    <w:p w14:paraId="33C55878" w14:textId="77777777" w:rsidR="00860C45" w:rsidRPr="00860C45" w:rsidRDefault="00860C45" w:rsidP="00860C45">
      <w:pPr>
        <w:spacing w:before="240"/>
        <w:rPr>
          <w:rFonts w:cs="Arial"/>
          <w:sz w:val="22"/>
          <w:szCs w:val="22"/>
        </w:rPr>
      </w:pPr>
      <w:r>
        <w:rPr>
          <w:rFonts w:cs="Arial"/>
          <w:sz w:val="22"/>
          <w:szCs w:val="22"/>
        </w:rPr>
        <w:t xml:space="preserve">La pagination est appliquée par défaut pour limiter la taille des réponses et optimiser les performances. Les paramètres </w:t>
      </w:r>
      <w:r>
        <w:rPr>
          <w:rFonts w:cs="Arial"/>
          <w:i/>
          <w:iCs/>
          <w:sz w:val="22"/>
          <w:szCs w:val="22"/>
        </w:rPr>
        <w:t>page</w:t>
      </w:r>
      <w:r>
        <w:rPr>
          <w:rFonts w:cs="Arial"/>
          <w:sz w:val="22"/>
          <w:szCs w:val="22"/>
        </w:rPr>
        <w:t xml:space="preserve"> et </w:t>
      </w:r>
      <w:r>
        <w:rPr>
          <w:rFonts w:cs="Arial"/>
          <w:i/>
          <w:iCs/>
          <w:sz w:val="22"/>
          <w:szCs w:val="22"/>
        </w:rPr>
        <w:t>page_size</w:t>
      </w:r>
      <w:r>
        <w:rPr>
          <w:rFonts w:cs="Arial"/>
          <w:sz w:val="22"/>
          <w:szCs w:val="22"/>
        </w:rPr>
        <w:t xml:space="preserve"> permettent de naviguer dans les résultats, avec une taille maximale de page fixée à 500 enregistrements. L’API interagit directement avec les tables analytiques </w:t>
      </w:r>
      <w:r>
        <w:rPr>
          <w:rFonts w:cs="Arial"/>
          <w:i/>
          <w:iCs/>
          <w:sz w:val="22"/>
          <w:szCs w:val="22"/>
        </w:rPr>
        <w:t>gold_routes</w:t>
      </w:r>
      <w:r>
        <w:rPr>
          <w:rFonts w:cs="Arial"/>
          <w:sz w:val="22"/>
          <w:szCs w:val="22"/>
        </w:rPr>
        <w:t xml:space="preserve"> et </w:t>
      </w:r>
      <w:r>
        <w:rPr>
          <w:rFonts w:cs="Arial"/>
          <w:i/>
          <w:iCs/>
          <w:sz w:val="22"/>
          <w:szCs w:val="22"/>
        </w:rPr>
        <w:t>gold_compare_best</w:t>
      </w:r>
      <w:r>
        <w:rPr>
          <w:rFonts w:cs="Arial"/>
          <w:sz w:val="22"/>
          <w:szCs w:val="22"/>
        </w:rPr>
        <w:t xml:space="preserve">, spécifiées dans la partie </w:t>
      </w:r>
      <w:r>
        <w:rPr>
          <w:rFonts w:cs="Arial"/>
          <w:i/>
          <w:iCs/>
          <w:sz w:val="22"/>
          <w:szCs w:val="22"/>
        </w:rPr>
        <w:t>Base de données</w:t>
      </w:r>
      <w:r>
        <w:rPr>
          <w:rFonts w:cs="Arial"/>
          <w:sz w:val="22"/>
          <w:szCs w:val="22"/>
        </w:rPr>
        <w:t>.</w:t>
      </w:r>
    </w:p>
    <w:p w14:paraId="34DFB6F5" w14:textId="77777777" w:rsidR="00860C45" w:rsidRPr="00860C45" w:rsidRDefault="00860C45" w:rsidP="00860C45">
      <w:pPr>
        <w:spacing w:before="240" w:after="240"/>
        <w:rPr>
          <w:rFonts w:cs="Arial"/>
          <w:b/>
          <w:bCs/>
          <w:szCs w:val="24"/>
        </w:rPr>
      </w:pPr>
      <w:r>
        <w:rPr>
          <w:rFonts w:cs="Arial"/>
          <w:b/>
          <w:bCs/>
          <w:szCs w:val="24"/>
        </w:rPr>
        <w:t>Organisation des endpoints</w:t>
      </w:r>
    </w:p>
    <w:p w14:paraId="057A93CC" w14:textId="77777777" w:rsidR="00860C45" w:rsidRPr="00860C45" w:rsidRDefault="00860C45" w:rsidP="00860C45">
      <w:pPr>
        <w:spacing w:after="240"/>
        <w:rPr>
          <w:rFonts w:cs="Arial"/>
          <w:sz w:val="22"/>
          <w:szCs w:val="22"/>
        </w:rPr>
      </w:pPr>
      <w:r>
        <w:rPr>
          <w:rFonts w:cs="Arial"/>
          <w:sz w:val="22"/>
          <w:szCs w:val="22"/>
        </w:rPr>
        <w:t>Les endpoints de l’API sont organisés en plusieurs catégories correspondant aux différents usages des données.</w:t>
      </w:r>
    </w:p>
    <w:p w14:paraId="4A84B4D4" w14:textId="77777777" w:rsidR="00860C45" w:rsidRPr="00860C45" w:rsidRDefault="00860C45" w:rsidP="00860C45">
      <w:pPr>
        <w:pStyle w:val="Titre5"/>
        <w:spacing w:after="240"/>
        <w:rPr>
          <w:rFonts w:ascii="Arial" w:hAnsi="Arial" w:cs="Arial"/>
        </w:rPr>
      </w:pPr>
      <w:r>
        <w:rPr>
          <w:rFonts w:ascii="Arial" w:hAnsi="Arial" w:cs="Arial"/>
        </w:rPr>
        <w:t>Import et orchestration du pipeline</w:t>
      </w:r>
    </w:p>
    <w:p w14:paraId="6019F9F0" w14:textId="77777777" w:rsidR="00860C45" w:rsidRPr="00860C45" w:rsidRDefault="00860C45" w:rsidP="00860C45">
      <w:pPr>
        <w:spacing w:after="240"/>
        <w:rPr>
          <w:rFonts w:cs="Arial"/>
          <w:sz w:val="22"/>
          <w:szCs w:val="22"/>
        </w:rPr>
      </w:pPr>
      <w:r>
        <w:rPr>
          <w:rFonts w:cs="Arial"/>
          <w:sz w:val="22"/>
          <w:szCs w:val="22"/>
        </w:rPr>
        <w:t xml:space="preserve">Certains endpoints permettent de déclencher les différentes étapes du pipeline ETL directement via l’API. Ils renvoient un compte-rendu détaillé de l’opération, comme cité en page 3 de ce rapport. </w:t>
      </w:r>
    </w:p>
    <w:p w14:paraId="5F964C9E" w14:textId="77777777" w:rsidR="00860C45" w:rsidRPr="00860C45" w:rsidRDefault="00860C45" w:rsidP="00860C45">
      <w:pPr>
        <w:rPr>
          <w:rFonts w:cs="Arial"/>
          <w:sz w:val="22"/>
          <w:szCs w:val="22"/>
        </w:rPr>
      </w:pPr>
      <w:r>
        <w:rPr>
          <w:rFonts w:cs="Arial"/>
          <w:sz w:val="22"/>
          <w:szCs w:val="22"/>
        </w:rPr>
        <w:t>Par exemple :</w:t>
      </w:r>
    </w:p>
    <w:p w14:paraId="240640D6" w14:textId="77777777" w:rsidR="00860C45" w:rsidRPr="00860C45" w:rsidRDefault="00860C45" w:rsidP="00860C45">
      <w:pPr>
        <w:numPr>
          <w:ilvl w:val="0"/>
          <w:numId w:val="19"/>
        </w:numPr>
        <w:rPr>
          <w:rFonts w:cs="Arial"/>
          <w:sz w:val="22"/>
          <w:szCs w:val="22"/>
        </w:rPr>
      </w:pPr>
      <w:r>
        <w:rPr>
          <w:rFonts w:cs="Arial"/>
          <w:sz w:val="22"/>
          <w:szCs w:val="22"/>
        </w:rPr>
        <w:t xml:space="preserve">POST </w:t>
      </w:r>
      <w:r>
        <w:rPr>
          <w:rFonts w:cs="Arial"/>
          <w:i/>
          <w:iCs/>
          <w:color w:val="00B050"/>
          <w:sz w:val="22"/>
          <w:szCs w:val="22"/>
        </w:rPr>
        <w:t>/import/routes/train</w:t>
      </w:r>
      <w:r>
        <w:rPr>
          <w:rFonts w:cs="Arial"/>
          <w:color w:val="00B050"/>
          <w:sz w:val="22"/>
          <w:szCs w:val="22"/>
        </w:rPr>
        <w:t xml:space="preserve"> </w:t>
      </w:r>
      <w:r>
        <w:rPr>
          <w:rFonts w:cs="Arial"/>
          <w:sz w:val="22"/>
          <w:szCs w:val="22"/>
        </w:rPr>
        <w:t>: import des trajets ferroviaires (données GTFS et BackOnTrack)</w:t>
      </w:r>
    </w:p>
    <w:p w14:paraId="1EF219C0" w14:textId="77777777" w:rsidR="00860C45" w:rsidRPr="00860C45" w:rsidRDefault="00860C45" w:rsidP="00860C45">
      <w:pPr>
        <w:numPr>
          <w:ilvl w:val="0"/>
          <w:numId w:val="19"/>
        </w:numPr>
        <w:rPr>
          <w:rFonts w:cs="Arial"/>
          <w:sz w:val="22"/>
          <w:szCs w:val="22"/>
        </w:rPr>
      </w:pPr>
      <w:r>
        <w:rPr>
          <w:rFonts w:cs="Arial"/>
          <w:sz w:val="22"/>
          <w:szCs w:val="22"/>
        </w:rPr>
        <w:t xml:space="preserve">POST </w:t>
      </w:r>
      <w:r>
        <w:rPr>
          <w:rFonts w:cs="Arial"/>
          <w:i/>
          <w:iCs/>
          <w:color w:val="00B050"/>
          <w:sz w:val="22"/>
          <w:szCs w:val="22"/>
        </w:rPr>
        <w:t>/import/routes/flight</w:t>
      </w:r>
      <w:r>
        <w:rPr>
          <w:rFonts w:cs="Arial"/>
          <w:color w:val="00B050"/>
          <w:sz w:val="22"/>
          <w:szCs w:val="22"/>
        </w:rPr>
        <w:t xml:space="preserve"> </w:t>
      </w:r>
      <w:r>
        <w:rPr>
          <w:rFonts w:cs="Arial"/>
          <w:sz w:val="22"/>
          <w:szCs w:val="22"/>
        </w:rPr>
        <w:t>: import des trajets aériens, calcul des distances et émissions CO</w:t>
      </w:r>
      <w:r>
        <w:rPr>
          <w:rFonts w:cs="Arial"/>
          <w:sz w:val="22"/>
          <w:szCs w:val="22"/>
          <w:vertAlign w:val="subscript"/>
        </w:rPr>
        <w:t>2</w:t>
      </w:r>
    </w:p>
    <w:p w14:paraId="48D2A395" w14:textId="77777777" w:rsidR="00860C45" w:rsidRPr="00860C45" w:rsidRDefault="00860C45" w:rsidP="00860C45">
      <w:pPr>
        <w:numPr>
          <w:ilvl w:val="0"/>
          <w:numId w:val="19"/>
        </w:numPr>
        <w:spacing w:after="240"/>
        <w:rPr>
          <w:rFonts w:cs="Arial"/>
          <w:sz w:val="22"/>
          <w:szCs w:val="22"/>
        </w:rPr>
      </w:pPr>
      <w:r>
        <w:rPr>
          <w:rFonts w:cs="Arial"/>
          <w:sz w:val="22"/>
          <w:szCs w:val="22"/>
        </w:rPr>
        <w:t xml:space="preserve">POST </w:t>
      </w:r>
      <w:r>
        <w:rPr>
          <w:rFonts w:cs="Arial"/>
          <w:i/>
          <w:iCs/>
          <w:color w:val="00B050"/>
          <w:sz w:val="22"/>
          <w:szCs w:val="22"/>
        </w:rPr>
        <w:t>/import/full</w:t>
      </w:r>
      <w:r>
        <w:rPr>
          <w:rFonts w:cs="Arial"/>
          <w:color w:val="00B050"/>
          <w:sz w:val="22"/>
          <w:szCs w:val="22"/>
        </w:rPr>
        <w:t xml:space="preserve"> </w:t>
      </w:r>
      <w:r>
        <w:rPr>
          <w:rFonts w:cs="Arial"/>
          <w:sz w:val="22"/>
          <w:szCs w:val="22"/>
        </w:rPr>
        <w:t>: exécution complète du pipeline ETL</w:t>
      </w:r>
    </w:p>
    <w:p w14:paraId="53DA53E2" w14:textId="77777777" w:rsidR="00860C45" w:rsidRPr="00860C45" w:rsidRDefault="00860C45" w:rsidP="00860C45">
      <w:pPr>
        <w:pStyle w:val="Titre5"/>
        <w:spacing w:after="240"/>
        <w:rPr>
          <w:rFonts w:ascii="Arial" w:hAnsi="Arial" w:cs="Arial"/>
        </w:rPr>
      </w:pPr>
      <w:r>
        <w:rPr>
          <w:rFonts w:ascii="Arial" w:hAnsi="Arial" w:cs="Arial"/>
        </w:rPr>
        <w:t>Consultation des données</w:t>
      </w:r>
    </w:p>
    <w:p w14:paraId="79D0ED40" w14:textId="77777777" w:rsidR="00860C45" w:rsidRPr="00860C45" w:rsidRDefault="00860C45" w:rsidP="00860C45">
      <w:pPr>
        <w:spacing w:after="240"/>
        <w:rPr>
          <w:rFonts w:cs="Arial"/>
          <w:sz w:val="22"/>
          <w:szCs w:val="22"/>
        </w:rPr>
      </w:pPr>
      <w:r>
        <w:rPr>
          <w:rFonts w:cs="Arial"/>
          <w:sz w:val="22"/>
          <w:szCs w:val="22"/>
        </w:rPr>
        <w:t>La consultation des données constitue l’usage principal de l’API. Les endpoints correspondants permettent d’interroger les tables analytiques produites par le pipeline.</w:t>
      </w:r>
    </w:p>
    <w:p w14:paraId="5F2A9C85" w14:textId="77777777" w:rsidR="00860C45" w:rsidRPr="00860C45" w:rsidRDefault="00860C45" w:rsidP="00860C45">
      <w:pPr>
        <w:rPr>
          <w:rFonts w:cs="Arial"/>
          <w:sz w:val="22"/>
          <w:szCs w:val="22"/>
        </w:rPr>
      </w:pPr>
      <w:r>
        <w:rPr>
          <w:rFonts w:cs="Arial"/>
          <w:sz w:val="22"/>
          <w:szCs w:val="22"/>
        </w:rPr>
        <w:t>Les endpoints les plus importants sont :</w:t>
      </w:r>
    </w:p>
    <w:p w14:paraId="00C3864B" w14:textId="77777777" w:rsidR="00860C45" w:rsidRPr="00860C45" w:rsidRDefault="00860C45" w:rsidP="00860C45">
      <w:pPr>
        <w:numPr>
          <w:ilvl w:val="0"/>
          <w:numId w:val="20"/>
        </w:numPr>
        <w:rPr>
          <w:rFonts w:cs="Arial"/>
          <w:sz w:val="22"/>
          <w:szCs w:val="22"/>
        </w:rPr>
      </w:pPr>
      <w:r>
        <w:rPr>
          <w:rFonts w:cs="Arial"/>
          <w:sz w:val="22"/>
          <w:szCs w:val="22"/>
        </w:rPr>
        <w:t xml:space="preserve">GET </w:t>
      </w:r>
      <w:r>
        <w:rPr>
          <w:rFonts w:cs="Arial"/>
          <w:i/>
          <w:iCs/>
          <w:color w:val="00B050"/>
          <w:sz w:val="22"/>
          <w:szCs w:val="22"/>
        </w:rPr>
        <w:t>/routes</w:t>
      </w:r>
      <w:r>
        <w:rPr>
          <w:rFonts w:cs="Arial"/>
          <w:color w:val="00B050"/>
          <w:sz w:val="22"/>
          <w:szCs w:val="22"/>
        </w:rPr>
        <w:t xml:space="preserve"> </w:t>
      </w:r>
      <w:r>
        <w:rPr>
          <w:rFonts w:cs="Arial"/>
          <w:sz w:val="22"/>
          <w:szCs w:val="22"/>
        </w:rPr>
        <w:t xml:space="preserve">: consultation paginée de la table </w:t>
      </w:r>
      <w:r>
        <w:rPr>
          <w:rFonts w:cs="Arial"/>
          <w:i/>
          <w:iCs/>
          <w:sz w:val="22"/>
          <w:szCs w:val="22"/>
        </w:rPr>
        <w:t>gold_routes</w:t>
      </w:r>
    </w:p>
    <w:p w14:paraId="680394E7" w14:textId="77777777" w:rsidR="00860C45" w:rsidRPr="00860C45" w:rsidRDefault="00860C45" w:rsidP="00860C45">
      <w:pPr>
        <w:numPr>
          <w:ilvl w:val="0"/>
          <w:numId w:val="20"/>
        </w:numPr>
        <w:rPr>
          <w:rFonts w:cs="Arial"/>
          <w:sz w:val="22"/>
          <w:szCs w:val="22"/>
        </w:rPr>
      </w:pPr>
      <w:r>
        <w:rPr>
          <w:rFonts w:cs="Arial"/>
          <w:sz w:val="22"/>
          <w:szCs w:val="22"/>
        </w:rPr>
        <w:t xml:space="preserve">GET </w:t>
      </w:r>
      <w:r>
        <w:rPr>
          <w:rFonts w:cs="Arial"/>
          <w:i/>
          <w:iCs/>
          <w:color w:val="00B050"/>
          <w:sz w:val="22"/>
          <w:szCs w:val="22"/>
        </w:rPr>
        <w:t>/routes/download</w:t>
      </w:r>
      <w:r>
        <w:rPr>
          <w:rFonts w:cs="Arial"/>
          <w:color w:val="00B050"/>
          <w:sz w:val="22"/>
          <w:szCs w:val="22"/>
        </w:rPr>
        <w:t xml:space="preserve"> </w:t>
      </w:r>
      <w:r>
        <w:rPr>
          <w:rFonts w:cs="Arial"/>
          <w:sz w:val="22"/>
          <w:szCs w:val="22"/>
        </w:rPr>
        <w:t>: export CSV des trajets</w:t>
      </w:r>
    </w:p>
    <w:p w14:paraId="6C7461D2" w14:textId="77777777" w:rsidR="00860C45" w:rsidRPr="00860C45" w:rsidRDefault="00860C45" w:rsidP="00860C45">
      <w:pPr>
        <w:numPr>
          <w:ilvl w:val="0"/>
          <w:numId w:val="20"/>
        </w:numPr>
        <w:rPr>
          <w:rFonts w:cs="Arial"/>
          <w:sz w:val="22"/>
          <w:szCs w:val="22"/>
        </w:rPr>
      </w:pPr>
      <w:r>
        <w:rPr>
          <w:rFonts w:cs="Arial"/>
          <w:sz w:val="22"/>
          <w:szCs w:val="22"/>
        </w:rPr>
        <w:t xml:space="preserve">GET </w:t>
      </w:r>
      <w:r>
        <w:rPr>
          <w:rFonts w:cs="Arial"/>
          <w:i/>
          <w:iCs/>
          <w:color w:val="00B050"/>
          <w:sz w:val="22"/>
          <w:szCs w:val="22"/>
        </w:rPr>
        <w:t>/compare</w:t>
      </w:r>
      <w:r>
        <w:rPr>
          <w:rFonts w:cs="Arial"/>
          <w:color w:val="00B050"/>
          <w:sz w:val="22"/>
          <w:szCs w:val="22"/>
        </w:rPr>
        <w:t xml:space="preserve"> </w:t>
      </w:r>
      <w:r>
        <w:rPr>
          <w:rFonts w:cs="Arial"/>
          <w:sz w:val="22"/>
          <w:szCs w:val="22"/>
        </w:rPr>
        <w:t xml:space="preserve">: consultation paginée de la table </w:t>
      </w:r>
      <w:r>
        <w:rPr>
          <w:rFonts w:cs="Arial"/>
          <w:i/>
          <w:iCs/>
          <w:sz w:val="22"/>
          <w:szCs w:val="22"/>
        </w:rPr>
        <w:t>gold_compare_best</w:t>
      </w:r>
    </w:p>
    <w:p w14:paraId="47D99CEA" w14:textId="77777777" w:rsidR="00860C45" w:rsidRPr="00860C45" w:rsidRDefault="00860C45" w:rsidP="00860C45">
      <w:pPr>
        <w:spacing w:before="240" w:after="240"/>
        <w:rPr>
          <w:rFonts w:cs="Arial"/>
          <w:sz w:val="22"/>
          <w:szCs w:val="22"/>
        </w:rPr>
      </w:pPr>
      <w:r>
        <w:rPr>
          <w:rFonts w:cs="Arial"/>
          <w:sz w:val="22"/>
          <w:szCs w:val="22"/>
        </w:rPr>
        <w:t>Ces endpoints acceptent différents paramètres de filtrage, comme la ville de départ, le pays, le mode de transport, la distance, les émissions de CO</w:t>
      </w:r>
      <w:r>
        <w:rPr>
          <w:rFonts w:ascii="Cambria Math" w:hAnsi="Cambria Math" w:cs="Cambria Math"/>
          <w:sz w:val="22"/>
          <w:szCs w:val="22"/>
        </w:rPr>
        <w:t>₂</w:t>
      </w:r>
      <w:r>
        <w:rPr>
          <w:rFonts w:cs="Arial"/>
          <w:sz w:val="22"/>
          <w:szCs w:val="22"/>
        </w:rPr>
        <w:t>, etc. pour réaliser des requêtes ciblées.</w:t>
      </w:r>
    </w:p>
    <w:p w14:paraId="02659EF1" w14:textId="77777777" w:rsidR="00860C45" w:rsidRPr="00860C45" w:rsidRDefault="00860C45" w:rsidP="00860C45">
      <w:pPr>
        <w:pStyle w:val="Titre5"/>
        <w:spacing w:after="240"/>
        <w:rPr>
          <w:rFonts w:ascii="Arial" w:hAnsi="Arial" w:cs="Arial"/>
        </w:rPr>
      </w:pPr>
      <w:r>
        <w:rPr>
          <w:rFonts w:ascii="Arial" w:hAnsi="Arial" w:cs="Arial"/>
        </w:rPr>
        <w:t>Recherche et analyse</w:t>
      </w:r>
    </w:p>
    <w:p w14:paraId="0F8F468A" w14:textId="77777777" w:rsidR="00860C45" w:rsidRPr="00860C45" w:rsidRDefault="00860C45" w:rsidP="00860C45">
      <w:pPr>
        <w:rPr>
          <w:rFonts w:cs="Arial"/>
          <w:sz w:val="22"/>
          <w:szCs w:val="22"/>
        </w:rPr>
      </w:pPr>
      <w:r>
        <w:rPr>
          <w:rFonts w:cs="Arial"/>
          <w:sz w:val="22"/>
          <w:szCs w:val="22"/>
        </w:rPr>
        <w:t>L’API propose également plusieurs endpoints dédiés à la recherche de trajets et à l’analyse des données. Par exemple :</w:t>
      </w:r>
    </w:p>
    <w:p w14:paraId="0691DE73" w14:textId="77777777" w:rsidR="00860C45" w:rsidRPr="00860C45" w:rsidRDefault="00860C45" w:rsidP="00860C45">
      <w:pPr>
        <w:numPr>
          <w:ilvl w:val="0"/>
          <w:numId w:val="21"/>
        </w:numPr>
        <w:rPr>
          <w:rFonts w:cs="Arial"/>
          <w:sz w:val="22"/>
          <w:szCs w:val="22"/>
        </w:rPr>
      </w:pPr>
      <w:r>
        <w:rPr>
          <w:rFonts w:cs="Arial"/>
          <w:sz w:val="22"/>
          <w:szCs w:val="22"/>
        </w:rPr>
        <w:t xml:space="preserve">GET </w:t>
      </w:r>
      <w:r>
        <w:rPr>
          <w:rFonts w:cs="Arial"/>
          <w:i/>
          <w:iCs/>
          <w:color w:val="00B050"/>
          <w:sz w:val="22"/>
          <w:szCs w:val="22"/>
        </w:rPr>
        <w:t xml:space="preserve">/routes/search </w:t>
      </w:r>
      <w:r>
        <w:rPr>
          <w:rFonts w:cs="Arial"/>
          <w:sz w:val="22"/>
          <w:szCs w:val="22"/>
        </w:rPr>
        <w:t>: recherche de trajets ferroviaires entre deux villes ou deux gares</w:t>
      </w:r>
    </w:p>
    <w:p w14:paraId="250FA2BE" w14:textId="77777777" w:rsidR="00860C45" w:rsidRPr="00860C45" w:rsidRDefault="00860C45" w:rsidP="00860C45">
      <w:pPr>
        <w:numPr>
          <w:ilvl w:val="0"/>
          <w:numId w:val="21"/>
        </w:numPr>
        <w:rPr>
          <w:rFonts w:cs="Arial"/>
          <w:sz w:val="22"/>
          <w:szCs w:val="22"/>
        </w:rPr>
      </w:pPr>
      <w:r>
        <w:rPr>
          <w:rFonts w:cs="Arial"/>
          <w:sz w:val="22"/>
          <w:szCs w:val="22"/>
        </w:rPr>
        <w:t xml:space="preserve">GET </w:t>
      </w:r>
      <w:r>
        <w:rPr>
          <w:rFonts w:cs="Arial"/>
          <w:i/>
          <w:iCs/>
          <w:color w:val="00B050"/>
          <w:sz w:val="22"/>
          <w:szCs w:val="22"/>
        </w:rPr>
        <w:t>/carbon/trip/{trip_id}</w:t>
      </w:r>
      <w:r>
        <w:rPr>
          <w:rFonts w:cs="Arial"/>
          <w:sz w:val="22"/>
          <w:szCs w:val="22"/>
        </w:rPr>
        <w:t xml:space="preserve"> : calcul du bilan carbone d’un trajet spécifique</w:t>
      </w:r>
    </w:p>
    <w:p w14:paraId="63E31901" w14:textId="77777777" w:rsidR="00860C45" w:rsidRPr="00860C45" w:rsidRDefault="00860C45" w:rsidP="00860C45">
      <w:pPr>
        <w:numPr>
          <w:ilvl w:val="0"/>
          <w:numId w:val="21"/>
        </w:numPr>
        <w:rPr>
          <w:rFonts w:cs="Arial"/>
          <w:sz w:val="22"/>
          <w:szCs w:val="22"/>
        </w:rPr>
      </w:pPr>
      <w:r>
        <w:rPr>
          <w:rFonts w:cs="Arial"/>
          <w:sz w:val="22"/>
          <w:szCs w:val="22"/>
        </w:rPr>
        <w:t xml:space="preserve">GET </w:t>
      </w:r>
      <w:r>
        <w:rPr>
          <w:rFonts w:cs="Arial"/>
          <w:i/>
          <w:iCs/>
          <w:color w:val="00B050"/>
          <w:sz w:val="22"/>
          <w:szCs w:val="22"/>
        </w:rPr>
        <w:t>/carbon/estimate</w:t>
      </w:r>
      <w:r>
        <w:rPr>
          <w:rFonts w:cs="Arial"/>
          <w:color w:val="00B050"/>
          <w:sz w:val="22"/>
          <w:szCs w:val="22"/>
        </w:rPr>
        <w:t xml:space="preserve"> </w:t>
      </w:r>
      <w:r>
        <w:rPr>
          <w:rFonts w:cs="Arial"/>
          <w:sz w:val="22"/>
          <w:szCs w:val="22"/>
        </w:rPr>
        <w:t>: estimation des émissions de CO</w:t>
      </w:r>
      <w:r>
        <w:rPr>
          <w:rFonts w:ascii="Cambria Math" w:hAnsi="Cambria Math" w:cs="Cambria Math"/>
          <w:sz w:val="22"/>
          <w:szCs w:val="22"/>
        </w:rPr>
        <w:t>₂</w:t>
      </w:r>
      <w:r>
        <w:rPr>
          <w:rFonts w:cs="Arial"/>
          <w:sz w:val="22"/>
          <w:szCs w:val="22"/>
        </w:rPr>
        <w:t xml:space="preserve"> pour un trajet entre deux villes</w:t>
      </w:r>
    </w:p>
    <w:p w14:paraId="1A432E3B" w14:textId="77777777" w:rsidR="00860C45" w:rsidRPr="00860C45" w:rsidRDefault="00860C45" w:rsidP="00860C45">
      <w:pPr>
        <w:spacing w:before="240"/>
        <w:rPr>
          <w:rFonts w:cs="Arial"/>
          <w:sz w:val="22"/>
          <w:szCs w:val="22"/>
        </w:rPr>
      </w:pPr>
      <w:r>
        <w:rPr>
          <w:rFonts w:cs="Arial"/>
          <w:sz w:val="22"/>
          <w:szCs w:val="22"/>
        </w:rPr>
        <w:t>D’autres endpoints permettent de produire des analyses statistiques sur les données, comme la distribution des distances ou les émissions moyennes par tranche de distance.</w:t>
      </w:r>
    </w:p>
    <w:p w14:paraId="1E51525F" w14:textId="77777777" w:rsidR="00860C45" w:rsidRPr="00860C45" w:rsidRDefault="00860C45" w:rsidP="00860C45">
      <w:pPr>
        <w:spacing w:before="240" w:after="240"/>
        <w:rPr>
          <w:rFonts w:cs="Arial"/>
          <w:b/>
          <w:bCs/>
          <w:szCs w:val="24"/>
        </w:rPr>
      </w:pPr>
      <w:r>
        <w:rPr>
          <w:rFonts w:cs="Arial"/>
          <w:b/>
          <w:bCs/>
          <w:szCs w:val="24"/>
        </w:rPr>
        <w:lastRenderedPageBreak/>
        <w:t>Tests réalisés</w:t>
      </w:r>
    </w:p>
    <w:p w14:paraId="30D1BE2F" w14:textId="77777777" w:rsidR="00860C45" w:rsidRPr="00860C45" w:rsidRDefault="00773CC0" w:rsidP="00860C45">
      <w:pPr>
        <w:rPr>
          <w:rFonts w:cs="Arial"/>
          <w:sz w:val="22"/>
          <w:szCs w:val="22"/>
        </w:rPr>
      </w:pPr>
      <w:r>
        <w:rPr>
          <w:rFonts w:cs="Arial"/>
          <w:sz w:val="22"/>
          <w:szCs w:val="22"/>
        </w:rPr>
        <w:t>Nous avons réalisé plusieurs tests pour vérifier le bon fonctionnement de l’API et sa capacité à traiter des volumes de données importants. Les tests ont notamment porté sur :</w:t>
      </w:r>
    </w:p>
    <w:p w14:paraId="7979E956" w14:textId="77777777" w:rsidR="00860C45" w:rsidRPr="00860C45" w:rsidRDefault="00860C45" w:rsidP="00860C45">
      <w:pPr>
        <w:numPr>
          <w:ilvl w:val="0"/>
          <w:numId w:val="22"/>
        </w:numPr>
        <w:rPr>
          <w:rFonts w:cs="Arial"/>
          <w:sz w:val="22"/>
          <w:szCs w:val="22"/>
        </w:rPr>
      </w:pPr>
      <w:r>
        <w:rPr>
          <w:rFonts w:cs="Arial"/>
          <w:sz w:val="22"/>
          <w:szCs w:val="22"/>
        </w:rPr>
        <w:t>la validité des réponses JSON retournées par les endpoints</w:t>
      </w:r>
    </w:p>
    <w:p w14:paraId="54F98765" w14:textId="77777777" w:rsidR="00860C45" w:rsidRPr="00860C45" w:rsidRDefault="00860C45" w:rsidP="00860C45">
      <w:pPr>
        <w:numPr>
          <w:ilvl w:val="0"/>
          <w:numId w:val="22"/>
        </w:numPr>
        <w:rPr>
          <w:rFonts w:cs="Arial"/>
          <w:sz w:val="22"/>
          <w:szCs w:val="22"/>
        </w:rPr>
      </w:pPr>
      <w:r>
        <w:rPr>
          <w:rFonts w:cs="Arial"/>
          <w:sz w:val="22"/>
          <w:szCs w:val="22"/>
        </w:rPr>
        <w:t>la gestion de la pagination et des paramètres de filtrage</w:t>
      </w:r>
    </w:p>
    <w:p w14:paraId="03CC10FA" w14:textId="77777777" w:rsidR="00860C45" w:rsidRPr="00860C45" w:rsidRDefault="00860C45" w:rsidP="00860C45">
      <w:pPr>
        <w:numPr>
          <w:ilvl w:val="0"/>
          <w:numId w:val="22"/>
        </w:numPr>
        <w:rPr>
          <w:rFonts w:cs="Arial"/>
          <w:sz w:val="22"/>
          <w:szCs w:val="22"/>
        </w:rPr>
      </w:pPr>
      <w:r>
        <w:rPr>
          <w:rFonts w:cs="Arial"/>
          <w:sz w:val="22"/>
          <w:szCs w:val="22"/>
        </w:rPr>
        <w:t>les performances des requêtes sur de grands volumes de donnée</w:t>
      </w:r>
    </w:p>
    <w:p w14:paraId="46B3EDC8" w14:textId="77777777" w:rsidR="00860C45" w:rsidRPr="00860C45" w:rsidRDefault="00860C45" w:rsidP="00773CC0">
      <w:pPr>
        <w:numPr>
          <w:ilvl w:val="0"/>
          <w:numId w:val="22"/>
        </w:numPr>
        <w:spacing w:after="240"/>
        <w:rPr>
          <w:rFonts w:cs="Arial"/>
          <w:sz w:val="22"/>
          <w:szCs w:val="22"/>
        </w:rPr>
      </w:pPr>
      <w:r>
        <w:rPr>
          <w:rFonts w:cs="Arial"/>
          <w:sz w:val="22"/>
          <w:szCs w:val="22"/>
        </w:rPr>
        <w:t>la cohérence des résultats retournés avec les données présentes dans la base PostgreSQL</w:t>
      </w:r>
    </w:p>
    <w:p w14:paraId="7FB5FCE0" w14:textId="77777777" w:rsidR="00860C45" w:rsidRPr="00860C45" w:rsidRDefault="00773CC0" w:rsidP="00860C45">
      <w:pPr>
        <w:rPr>
          <w:rFonts w:cs="Arial"/>
          <w:sz w:val="22"/>
          <w:szCs w:val="22"/>
        </w:rPr>
      </w:pPr>
      <w:r>
        <w:rPr>
          <w:rFonts w:cs="Arial"/>
          <w:sz w:val="22"/>
          <w:szCs w:val="22"/>
        </w:rPr>
        <w:t xml:space="preserve">Nous avons aussi effectué des tests de charge, ici pour s’assurer que l’API est capable de traiter un grand nombre de requêtes. Les résultats montrent que l’API peut traiter jusqu’à </w:t>
      </w:r>
      <w:r>
        <w:rPr>
          <w:rFonts w:cs="Arial"/>
          <w:b/>
          <w:bCs/>
          <w:sz w:val="22"/>
          <w:szCs w:val="22"/>
        </w:rPr>
        <w:t>100 requêtes par minute</w:t>
      </w:r>
      <w:r>
        <w:rPr>
          <w:rFonts w:cs="Arial"/>
          <w:sz w:val="22"/>
          <w:szCs w:val="22"/>
        </w:rPr>
        <w:t xml:space="preserve">, représentant environ </w:t>
      </w:r>
      <w:r>
        <w:rPr>
          <w:rFonts w:cs="Arial"/>
          <w:b/>
          <w:bCs/>
          <w:sz w:val="22"/>
          <w:szCs w:val="22"/>
        </w:rPr>
        <w:t>500 000 lignes de données consultées par minute</w:t>
      </w:r>
      <w:r>
        <w:rPr>
          <w:rFonts w:cs="Arial"/>
          <w:sz w:val="22"/>
          <w:szCs w:val="22"/>
        </w:rPr>
        <w:t>, sans dégradation notable des performances.</w:t>
      </w:r>
    </w:p>
    <w:p w14:paraId="03B31ACF" w14:textId="77777777" w:rsidR="00860C45" w:rsidRPr="00860C45" w:rsidRDefault="00860C45" w:rsidP="00773CC0">
      <w:pPr>
        <w:spacing w:before="240" w:after="240"/>
        <w:rPr>
          <w:rFonts w:cs="Arial"/>
          <w:b/>
          <w:bCs/>
          <w:szCs w:val="24"/>
        </w:rPr>
      </w:pPr>
      <w:r>
        <w:rPr>
          <w:rFonts w:cs="Arial"/>
          <w:b/>
          <w:bCs/>
          <w:szCs w:val="24"/>
        </w:rPr>
        <w:t>Sécurité</w:t>
      </w:r>
    </w:p>
    <w:p w14:paraId="09182D3A" w14:textId="77777777" w:rsidR="00992AF4" w:rsidRDefault="00773CC0" w:rsidP="00773CC0">
      <w:pPr>
        <w:spacing w:after="240"/>
        <w:rPr>
          <w:rFonts w:cs="Arial"/>
          <w:sz w:val="22"/>
          <w:szCs w:val="22"/>
        </w:rPr>
      </w:pPr>
      <w:r>
        <w:rPr>
          <w:rFonts w:cs="Arial"/>
          <w:sz w:val="22"/>
          <w:szCs w:val="22"/>
        </w:rPr>
        <w:t>Pour protéger l’API et la base de données, nous avons mis en place plusieurs mécanismes de sécurité. Tout d’abord, les requêtes SQL utilisées par l’API reposent sur des paramètres liés</w:t>
      </w:r>
      <w:r>
        <w:rPr>
          <w:rFonts w:cs="Arial"/>
          <w:b/>
          <w:bCs/>
          <w:sz w:val="22"/>
          <w:szCs w:val="22"/>
        </w:rPr>
        <w:t xml:space="preserve"> </w:t>
      </w:r>
      <w:r>
        <w:rPr>
          <w:rFonts w:cs="Arial"/>
          <w:sz w:val="22"/>
          <w:szCs w:val="22"/>
        </w:rPr>
        <w:t>(parameter binding) et sur une liste blanche des colonnes autorisées pour le tri. Cette approche garantit que les entrées fournies par les utilisateurs ne peuvent pas être interprétées comme du code SQL, ce qui empêche les attaques par injection et évite toute corruption potentielle des données.</w:t>
      </w:r>
    </w:p>
    <w:p w14:paraId="7F8BBC1E" w14:textId="77777777" w:rsidR="00860C45" w:rsidRDefault="00992AF4" w:rsidP="00773CC0">
      <w:pPr>
        <w:spacing w:after="240"/>
        <w:rPr>
          <w:rFonts w:cs="Arial"/>
          <w:sz w:val="22"/>
          <w:szCs w:val="22"/>
        </w:rPr>
      </w:pPr>
      <w:r>
        <w:rPr>
          <w:rFonts w:cs="Arial"/>
          <w:sz w:val="22"/>
          <w:szCs w:val="22"/>
        </w:rPr>
        <w:t>Nous avons aussi intégré un système de limitation de débit (rate limiting) afin de prévenir les attaques de type déni de service ou les tentatives d’extraction massive de données. Chaque adresse IP est temporairement enregistrée lors de l’exécution des requêtes et le nombre de requêtes autorisées est limité à 100 requêtes par minute.</w:t>
      </w:r>
    </w:p>
    <w:p w14:paraId="2EBCD7FD" w14:textId="77777777" w:rsidR="00F0153B" w:rsidRPr="00860C45" w:rsidRDefault="00F0153B" w:rsidP="00773CC0">
      <w:pPr>
        <w:spacing w:after="240"/>
        <w:rPr>
          <w:rFonts w:cs="Arial"/>
          <w:sz w:val="22"/>
          <w:szCs w:val="22"/>
        </w:rPr>
      </w:pPr>
      <w:r>
        <w:rPr>
          <w:rFonts w:cs="Arial"/>
          <w:sz w:val="22"/>
          <w:szCs w:val="22"/>
        </w:rPr>
        <w:t xml:space="preserve">Enfin, l’endpoint </w:t>
      </w:r>
      <w:r>
        <w:rPr>
          <w:rFonts w:cs="Arial"/>
          <w:i/>
          <w:iCs/>
          <w:color w:val="00B050"/>
          <w:sz w:val="22"/>
          <w:szCs w:val="22"/>
        </w:rPr>
        <w:t xml:space="preserve">/import </w:t>
      </w:r>
      <w:r>
        <w:rPr>
          <w:rFonts w:cs="Arial"/>
          <w:sz w:val="22"/>
          <w:szCs w:val="22"/>
        </w:rPr>
        <w:t>(POST), qui déclenche le pipeline ETL, nécessite une authentification via un token d’accès. Ce dernier est défini par la variable d’environnement API_IMPORT_TOKEN et permet de restreindre l’accès aux utilisateurs autorisés.</w:t>
      </w:r>
    </w:p>
    <w:p w14:paraId="1DB6DFF3" w14:textId="77777777" w:rsidR="000808BC" w:rsidRPr="00512BAC" w:rsidRDefault="000808BC" w:rsidP="00512BAC">
      <w:pPr>
        <w:spacing w:after="240"/>
        <w:rPr>
          <w:rFonts w:cs="Arial"/>
          <w:color w:val="EE0000"/>
          <w:sz w:val="22"/>
          <w:szCs w:val="22"/>
        </w:rPr>
      </w:pPr>
      <w:r>
        <w:rPr>
          <w:rFonts w:cs="Arial"/>
        </w:rPr>
        <w:br w:type="page"/>
      </w:r>
    </w:p>
    <w:p w14:paraId="0BBA3B5B" w14:textId="77777777" w:rsidR="00000000" w:rsidRDefault="00000000" w:rsidP="00DF6CD2">
      <w:pPr>
        <w:pStyle w:val="Titre1"/>
        <w:rPr>
          <w:rFonts w:cs="Arial"/>
        </w:rPr>
      </w:pPr>
      <w:r>
        <w:rPr>
          <w:rFonts w:cs="Arial"/>
        </w:rPr>
        <w:lastRenderedPageBreak/>
        <w:t>Tableau de bord</w:t>
      </w:r>
    </w:p>
    <w:p w14:paraId="0283CFE1" w14:textId="77777777" w:rsidR="00000000" w:rsidRDefault="00000000" w:rsidP="00DF6CD2">
      <w:pPr>
        <w:rPr>
          <w:rFonts w:cs="Arial"/>
          <w:sz w:val="22"/>
          <w:szCs w:val="18"/>
        </w:rPr>
      </w:pPr>
      <w:r>
        <w:rPr>
          <w:rFonts w:cs="Arial"/>
          <w:sz w:val="22"/>
          <w:szCs w:val="18"/>
        </w:rPr>
        <w:t>Le tableau de bord ObRail Europe est un livrable fonctionnel répondant à l’exigence du cahier des charges de proposer un outil de contrôle et de visualisation des données, accessible à tout public. Il offre une interface interactive permettant d’explorer les routes ferroviaires européennes, de comparer les émissions CO₂ entre le train et l’avion, d’analyser la distribution des trains de jour et de nuit, et de contrôler la qualité des données agrégées par le pipeline ETL.</w:t>
      </w:r>
    </w:p>
    <w:p w14:paraId="15CA9899" w14:textId="77777777" w:rsidR="00000000" w:rsidRDefault="00000000" w:rsidP="0053508D">
      <w:pPr>
        <w:pStyle w:val="Titre2"/>
        <w:spacing w:after="240"/>
        <w:rPr>
          <w:rFonts w:cs="Arial"/>
        </w:rPr>
      </w:pPr>
      <w:r>
        <w:rPr>
          <w:rFonts w:cs="Arial"/>
        </w:rPr>
        <w:t>Architecture technique</w:t>
      </w:r>
    </w:p>
    <w:p w14:paraId="184CDF5B" w14:textId="77777777" w:rsidR="00000000" w:rsidRDefault="00000000" w:rsidP="00DF6CD2">
      <w:pPr>
        <w:rPr>
          <w:rFonts w:cs="Arial"/>
          <w:sz w:val="22"/>
          <w:szCs w:val="18"/>
        </w:rPr>
      </w:pPr>
      <w:r>
        <w:rPr>
          <w:rFonts w:cs="Arial"/>
          <w:sz w:val="22"/>
          <w:szCs w:val="18"/>
        </w:rPr>
        <w:t xml:space="preserve">Le dashboard est développé en Python avec le framework </w:t>
      </w:r>
      <w:r>
        <w:rPr>
          <w:rFonts w:cs="Arial"/>
          <w:b/>
          <w:bCs/>
          <w:sz w:val="22"/>
          <w:szCs w:val="18"/>
        </w:rPr>
        <w:t>Dash</w:t>
      </w:r>
      <w:r>
        <w:rPr>
          <w:rFonts w:cs="Arial"/>
          <w:sz w:val="22"/>
          <w:szCs w:val="18"/>
        </w:rPr>
        <w:t xml:space="preserve"> (Plotly), selon un pattern multi-pages : chaque écran est un module Python indépendant qui déclare sa route via </w:t>
      </w:r>
      <w:r>
        <w:rPr>
          <w:rFonts w:cs="Arial"/>
          <w:i/>
          <w:iCs/>
          <w:sz w:val="22"/>
          <w:szCs w:val="18"/>
        </w:rPr>
        <w:t>dash.register_page()</w:t>
      </w:r>
      <w:r>
        <w:rPr>
          <w:rFonts w:cs="Arial"/>
          <w:sz w:val="22"/>
          <w:szCs w:val="18"/>
        </w:rPr>
        <w:t>. Le routage est géré côté client (sans rechargement de page), et la sidebar de navigation reste persistante entre les écrans pour assurer un repère visuel stable.</w:t>
      </w:r>
    </w:p>
    <w:p w14:paraId="162943C4" w14:textId="77777777" w:rsidR="00000000" w:rsidRDefault="00000000" w:rsidP="00DF6CD2">
      <w:pPr>
        <w:rPr>
          <w:rFonts w:cs="Arial"/>
          <w:b/>
          <w:bCs/>
          <w:sz w:val="22"/>
          <w:szCs w:val="18"/>
        </w:rPr>
      </w:pPr>
      <w:r>
        <w:rPr>
          <w:rFonts w:cs="Arial"/>
          <w:b/>
          <w:bCs/>
          <w:sz w:val="22"/>
          <w:szCs w:val="18"/>
        </w:rPr>
        <w:t>Stratégie de cache</w:t>
      </w:r>
    </w:p>
    <w:p w14:paraId="48197E5C" w14:textId="77777777" w:rsidR="00000000" w:rsidRDefault="00000000" w:rsidP="00DF6CD2">
      <w:pPr>
        <w:rPr>
          <w:rFonts w:cs="Arial"/>
          <w:sz w:val="22"/>
          <w:szCs w:val="18"/>
        </w:rPr>
      </w:pPr>
      <w:r>
        <w:rPr>
          <w:rFonts w:cs="Arial"/>
          <w:sz w:val="22"/>
          <w:szCs w:val="18"/>
        </w:rPr>
        <w:t xml:space="preserve">Un système de cache basé sur </w:t>
      </w:r>
      <w:r>
        <w:rPr>
          <w:rFonts w:cs="Arial"/>
          <w:b/>
          <w:bCs/>
          <w:sz w:val="22"/>
          <w:szCs w:val="18"/>
        </w:rPr>
        <w:t>diskcache</w:t>
      </w:r>
      <w:r>
        <w:rPr>
          <w:rFonts w:cs="Arial"/>
          <w:sz w:val="22"/>
          <w:szCs w:val="18"/>
        </w:rPr>
        <w:t xml:space="preserve"> est intégré de manière transparente dans le client API. Chaque réponse est mise en cache avec un TTL calibré selon la volatilité de la donnée : 24 h pour les KPI globaux (très stables entre deux cycles ETL), 30 min pour les référentiels, 15 min pour les agrégats carbone et jour/nuit, et 5 min pour les résultats de recherche et de pagination interactive. Le cache est partagé avec le gestionnaire de callbacks asynchrones de Dash (</w:t>
      </w:r>
      <w:r>
        <w:rPr>
          <w:rFonts w:cs="Arial"/>
          <w:i/>
          <w:iCs/>
          <w:sz w:val="22"/>
          <w:szCs w:val="18"/>
        </w:rPr>
        <w:t>DiskcacheManager</w:t>
      </w:r>
      <w:r>
        <w:rPr>
          <w:rFonts w:cs="Arial"/>
          <w:sz w:val="22"/>
          <w:szCs w:val="18"/>
        </w:rPr>
        <w:t>), ce qui permet aux opérations longues (exports CSV d</w:t>
      </w:r>
      <w:r>
        <w:rPr>
          <w:rFonts w:cs="Arial"/>
          <w:sz w:val="22"/>
          <w:szCs w:val="18"/>
        </w:rPr>
        <w:t>e grands volumes) de s’exécuter en arrière-plan sans bloquer l’interface. Un bouton de vidage manuel du cache est exposé dans la sidebar pour faciliter la maintenance.</w:t>
      </w:r>
    </w:p>
    <w:p w14:paraId="15116631" w14:textId="77777777" w:rsidR="00000000" w:rsidRDefault="00000000" w:rsidP="0053508D">
      <w:pPr>
        <w:pStyle w:val="Titre2"/>
        <w:spacing w:after="240"/>
        <w:rPr>
          <w:rFonts w:cs="Arial"/>
        </w:rPr>
      </w:pPr>
      <w:r>
        <w:rPr>
          <w:rFonts w:cs="Arial"/>
        </w:rPr>
        <w:t>Pages et fonctionnalités</w:t>
      </w:r>
    </w:p>
    <w:p w14:paraId="578A2650" w14:textId="77777777" w:rsidR="00000000" w:rsidRDefault="00000000" w:rsidP="00DF6CD2">
      <w:pPr>
        <w:rPr>
          <w:rFonts w:cs="Arial"/>
          <w:sz w:val="22"/>
          <w:szCs w:val="18"/>
        </w:rPr>
      </w:pPr>
      <w:r>
        <w:rPr>
          <w:rFonts w:cs="Arial"/>
          <w:sz w:val="22"/>
          <w:szCs w:val="18"/>
        </w:rPr>
        <w:t xml:space="preserve">Le dashboard est articulé en sept pages, chacune consumée directement depuis l’API </w:t>
      </w:r>
      <w:r>
        <w:rPr>
          <w:rFonts w:cs="Arial"/>
          <w:i/>
          <w:iCs/>
          <w:sz w:val="22"/>
          <w:szCs w:val="18"/>
        </w:rPr>
        <w:t>/api/v1</w:t>
      </w:r>
      <w:r>
        <w:rPr>
          <w:rFonts w:cs="Arial"/>
          <w:sz w:val="22"/>
          <w:szCs w:val="18"/>
        </w:rPr>
        <w:t xml:space="preserve"> via des appels parallèles au chargement de la page.</w:t>
      </w:r>
    </w:p>
    <w:p w14:paraId="69ECB3F6" w14:textId="1190601D" w:rsidR="00000000" w:rsidRDefault="00000000" w:rsidP="003833E2">
      <w:pPr>
        <w:numPr>
          <w:ilvl w:val="0"/>
          <w:numId w:val="4"/>
        </w:numPr>
        <w:rPr>
          <w:rFonts w:cs="Arial"/>
          <w:sz w:val="22"/>
          <w:szCs w:val="18"/>
        </w:rPr>
      </w:pPr>
      <w:r>
        <w:rPr>
          <w:rFonts w:cs="Arial"/>
          <w:b/>
          <w:bCs/>
          <w:sz w:val="22"/>
          <w:szCs w:val="18"/>
        </w:rPr>
        <w:t xml:space="preserve">Vue d’ensemble </w:t>
      </w:r>
      <w:r>
        <w:rPr>
          <w:rFonts w:cs="Arial"/>
          <w:sz w:val="22"/>
          <w:szCs w:val="18"/>
        </w:rPr>
        <w:t>: indicateurs globaux (nombre de routes, pays couverts, part des trains de nuit, CO₂ moyen, complétude des données), top 15 opérateurs, courbe CO₂ par tranche de distance et donut jour/nuit.</w:t>
      </w:r>
    </w:p>
    <w:p w14:paraId="38C0C999" w14:textId="6AC3FD18" w:rsidR="00000000" w:rsidRDefault="00000000" w:rsidP="003833E2">
      <w:pPr>
        <w:numPr>
          <w:ilvl w:val="0"/>
          <w:numId w:val="4"/>
        </w:numPr>
        <w:rPr>
          <w:rFonts w:cs="Arial"/>
          <w:sz w:val="22"/>
          <w:szCs w:val="18"/>
        </w:rPr>
      </w:pPr>
      <w:r>
        <w:rPr>
          <w:rFonts w:cs="Arial"/>
          <w:b/>
          <w:bCs/>
          <w:sz w:val="22"/>
          <w:szCs w:val="18"/>
        </w:rPr>
        <w:t xml:space="preserve">Routes Explorer </w:t>
      </w:r>
      <w:r>
        <w:rPr>
          <w:rFonts w:cs="Arial"/>
          <w:sz w:val="22"/>
          <w:szCs w:val="18"/>
        </w:rPr>
        <w:t xml:space="preserve">: consultation paginée côté serveur de </w:t>
      </w:r>
      <w:proofErr w:type="spellStart"/>
      <w:r>
        <w:rPr>
          <w:rFonts w:cs="Arial"/>
          <w:i/>
          <w:iCs/>
          <w:sz w:val="22"/>
          <w:szCs w:val="18"/>
        </w:rPr>
        <w:t>gold_routes</w:t>
      </w:r>
      <w:proofErr w:type="spellEnd"/>
      <w:r>
        <w:rPr>
          <w:rFonts w:cs="Arial"/>
          <w:sz w:val="22"/>
          <w:szCs w:val="18"/>
        </w:rPr>
        <w:t xml:space="preserve"> avec filtres </w:t>
      </w:r>
      <w:r>
        <w:rPr>
          <w:rFonts w:cs="Arial"/>
          <w:sz w:val="22"/>
          <w:szCs w:val="18"/>
        </w:rPr>
        <w:t>affichage du détail des segments d’un trip sélectionné, et export CSV de la page courante.</w:t>
      </w:r>
    </w:p>
    <w:p w14:paraId="5702B544" w14:textId="77777777" w:rsidR="00000000" w:rsidRDefault="00000000" w:rsidP="003833E2">
      <w:pPr>
        <w:numPr>
          <w:ilvl w:val="0"/>
          <w:numId w:val="4"/>
        </w:numPr>
        <w:rPr>
          <w:rFonts w:cs="Arial"/>
          <w:sz w:val="22"/>
          <w:szCs w:val="18"/>
        </w:rPr>
      </w:pPr>
      <w:r>
        <w:rPr>
          <w:rFonts w:cs="Arial"/>
          <w:b/>
          <w:bCs/>
          <w:sz w:val="22"/>
          <w:szCs w:val="18"/>
        </w:rPr>
        <w:t xml:space="preserve">Analyse Carbone </w:t>
      </w:r>
      <w:r>
        <w:rPr>
          <w:rFonts w:cs="Arial"/>
          <w:sz w:val="22"/>
          <w:szCs w:val="18"/>
        </w:rPr>
        <w:t xml:space="preserve">: estimateur d’émissions CO₂ à la demande pour n’importe quelle paire O/D (appel à </w:t>
      </w:r>
      <w:r>
        <w:rPr>
          <w:rFonts w:cs="Arial"/>
          <w:i/>
          <w:iCs/>
          <w:sz w:val="22"/>
          <w:szCs w:val="18"/>
        </w:rPr>
        <w:t>/carbon/estimate</w:t>
      </w:r>
      <w:r>
        <w:rPr>
          <w:rFonts w:cs="Arial"/>
          <w:sz w:val="22"/>
          <w:szCs w:val="18"/>
        </w:rPr>
        <w:t>), classement des corridors par économie CO₂ train vs vol (top 15), et carte choroplèthe des facteurs d’émission ferroviaires par pays.</w:t>
      </w:r>
    </w:p>
    <w:p w14:paraId="1DF0E4DF" w14:textId="7BD16346" w:rsidR="00000000" w:rsidRDefault="00000000" w:rsidP="003833E2">
      <w:pPr>
        <w:numPr>
          <w:ilvl w:val="0"/>
          <w:numId w:val="4"/>
        </w:numPr>
        <w:rPr>
          <w:rFonts w:cs="Arial"/>
          <w:sz w:val="22"/>
          <w:szCs w:val="18"/>
        </w:rPr>
      </w:pPr>
      <w:r>
        <w:rPr>
          <w:rFonts w:cs="Arial"/>
          <w:b/>
          <w:bCs/>
          <w:sz w:val="22"/>
          <w:szCs w:val="18"/>
        </w:rPr>
        <w:t xml:space="preserve">Analyse Jour / Nuit </w:t>
      </w:r>
      <w:r>
        <w:rPr>
          <w:rFonts w:cs="Arial"/>
          <w:sz w:val="22"/>
          <w:szCs w:val="18"/>
        </w:rPr>
        <w:t>: KPI synthétiques</w:t>
      </w:r>
      <w:r>
        <w:rPr>
          <w:rFonts w:cs="Arial"/>
          <w:sz w:val="22"/>
          <w:szCs w:val="18"/>
        </w:rPr>
        <w:t>, histogramme empilé de la couverture jour/nuit par pays, émissions moyennes comparées, et comparateur O/D interactif.</w:t>
      </w:r>
    </w:p>
    <w:p w14:paraId="3D88F975" w14:textId="16D39DF8" w:rsidR="00000000" w:rsidRDefault="00000000" w:rsidP="003833E2">
      <w:pPr>
        <w:numPr>
          <w:ilvl w:val="0"/>
          <w:numId w:val="4"/>
        </w:numPr>
        <w:rPr>
          <w:rFonts w:cs="Arial"/>
          <w:sz w:val="22"/>
          <w:szCs w:val="18"/>
        </w:rPr>
      </w:pPr>
      <w:r>
        <w:rPr>
          <w:rFonts w:cs="Arial"/>
          <w:b/>
          <w:bCs/>
          <w:sz w:val="22"/>
          <w:szCs w:val="18"/>
        </w:rPr>
        <w:t xml:space="preserve">Qualité des données </w:t>
      </w:r>
      <w:r>
        <w:rPr>
          <w:rFonts w:cs="Arial"/>
          <w:sz w:val="22"/>
          <w:szCs w:val="18"/>
        </w:rPr>
        <w:t>:</w:t>
      </w:r>
      <w:r>
        <w:rPr>
          <w:rFonts w:cs="Arial"/>
          <w:sz w:val="22"/>
          <w:szCs w:val="18"/>
        </w:rPr>
        <w:t xml:space="preserve"> Il expose la complétude globale (jauge), la complétude par colonne (barres horizontales), la couverture géographique (carte choroplèthe), les top villes desservies, la distribution des jours de service, et la balance jour/nuit par pays.</w:t>
      </w:r>
    </w:p>
    <w:p w14:paraId="4AD6CB0E" w14:textId="77777777" w:rsidR="00000000" w:rsidRDefault="00000000" w:rsidP="003833E2">
      <w:pPr>
        <w:numPr>
          <w:ilvl w:val="0"/>
          <w:numId w:val="4"/>
        </w:numPr>
        <w:rPr>
          <w:rFonts w:cs="Arial"/>
          <w:sz w:val="22"/>
          <w:szCs w:val="18"/>
        </w:rPr>
      </w:pPr>
      <w:r>
        <w:rPr>
          <w:rFonts w:cs="Arial"/>
          <w:b/>
          <w:bCs/>
          <w:sz w:val="22"/>
          <w:szCs w:val="18"/>
        </w:rPr>
        <w:t xml:space="preserve">Référentiel </w:t>
      </w:r>
      <w:r>
        <w:rPr>
          <w:rFonts w:cs="Arial"/>
          <w:sz w:val="22"/>
          <w:szCs w:val="18"/>
        </w:rPr>
        <w:t>: exploration des villes, gares ferroviaires et aéroports via trois onglets distincts. Chaque onglet propose des filtres (pays, recherche textuelle, présence de gare/aéroport) et une table paginée côté serveur avec export CSV.</w:t>
      </w:r>
    </w:p>
    <w:p w14:paraId="2D38B1DA" w14:textId="77777777" w:rsidR="00000000" w:rsidRDefault="00000000" w:rsidP="003833E2">
      <w:pPr>
        <w:numPr>
          <w:ilvl w:val="0"/>
          <w:numId w:val="4"/>
        </w:numPr>
        <w:spacing w:after="240"/>
        <w:rPr>
          <w:rFonts w:cs="Arial"/>
          <w:sz w:val="22"/>
          <w:szCs w:val="18"/>
        </w:rPr>
      </w:pPr>
      <w:r>
        <w:rPr>
          <w:rFonts w:cs="Arial"/>
          <w:b/>
          <w:bCs/>
          <w:sz w:val="22"/>
          <w:szCs w:val="18"/>
        </w:rPr>
        <w:t xml:space="preserve">Data </w:t>
      </w:r>
      <w:r>
        <w:rPr>
          <w:rFonts w:cs="Arial"/>
          <w:sz w:val="22"/>
          <w:szCs w:val="18"/>
        </w:rPr>
        <w:t>: accès analyste aux deux tables gold avec filtres avancés (mode, pays, ville, gare, opérateur, type de route, plages de distance/CO₂, dates de service, jours de la semaine), tri serveur, pagination et export CSV. La table de comparaison train/vol est également consultable avec filtres et tri.</w:t>
      </w:r>
    </w:p>
    <w:p w14:paraId="730BC2E5" w14:textId="77777777" w:rsidR="00000000" w:rsidRDefault="00000000" w:rsidP="0053508D">
      <w:pPr>
        <w:pStyle w:val="Titre2"/>
        <w:spacing w:after="240"/>
        <w:rPr>
          <w:rFonts w:cs="Arial"/>
        </w:rPr>
      </w:pPr>
      <w:r>
        <w:rPr>
          <w:rFonts w:cs="Arial"/>
        </w:rPr>
        <w:t>Design system et accessibilité</w:t>
      </w:r>
    </w:p>
    <w:p w14:paraId="40B314D1" w14:textId="2C73A858" w:rsidR="00000000" w:rsidRPr="00F4748D" w:rsidRDefault="00000000" w:rsidP="00F4748D">
      <w:pPr>
        <w:spacing w:after="240"/>
        <w:rPr>
          <w:rFonts w:cs="Arial"/>
          <w:sz w:val="22"/>
          <w:szCs w:val="18"/>
        </w:rPr>
      </w:pPr>
      <w:r>
        <w:rPr>
          <w:rFonts w:cs="Arial"/>
          <w:sz w:val="22"/>
          <w:szCs w:val="18"/>
        </w:rPr>
        <w:t xml:space="preserve">Le </w:t>
      </w:r>
      <w:proofErr w:type="spellStart"/>
      <w:r>
        <w:rPr>
          <w:rFonts w:cs="Arial"/>
          <w:sz w:val="22"/>
          <w:szCs w:val="18"/>
        </w:rPr>
        <w:t>dashboard</w:t>
      </w:r>
      <w:proofErr w:type="spellEnd"/>
      <w:r>
        <w:rPr>
          <w:rFonts w:cs="Arial"/>
          <w:sz w:val="22"/>
          <w:szCs w:val="18"/>
        </w:rPr>
        <w:t xml:space="preserve"> est responsive : la sidebar se réduit à une barre d’icônes sur mobile et les grilles se reconfigurent en colonne unique en dessous de 768 px. L’application est lancée en développement via </w:t>
      </w:r>
      <w:r>
        <w:rPr>
          <w:rFonts w:cs="Arial"/>
          <w:i/>
          <w:iCs/>
          <w:sz w:val="22"/>
          <w:szCs w:val="18"/>
        </w:rPr>
        <w:t>python -m dashboard.app</w:t>
      </w:r>
      <w:r>
        <w:rPr>
          <w:rFonts w:cs="Arial"/>
          <w:sz w:val="22"/>
          <w:szCs w:val="18"/>
        </w:rPr>
        <w:t xml:space="preserve"> et en production via Gunicorn dans le conteneur Docker, en utilisant le point d’entrée WSGI </w:t>
      </w:r>
      <w:proofErr w:type="gramStart"/>
      <w:r>
        <w:rPr>
          <w:rFonts w:cs="Arial"/>
          <w:i/>
          <w:iCs/>
          <w:sz w:val="22"/>
          <w:szCs w:val="18"/>
        </w:rPr>
        <w:t>app.server</w:t>
      </w:r>
      <w:proofErr w:type="gramEnd"/>
      <w:r>
        <w:rPr>
          <w:rFonts w:cs="Arial"/>
          <w:sz w:val="22"/>
          <w:szCs w:val="18"/>
        </w:rPr>
        <w:t xml:space="preserve"> exposé par Dash.</w:t>
      </w:r>
    </w:p>
    <w:p w14:paraId="31327682" w14:textId="77777777" w:rsidR="00457601" w:rsidRPr="00457601" w:rsidRDefault="00457601" w:rsidP="00DF6CD2">
      <w:pPr>
        <w:pStyle w:val="Titre1"/>
        <w:rPr>
          <w:rFonts w:cs="Arial"/>
        </w:rPr>
      </w:pPr>
      <w:bookmarkStart w:id="10" w:name="_Toc224256935"/>
      <w:r>
        <w:rPr>
          <w:rFonts w:cs="Arial"/>
        </w:rPr>
        <w:lastRenderedPageBreak/>
        <w:t>Nos retours</w:t>
      </w:r>
      <w:bookmarkEnd w:id="10"/>
    </w:p>
    <w:p w14:paraId="77F9383C" w14:textId="77777777" w:rsidR="00457601" w:rsidRPr="00457601" w:rsidRDefault="00457601" w:rsidP="00DF6CD2">
      <w:pPr>
        <w:rPr>
          <w:rFonts w:cs="Arial"/>
        </w:rPr>
      </w:pPr>
    </w:p>
    <w:p w14:paraId="2EEF3BED" w14:textId="77777777" w:rsidR="00457601" w:rsidRPr="008F42BB" w:rsidRDefault="00457601" w:rsidP="008F42BB">
      <w:pPr>
        <w:rPr>
          <w:b/>
          <w:bCs/>
        </w:rPr>
      </w:pPr>
      <w:r>
        <w:rPr>
          <w:b/>
          <w:bCs/>
        </w:rPr>
        <w:t>Limites identifiées</w:t>
      </w:r>
    </w:p>
    <w:p w14:paraId="2ADABCC1" w14:textId="77777777" w:rsidR="001C33F2" w:rsidRDefault="001C33F2" w:rsidP="00A32486">
      <w:pPr>
        <w:spacing w:before="240"/>
        <w:rPr>
          <w:rFonts w:cs="Arial"/>
          <w:sz w:val="22"/>
          <w:szCs w:val="18"/>
        </w:rPr>
      </w:pPr>
      <w:r>
        <w:rPr>
          <w:rFonts w:cs="Arial"/>
          <w:sz w:val="22"/>
          <w:szCs w:val="18"/>
        </w:rPr>
        <w:t>Malgré la mise en place d’un environnement Docker permettant d’homogénéiser l’exécution du pipeline, certaines différences matérielles entre nos machines de développement (mémoire vive, nombre de cœurs CPU ou espace disque) ont entraîné des variations importantes dans les temps d’exécution. Dans certains cas, il a fallu trouver et ajuster certains paramètres de configuration de Spark pour adapter le pipeline aux ressources disponibles.</w:t>
      </w:r>
    </w:p>
    <w:p w14:paraId="248800CC" w14:textId="77777777" w:rsidR="009F6632" w:rsidRDefault="001C33F2" w:rsidP="00A32486">
      <w:pPr>
        <w:spacing w:before="240"/>
        <w:rPr>
          <w:rFonts w:cs="Arial"/>
          <w:sz w:val="22"/>
          <w:szCs w:val="18"/>
        </w:rPr>
      </w:pPr>
      <w:r>
        <w:rPr>
          <w:rFonts w:cs="Arial"/>
          <w:sz w:val="22"/>
          <w:szCs w:val="18"/>
        </w:rPr>
        <w:t>Autre point, le volume important de données traitées par le pipeline entraîne des temps d’exécution relativement élevés. Dans sa version optimisée, l’exécution complète du pipeline nécessite environ 1 h 30 sur une machine disposant de ressources matérielles importantes et d’une connexion réseau stable. Sur des machines moins puissantes, ce temps est sensiblement plus long, ce qui a représenté un défi lors du développement et des phases de test.</w:t>
      </w:r>
    </w:p>
    <w:p w14:paraId="10934CEE" w14:textId="77777777" w:rsidR="009F6632" w:rsidRPr="008F42BB" w:rsidRDefault="001C33F2" w:rsidP="00A32486">
      <w:pPr>
        <w:spacing w:before="240"/>
        <w:rPr>
          <w:rFonts w:cs="Arial"/>
          <w:sz w:val="22"/>
          <w:szCs w:val="18"/>
        </w:rPr>
      </w:pPr>
      <w:r>
        <w:rPr>
          <w:rFonts w:cs="Arial"/>
          <w:sz w:val="22"/>
          <w:szCs w:val="18"/>
        </w:rPr>
        <w:t>Enfin, l’intégration de sources de données hétérogènes était une difficulté supplémentaire. Les fichiers utilisés présentent des structures très différentes, tant au niveau des noms de colonnes que des formats de valeurs ou de l’organisation des fichiers. Nous avons dû passer par une phase d’analyse exploratoire approfondie ainsi qu’un travail progressif de normalisation pour harmoniser les données au sein d’un modèle commun.</w:t>
      </w:r>
    </w:p>
    <w:p w14:paraId="7DFB107D" w14:textId="77777777" w:rsidR="00457601" w:rsidRPr="004C2EBF" w:rsidRDefault="00457601" w:rsidP="007B72C8">
      <w:pPr>
        <w:spacing w:before="240" w:after="240"/>
        <w:rPr>
          <w:b/>
          <w:bCs/>
        </w:rPr>
      </w:pPr>
      <w:r>
        <w:rPr>
          <w:b/>
          <w:bCs/>
        </w:rPr>
        <w:t>Pistes d’amélioration</w:t>
      </w:r>
    </w:p>
    <w:p w14:paraId="23B476EF" w14:textId="77777777" w:rsidR="0020276F" w:rsidRPr="007B72C8" w:rsidRDefault="007B72C8" w:rsidP="0020276F">
      <w:pPr>
        <w:spacing w:after="240"/>
        <w:rPr>
          <w:rFonts w:cs="Arial"/>
          <w:sz w:val="22"/>
          <w:szCs w:val="18"/>
        </w:rPr>
      </w:pPr>
      <w:r>
        <w:rPr>
          <w:rFonts w:cs="Arial"/>
          <w:sz w:val="22"/>
          <w:szCs w:val="18"/>
        </w:rPr>
        <w:t>Plusieurs améliorations pourraient être envisagées afin de renforcer la robustesse et l’évolutivité du système. Premièrement, la mise en place d’une suite de tests automatisés permettrait d’améliorer la fiabilité du pipeline. Des tests unitaires seraient utiles pour valider individuellement les différents modules de transformation, tandis que des tests d’intégration permettraient de vérifier le bon fonctionnement du pipeline complet sur des jeux de données de test.</w:t>
      </w:r>
    </w:p>
    <w:p w14:paraId="5D437B79" w14:textId="77777777" w:rsidR="007B72C8" w:rsidRPr="007B72C8" w:rsidRDefault="007B72C8" w:rsidP="0020276F">
      <w:pPr>
        <w:spacing w:after="240"/>
        <w:rPr>
          <w:rFonts w:cs="Arial"/>
          <w:sz w:val="22"/>
          <w:szCs w:val="18"/>
        </w:rPr>
      </w:pPr>
      <w:r>
        <w:rPr>
          <w:rFonts w:cs="Arial"/>
          <w:sz w:val="22"/>
          <w:szCs w:val="18"/>
        </w:rPr>
        <w:t>Une autre piste d’amélioration concernerait l’orchestration automatisée du pipeline. Dans la version actuelle, l’exécution du processus ETL est déclenchée manuellement. L’intégration d’un outil d’orchestration dédié, comme un planificateur de tâches ou une plateforme de gestion de workflows de données, permettrait d’automatiser l’exécution du pipeline, de gérer les dépendances entre les étapes et de faciliter la reprise en cas d’échec.</w:t>
      </w:r>
    </w:p>
    <w:p w14:paraId="00E4CA32" w14:textId="77777777" w:rsidR="0020276F" w:rsidRPr="0020276F" w:rsidRDefault="0020276F" w:rsidP="0020276F">
      <w:pPr>
        <w:rPr>
          <w:rFonts w:cs="Arial"/>
          <w:sz w:val="22"/>
          <w:szCs w:val="18"/>
        </w:rPr>
      </w:pPr>
      <w:r>
        <w:rPr>
          <w:rFonts w:cs="Arial"/>
          <w:sz w:val="22"/>
          <w:szCs w:val="18"/>
        </w:rPr>
        <w:t>Enfin, nous pourrions envisager certaines optimisations supplémentaires pour améliorer la scalabilité du pipeline, par exemple en mettant en place une stratégie de chargement incrémental. Actuellement, l’ensemble des données est retraité à chaque exécution, ce qui entraîne des temps de calcul relativement importants compte tenu du volume de données traité. Une approche incrémentale permettrait de ne traiter que les nouvelles données ou les données modifiées depuis la dernière exécution du pipeline, réduisant ainsi significativement les temps de traitement.</w:t>
      </w:r>
    </w:p>
    <w:p w14:paraId="642D8F97" w14:textId="77777777" w:rsidR="0020276F" w:rsidRPr="007B72C8" w:rsidRDefault="0020276F" w:rsidP="007B72C8">
      <w:pPr>
        <w:rPr>
          <w:rFonts w:cs="Arial"/>
          <w:sz w:val="22"/>
          <w:szCs w:val="18"/>
        </w:rPr>
      </w:pPr>
    </w:p>
    <w:p w14:paraId="42EA933C" w14:textId="77777777" w:rsidR="00457601" w:rsidRPr="004C2EBF" w:rsidRDefault="00457601" w:rsidP="00DF6CD2">
      <w:pPr>
        <w:rPr>
          <w:rFonts w:cs="Arial"/>
          <w:sz w:val="22"/>
          <w:szCs w:val="18"/>
        </w:rPr>
      </w:pPr>
    </w:p>
    <w:p w14:paraId="3C1F4202" w14:textId="77777777" w:rsidR="004C2EBF" w:rsidRPr="004C2EBF" w:rsidRDefault="004C2EBF" w:rsidP="00DF6CD2">
      <w:pPr>
        <w:rPr>
          <w:rFonts w:cs="Arial"/>
          <w:sz w:val="22"/>
          <w:szCs w:val="18"/>
        </w:rPr>
      </w:pPr>
    </w:p>
    <w:p w14:paraId="16341F12" w14:textId="77777777" w:rsidR="00457601" w:rsidRPr="004C2EBF" w:rsidRDefault="00457601" w:rsidP="00DF6CD2">
      <w:pPr>
        <w:rPr>
          <w:rFonts w:cs="Arial"/>
          <w:sz w:val="22"/>
          <w:szCs w:val="18"/>
        </w:rPr>
      </w:pPr>
    </w:p>
    <w:p w14:paraId="6898AEEF" w14:textId="77777777" w:rsidR="00D55CBC" w:rsidRPr="004C2EBF" w:rsidRDefault="00D55CBC" w:rsidP="00DF6CD2">
      <w:pPr>
        <w:rPr>
          <w:rFonts w:cs="Arial"/>
          <w:sz w:val="22"/>
          <w:szCs w:val="18"/>
        </w:rPr>
      </w:pPr>
    </w:p>
    <w:sectPr w:rsidR="00D55CBC" w:rsidRPr="004C2EBF" w:rsidSect="009C702D">
      <w:footerReference w:type="default" r:id="rId17"/>
      <w:footerReference w:type="first" r:id="rId18"/>
      <w:pgSz w:w="11906" w:h="16838" w:code="9"/>
      <w:pgMar w:top="720" w:right="1152" w:bottom="1134"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1C23" w14:textId="77777777" w:rsidR="002117CE" w:rsidRDefault="002117CE" w:rsidP="00A91D75">
      <w:r>
        <w:separator/>
      </w:r>
    </w:p>
  </w:endnote>
  <w:endnote w:type="continuationSeparator" w:id="0">
    <w:p w14:paraId="1F8CA0B7" w14:textId="77777777" w:rsidR="002117CE" w:rsidRDefault="002117CE"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7"/>
      <w:gridCol w:w="4795"/>
    </w:tblGrid>
    <w:tr w:rsidR="004B3027" w14:paraId="1D834726" w14:textId="77777777" w:rsidTr="006D754E">
      <w:trPr>
        <w:trHeight w:hRule="exact" w:val="115"/>
        <w:jc w:val="center"/>
      </w:trPr>
      <w:tc>
        <w:tcPr>
          <w:tcW w:w="4686" w:type="dxa"/>
          <w:shd w:val="clear" w:color="auto" w:fill="F3D569" w:themeFill="accent1"/>
          <w:tcMar>
            <w:top w:w="0" w:type="dxa"/>
            <w:bottom w:w="0" w:type="dxa"/>
          </w:tcMar>
        </w:tcPr>
        <w:p w14:paraId="06CE574C" w14:textId="77777777" w:rsidR="004B3027" w:rsidRDefault="004B3027" w:rsidP="004B3027">
          <w:pPr>
            <w:pStyle w:val="En-tte"/>
            <w:rPr>
              <w:caps/>
              <w:sz w:val="18"/>
            </w:rPr>
          </w:pPr>
        </w:p>
      </w:tc>
      <w:tc>
        <w:tcPr>
          <w:tcW w:w="4674" w:type="dxa"/>
          <w:shd w:val="clear" w:color="auto" w:fill="F3D569" w:themeFill="accent1"/>
          <w:tcMar>
            <w:top w:w="0" w:type="dxa"/>
            <w:bottom w:w="0" w:type="dxa"/>
          </w:tcMar>
        </w:tcPr>
        <w:p w14:paraId="34F7B263" w14:textId="77777777" w:rsidR="004B3027" w:rsidRDefault="004B3027" w:rsidP="004B3027">
          <w:pPr>
            <w:pStyle w:val="En-tte"/>
            <w:jc w:val="right"/>
            <w:rPr>
              <w:caps/>
              <w:sz w:val="18"/>
            </w:rPr>
          </w:pPr>
        </w:p>
      </w:tc>
    </w:tr>
    <w:tr w:rsidR="004B3027" w14:paraId="7F76EA22" w14:textId="77777777" w:rsidTr="006D754E">
      <w:trPr>
        <w:jc w:val="center"/>
      </w:trPr>
      <w:sdt>
        <w:sdtPr>
          <w:rPr>
            <w:caps/>
            <w:color w:val="808080" w:themeColor="background1" w:themeShade="80"/>
            <w:sz w:val="18"/>
            <w:szCs w:val="18"/>
          </w:rPr>
          <w:alias w:val="Auteur"/>
          <w:tag w:val=""/>
          <w:id w:val="1588268595"/>
          <w:placeholder>
            <w:docPart w:val="7E5673EB22844FB483ED2F0F8999A35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04D45B6" w14:textId="77777777" w:rsidR="004B3027" w:rsidRDefault="004B3027" w:rsidP="004B3027">
              <w:pPr>
                <w:pStyle w:val="Pieddepage"/>
                <w:rPr>
                  <w:caps/>
                  <w:color w:val="808080" w:themeColor="background1" w:themeShade="80"/>
                  <w:sz w:val="18"/>
                  <w:szCs w:val="18"/>
                </w:rPr>
              </w:pPr>
              <w:r>
                <w:rPr>
                  <w:caps/>
                  <w:color w:val="808080" w:themeColor="background1" w:themeShade="80"/>
                  <w:sz w:val="18"/>
                  <w:szCs w:val="18"/>
                </w:rPr>
                <w:t>Promottion b3 2025-26</w:t>
              </w:r>
            </w:p>
          </w:tc>
        </w:sdtContent>
      </w:sdt>
      <w:tc>
        <w:tcPr>
          <w:tcW w:w="4674" w:type="dxa"/>
          <w:vAlign w:val="center"/>
        </w:tcPr>
        <w:p w14:paraId="3F7826D7" w14:textId="77777777" w:rsidR="004B3027" w:rsidRDefault="004B3027" w:rsidP="004B3027">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10010700" w14:textId="77777777" w:rsidR="002011D3" w:rsidRDefault="002011D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7"/>
      <w:gridCol w:w="4795"/>
    </w:tblGrid>
    <w:tr w:rsidR="00BF622D" w14:paraId="49AE8B52" w14:textId="77777777" w:rsidTr="00E33A02">
      <w:trPr>
        <w:trHeight w:hRule="exact" w:val="115"/>
        <w:jc w:val="center"/>
      </w:trPr>
      <w:tc>
        <w:tcPr>
          <w:tcW w:w="4686" w:type="dxa"/>
          <w:shd w:val="clear" w:color="auto" w:fill="F3D569" w:themeFill="accent1"/>
          <w:tcMar>
            <w:top w:w="0" w:type="dxa"/>
            <w:bottom w:w="0" w:type="dxa"/>
          </w:tcMar>
        </w:tcPr>
        <w:p w14:paraId="5F7546E7" w14:textId="77777777" w:rsidR="00BF622D" w:rsidRDefault="00BF622D" w:rsidP="008D50DA">
          <w:pPr>
            <w:pStyle w:val="En-tte"/>
            <w:rPr>
              <w:caps/>
              <w:sz w:val="18"/>
            </w:rPr>
          </w:pPr>
        </w:p>
      </w:tc>
      <w:tc>
        <w:tcPr>
          <w:tcW w:w="4674" w:type="dxa"/>
          <w:shd w:val="clear" w:color="auto" w:fill="F3D569" w:themeFill="accent1"/>
          <w:tcMar>
            <w:top w:w="0" w:type="dxa"/>
            <w:bottom w:w="0" w:type="dxa"/>
          </w:tcMar>
        </w:tcPr>
        <w:p w14:paraId="312DEB74" w14:textId="77777777" w:rsidR="00BF622D" w:rsidRDefault="00BF622D" w:rsidP="008D50DA">
          <w:pPr>
            <w:pStyle w:val="En-tte"/>
            <w:jc w:val="right"/>
            <w:rPr>
              <w:caps/>
              <w:sz w:val="18"/>
            </w:rPr>
          </w:pPr>
        </w:p>
      </w:tc>
    </w:tr>
    <w:tr w:rsidR="00BF622D" w14:paraId="7F3DE01F" w14:textId="77777777" w:rsidTr="00E33A02">
      <w:trPr>
        <w:jc w:val="center"/>
      </w:trPr>
      <w:sdt>
        <w:sdtPr>
          <w:rPr>
            <w:caps/>
            <w:color w:val="808080" w:themeColor="background1" w:themeShade="80"/>
            <w:sz w:val="18"/>
            <w:szCs w:val="18"/>
          </w:rPr>
          <w:alias w:val="Auteur"/>
          <w:tag w:val=""/>
          <w:id w:val="-454789638"/>
          <w:placeholder>
            <w:docPart w:val="3654B77337BE47E0A1BA2B0A16CEBAB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8239BE2" w14:textId="77777777" w:rsidR="00BF622D" w:rsidRDefault="00BF622D" w:rsidP="008D50DA">
              <w:pPr>
                <w:pStyle w:val="Pieddepage"/>
                <w:rPr>
                  <w:caps/>
                  <w:color w:val="808080" w:themeColor="background1" w:themeShade="80"/>
                  <w:sz w:val="18"/>
                  <w:szCs w:val="18"/>
                </w:rPr>
              </w:pPr>
              <w:r>
                <w:rPr>
                  <w:caps/>
                  <w:color w:val="808080" w:themeColor="background1" w:themeShade="80"/>
                  <w:sz w:val="18"/>
                  <w:szCs w:val="18"/>
                </w:rPr>
                <w:t>Promottion b3 2025-26</w:t>
              </w:r>
            </w:p>
          </w:tc>
        </w:sdtContent>
      </w:sdt>
      <w:tc>
        <w:tcPr>
          <w:tcW w:w="4674" w:type="dxa"/>
          <w:vAlign w:val="center"/>
        </w:tcPr>
        <w:p w14:paraId="192017CD" w14:textId="77777777" w:rsidR="00BF622D" w:rsidRDefault="00BF622D" w:rsidP="008D50DA">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3CBFE80" w14:textId="77777777" w:rsidR="00BF622D" w:rsidRDefault="00BF622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7"/>
      <w:gridCol w:w="4795"/>
    </w:tblGrid>
    <w:tr w:rsidR="00BF622D" w14:paraId="7A096888" w14:textId="77777777" w:rsidTr="006D754E">
      <w:trPr>
        <w:trHeight w:hRule="exact" w:val="115"/>
        <w:jc w:val="center"/>
      </w:trPr>
      <w:tc>
        <w:tcPr>
          <w:tcW w:w="4686" w:type="dxa"/>
          <w:shd w:val="clear" w:color="auto" w:fill="F3D569" w:themeFill="accent1"/>
          <w:tcMar>
            <w:top w:w="0" w:type="dxa"/>
            <w:bottom w:w="0" w:type="dxa"/>
          </w:tcMar>
        </w:tcPr>
        <w:p w14:paraId="48423A7A" w14:textId="77777777" w:rsidR="00BF622D" w:rsidRDefault="00BF622D" w:rsidP="004B3027">
          <w:pPr>
            <w:pStyle w:val="En-tte"/>
            <w:rPr>
              <w:caps/>
              <w:sz w:val="18"/>
            </w:rPr>
          </w:pPr>
        </w:p>
      </w:tc>
      <w:tc>
        <w:tcPr>
          <w:tcW w:w="4674" w:type="dxa"/>
          <w:shd w:val="clear" w:color="auto" w:fill="F3D569" w:themeFill="accent1"/>
          <w:tcMar>
            <w:top w:w="0" w:type="dxa"/>
            <w:bottom w:w="0" w:type="dxa"/>
          </w:tcMar>
        </w:tcPr>
        <w:p w14:paraId="2FCA2C12" w14:textId="77777777" w:rsidR="00BF622D" w:rsidRDefault="00BF622D" w:rsidP="004B3027">
          <w:pPr>
            <w:pStyle w:val="En-tte"/>
            <w:jc w:val="right"/>
            <w:rPr>
              <w:caps/>
              <w:sz w:val="18"/>
            </w:rPr>
          </w:pPr>
        </w:p>
      </w:tc>
    </w:tr>
    <w:tr w:rsidR="00BF622D" w14:paraId="252D6731" w14:textId="77777777" w:rsidTr="006D754E">
      <w:trPr>
        <w:jc w:val="center"/>
      </w:trPr>
      <w:sdt>
        <w:sdtPr>
          <w:rPr>
            <w:caps/>
            <w:color w:val="808080" w:themeColor="background1" w:themeShade="80"/>
            <w:sz w:val="18"/>
            <w:szCs w:val="18"/>
          </w:rPr>
          <w:alias w:val="Auteur"/>
          <w:tag w:val=""/>
          <w:id w:val="809376709"/>
          <w:placeholder>
            <w:docPart w:val="DF54BA748B654C6EA769E9930B39A4E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5FC19DF" w14:textId="77777777" w:rsidR="00BF622D" w:rsidRDefault="00BF622D" w:rsidP="004B3027">
              <w:pPr>
                <w:pStyle w:val="Pieddepage"/>
                <w:rPr>
                  <w:caps/>
                  <w:color w:val="808080" w:themeColor="background1" w:themeShade="80"/>
                  <w:sz w:val="18"/>
                  <w:szCs w:val="18"/>
                </w:rPr>
              </w:pPr>
              <w:r>
                <w:rPr>
                  <w:caps/>
                  <w:color w:val="808080" w:themeColor="background1" w:themeShade="80"/>
                  <w:sz w:val="18"/>
                  <w:szCs w:val="18"/>
                </w:rPr>
                <w:t>Promottion b3 2025-26</w:t>
              </w:r>
            </w:p>
          </w:tc>
        </w:sdtContent>
      </w:sdt>
      <w:tc>
        <w:tcPr>
          <w:tcW w:w="4674" w:type="dxa"/>
          <w:vAlign w:val="center"/>
        </w:tcPr>
        <w:p w14:paraId="43797294" w14:textId="77777777" w:rsidR="00BF622D" w:rsidRDefault="00BF622D" w:rsidP="004B3027">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59DC8AF5" w14:textId="77777777" w:rsidR="00BF622D" w:rsidRDefault="00BF62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EA538" w14:textId="77777777" w:rsidR="002117CE" w:rsidRDefault="002117CE" w:rsidP="00A91D75">
      <w:r>
        <w:separator/>
      </w:r>
    </w:p>
  </w:footnote>
  <w:footnote w:type="continuationSeparator" w:id="0">
    <w:p w14:paraId="63B4BB0E" w14:textId="77777777" w:rsidR="002117CE" w:rsidRDefault="002117CE"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771103F8" w14:textId="77777777" w:rsidTr="00A7217A">
      <w:trPr>
        <w:trHeight w:val="1060"/>
      </w:trPr>
      <w:tc>
        <w:tcPr>
          <w:tcW w:w="5861" w:type="dxa"/>
        </w:tcPr>
        <w:p w14:paraId="0785A04C" w14:textId="77777777" w:rsidR="008759A8" w:rsidRDefault="008759A8" w:rsidP="00A7217A">
          <w:pPr>
            <w:pStyle w:val="En-tte"/>
            <w:spacing w:after="0"/>
          </w:pPr>
          <w:r w:rsidRPr="008759A8">
            <w:rPr>
              <w:noProof/>
              <w:lang w:bidi="fr-FR"/>
            </w:rPr>
            <mc:AlternateContent>
              <mc:Choice Requires="wps">
                <w:drawing>
                  <wp:inline distT="0" distB="0" distL="0" distR="0" wp14:anchorId="32AE7B07" wp14:editId="6AB28160">
                    <wp:extent cx="1442085" cy="0"/>
                    <wp:effectExtent l="19050" t="19050" r="24765" b="38100"/>
                    <wp:docPr id="17" name="Connecteur droit 17" descr="ligne droite"/>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8B98D06" id="Connecteur droit 17" o:spid="_x0000_s1026" alt="ligne droite"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oHSCxAEAAOgDAAAOAAAAZHJzL2Uyb0RvYy54bWysU8Fu2zAMvQ/YPwi6L7aDZiuMOD206HYY tmLrPkCVqViAJAqSFjt/P0pOnGIbBqzoRbBIvke+J3p7M1nDDhCiRtfxZlVzBk5ir92+4z8e799d cxaTcL0w6KDjR4j8Zvf2zXb0LaxxQNNDYETiYjv6jg8p+baqohzAirhCD46SCoMVia5hX/VBjMRu TbWu6/fViKH3ASXESNG7Ocl3hV8pkOmrUhESMx2n2VI5Qzmf8lnttqLdB+EHLU9jiBdMYYV21HSh uhNJsJ9B/0FltQwYUaWVRFuhUlpC0UBqmvo3Nd8H4aFoIXOiX2yKr0crvxxu3UMgG0Yf2+gfQlYx qWCZMtp/ojctumhSNhXbjottMCUmKdhcXa3r6w1n8pyrZopM5UNMHwEtyx8dN9plRaIVh88xUVsq PZfksHFs7PjmQ7OpS1lEo/t7bUxOlq2AWxPYQdB7pqnJ70cMz6roZhwFL3LKVzoamPm/gWK6z2PP DfKmXTiFlODSmdc4qs4wRRMswNNk/wKe6jMUyhb+D3hBlM7o0gK22mH429gXK9Rcf3Zg1p0teML+ WB66WEPrVJw7rX7e1+f3Ar/8oLtfAAAA//8DAFBLAwQUAAYACAAAACEAqpplhtUAAAACAQAADwAA AGRycy9kb3ducmV2LnhtbEyOMW/CMBCF90r8B+uQuhWHDLQKcRBCYolYSAuziY8kIj5Htgnpv+/R pV1OenpP3335ZrK9GNGHzpGC5SIBgVQ701Gj4Otz//YBIkRNRveOUME3BtgUs5dcZ8Y96IhjFRvB EAqZVtDGOGRShrpFq8PCDUjcXZ23OnL0jTRePxhue5kmyUpa3RF/aPWAuxbrW3W3CpKbPO6ula8P 5ViawZ9Wp3MslXqdT9s1iIhT/BvDU5/VoWCni7uTCaJnBu9+L3dp+r4EcXlGWeTyv3rxAwAA//8D AFBLAQItABQABgAIAAAAIQC2gziS/gAAAOEBAAATAAAAAAAAAAAAAAAAAAAAAABbQ29udGVudF9U eXBlc10ueG1sUEsBAi0AFAAGAAgAAAAhADj9If/WAAAAlAEAAAsAAAAAAAAAAAAAAAAALwEAAF9y ZWxzLy5yZWxzUEsBAi0AFAAGAAgAAAAhAHSgdILEAQAA6AMAAA4AAAAAAAAAAAAAAAAALgIAAGRy cy9lMm9Eb2MueG1sUEsBAi0AFAAGAAgAAAAhAKqaZYbVAAAAAgEAAA8AAAAAAAAAAAAAAAAAHgQA AGRycy9kb3ducmV2LnhtbFBLBQYAAAAABAAEAPMAAAAgBQAAAAA= " strokecolor="#262140 [3213]" strokeweight="4.5pt">
                    <w10:anchorlock/>
                  </v:line>
                </w:pict>
              </mc:Fallback>
            </mc:AlternateContent>
          </w:r>
        </w:p>
      </w:tc>
      <w:tc>
        <w:tcPr>
          <w:tcW w:w="6420" w:type="dxa"/>
        </w:tcPr>
        <w:p w14:paraId="2C634313" w14:textId="77777777" w:rsidR="008759A8" w:rsidRDefault="00C6323A" w:rsidP="00A7217A">
          <w:pPr>
            <w:pStyle w:val="En-tte"/>
            <w:spacing w:after="0"/>
            <w:jc w:val="right"/>
          </w:pPr>
          <w:r w:rsidRPr="00C6323A">
            <w:rPr>
              <w:noProof/>
              <w:lang w:bidi="fr-FR"/>
            </w:rPr>
            <mc:AlternateContent>
              <mc:Choice Requires="wps">
                <w:drawing>
                  <wp:inline distT="0" distB="0" distL="0" distR="0" wp14:anchorId="5D1A24CD" wp14:editId="4F02C003">
                    <wp:extent cx="1191260" cy="398780"/>
                    <wp:effectExtent l="0" t="0" r="8890" b="1270"/>
                    <wp:docPr id="15" name="Rectangle : Coin rogné 15" descr="rectangle coloré"/>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chemeClr val="tx2"/>
                            </a:solidFill>
                            <a:ln>
                              <a:noFill/>
                            </a:ln>
                          </wps:spPr>
                          <wps:style>
                            <a:lnRef idx="0">
                              <a:scrgbClr r="0" g="0" b="0"/>
                            </a:lnRef>
                            <a:fillRef idx="0">
                              <a:scrgbClr r="0" g="0" b="0"/>
                            </a:fillRef>
                            <a:effectRef idx="0">
                              <a:scrgbClr r="0" g="0" b="0"/>
                            </a:effectRef>
                            <a:fontRef idx="minor">
                              <a:schemeClr val="lt1"/>
                            </a:fontRef>
                          </wps:style>
                          <wps:txbx>
                            <w:txbxContent>
                              <w:p w14:paraId="20FCC82E" w14:textId="77777777" w:rsidR="008759A8" w:rsidRPr="008759A8" w:rsidRDefault="008759A8" w:rsidP="008759A8">
                                <w:pPr>
                                  <w:pStyle w:val="Sous-titre"/>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D1A24CD" id="Rectangle : Coin rogné 15" o:spid="_x0000_s1031" alt="rectangle coloré"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" adj="-11796480,,5400" path="m,l991870,r199390,199390l1191260,398780,,398780,,xe" fillcolor="#3a3363 [3215]" stroked="f">
                    <v:stroke joinstyle="miter"/>
                    <v:formulas/>
                    <v:path arrowok="t" o:connecttype="custom" o:connectlocs="0,0;991870,0;1191260,199390;1191260,398780;0,398780;0,0" o:connectangles="0,0,0,0,0,0" textboxrect="0,0,1191260,398780"/>
                    <v:textbox>
                      <w:txbxContent>
                        <w:p w14:paraId="20FCC82E" w14:textId="77777777" w:rsidR="008759A8" w:rsidRPr="008759A8" w:rsidRDefault="008759A8" w:rsidP="008759A8">
                          <w:pPr>
                            <w:pStyle w:val="Sous-titre"/>
                            <w:rPr>
                              <w:color w:val="FFFFFF" w:themeColor="background1"/>
                            </w:rPr>
                          </w:pPr>
                        </w:p>
                      </w:txbxContent>
                    </v:textbox>
                    <w10:anchorlock/>
                  </v:shape>
                </w:pict>
              </mc:Fallback>
            </mc:AlternateConten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9F8C" w14:textId="77777777" w:rsidR="004B3027" w:rsidRDefault="004B3027">
    <w:pPr>
      <w:pStyle w:val="En-tte"/>
    </w:pPr>
    <w:r w:rsidRPr="008759A8">
      <w:rPr>
        <w:noProof/>
        <w:lang w:bidi="fr-FR"/>
      </w:rPr>
      <mc:AlternateContent>
        <mc:Choice Requires="wps">
          <w:drawing>
            <wp:anchor distT="0" distB="0" distL="114300" distR="114300" simplePos="0" relativeHeight="251659264" behindDoc="0" locked="0" layoutInCell="1" allowOverlap="1" wp14:anchorId="378D1060" wp14:editId="39BA122F">
              <wp:simplePos x="0" y="0"/>
              <wp:positionH relativeFrom="page">
                <wp:align>left</wp:align>
              </wp:positionH>
              <wp:positionV relativeFrom="paragraph">
                <wp:posOffset>171450</wp:posOffset>
              </wp:positionV>
              <wp:extent cx="1442085" cy="0"/>
              <wp:effectExtent l="19050" t="19050" r="24765" b="38100"/>
              <wp:wrapNone/>
              <wp:docPr id="1949574620" name="Connecteur droit 17" descr="ligne droite"/>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175C3D" id="Connecteur droit 17" o:spid="_x0000_s1026" alt="ligne droite" style="position:absolute;flip:x;z-index:251659264;visibility:visible;mso-wrap-style:square;mso-wrap-distance-left:9pt;mso-wrap-distance-top:0;mso-wrap-distance-right:9pt;mso-wrap-distance-bottom:0;mso-position-horizontal:left;mso-position-horizontal-relative:page;mso-position-vertical:absolute;mso-position-vertical-relative:text" from="0,13.5pt" to="113.55pt,1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oHSCxAEAAOgDAAAOAAAAZHJzL2Uyb0RvYy54bWysU8Fu2zAMvQ/YPwi6L7aDZiuMOD206HYY tmLrPkCVqViAJAqSFjt/P0pOnGIbBqzoRbBIvke+J3p7M1nDDhCiRtfxZlVzBk5ir92+4z8e799d cxaTcL0w6KDjR4j8Zvf2zXb0LaxxQNNDYETiYjv6jg8p+baqohzAirhCD46SCoMVia5hX/VBjMRu TbWu6/fViKH3ASXESNG7Ocl3hV8pkOmrUhESMx2n2VI5Qzmf8lnttqLdB+EHLU9jiBdMYYV21HSh uhNJsJ9B/0FltQwYUaWVRFuhUlpC0UBqmvo3Nd8H4aFoIXOiX2yKr0crvxxu3UMgG0Yf2+gfQlYx qWCZMtp/ojctumhSNhXbjottMCUmKdhcXa3r6w1n8pyrZopM5UNMHwEtyx8dN9plRaIVh88xUVsq PZfksHFs7PjmQ7OpS1lEo/t7bUxOlq2AWxPYQdB7pqnJ70cMz6roZhwFL3LKVzoamPm/gWK6z2PP DfKmXTiFlODSmdc4qs4wRRMswNNk/wKe6jMUyhb+D3hBlM7o0gK22mH429gXK9Rcf3Zg1p0teML+ WB66WEPrVJw7rX7e1+f3Ar/8oLtfAAAA//8DAFBLAwQUAAYACAAAACEArAjQ8tgAAAAGAQAADwAA AGRycy9kb3ducmV2LnhtbEyOwW7CMAyG75N4h8hIu42UHmAqTRFC4lJxoRucQ2PaisapklC6t5+n HbaTZf+/Pn/5drK9GNGHzpGC5SIBgVQ701Gj4PPj8PYOIkRNRveOUMEXBtgWs5dcZ8Y96YRjFRvB EAqZVtDGOGRShrpFq8PCDUic3Zy3OvLqG2m8fjLc9jJNkpW0uiP+0OoB9y3W9+phFSR3edrfKl8f y7E0gz+vzpdYKvU6n3YbEBGn+FeGH31Wh4Kdru5BJoieGdxTkK55cpqm6yWI6+9BFrn8r198AwAA //8DAFBLAQItABQABgAIAAAAIQC2gziS/gAAAOEBAAATAAAAAAAAAAAAAAAAAAAAAABbQ29udGVu dF9UeXBlc10ueG1sUEsBAi0AFAAGAAgAAAAhADj9If/WAAAAlAEAAAsAAAAAAAAAAAAAAAAALwEA AF9yZWxzLy5yZWxzUEsBAi0AFAAGAAgAAAAhAHSgdILEAQAA6AMAAA4AAAAAAAAAAAAAAAAALgIA AGRycy9lMm9Eb2MueG1sUEsBAi0AFAAGAAgAAAAhAKwI0PLYAAAABgEAAA8AAAAAAAAAAAAAAAAA HgQAAGRycy9kb3ducmV2LnhtbFBLBQYAAAAABAAEAPMAAAAjBQAAAAA= " strokecolor="#262140 [3213]" strokeweight="4.5pt">
              <w10:wrap anchorx="page"/>
            </v:line>
          </w:pict>
        </mc:Fallback>
      </mc:AlternateContent>
    </w:r>
    <w:r w:rsidRPr="00C6323A">
      <w:rPr>
        <w:noProof/>
        <w:lang w:bidi="fr-FR"/>
      </w:rPr>
      <mc:AlternateContent>
        <mc:Choice Requires="wps">
          <w:drawing>
            <wp:anchor distT="0" distB="0" distL="114300" distR="114300" simplePos="0" relativeHeight="251658240" behindDoc="0" locked="0" layoutInCell="1" allowOverlap="1" wp14:anchorId="325870B6" wp14:editId="05E8D594">
              <wp:simplePos x="0" y="0"/>
              <wp:positionH relativeFrom="page">
                <wp:align>right</wp:align>
              </wp:positionH>
              <wp:positionV relativeFrom="paragraph">
                <wp:posOffset>-38100</wp:posOffset>
              </wp:positionV>
              <wp:extent cx="1191260" cy="398780"/>
              <wp:effectExtent l="0" t="0" r="8890" b="1270"/>
              <wp:wrapNone/>
              <wp:docPr id="337220460" name="Rectangle : Coin rogné 15" descr="rectangle coloré"/>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chemeClr val="tx2"/>
                      </a:solidFill>
                      <a:ln>
                        <a:noFill/>
                      </a:ln>
                    </wps:spPr>
                    <wps:style>
                      <a:lnRef idx="0">
                        <a:scrgbClr r="0" g="0" b="0"/>
                      </a:lnRef>
                      <a:fillRef idx="0">
                        <a:scrgbClr r="0" g="0" b="0"/>
                      </a:fillRef>
                      <a:effectRef idx="0">
                        <a:scrgbClr r="0" g="0" b="0"/>
                      </a:effectRef>
                      <a:fontRef idx="minor">
                        <a:schemeClr val="lt1"/>
                      </a:fontRef>
                    </wps:style>
                    <wps:txbx>
                      <w:txbxContent>
                        <w:p w14:paraId="181FA065" w14:textId="77777777" w:rsidR="004B3027" w:rsidRPr="008759A8" w:rsidRDefault="004B3027" w:rsidP="004B3027">
                          <w:pPr>
                            <w:pStyle w:val="Sous-titre"/>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025A4E" id="_x0000_s1032" alt="rectangle coloré" style="position:absolute;left:0;text-align:left;margin-left:42.6pt;margin-top:-3pt;width:93.8pt;height:31.4pt;flip:x y;z-index:251658240;visibility:visible;mso-wrap-style:square;mso-wrap-distance-left:9pt;mso-wrap-distance-top:0;mso-wrap-distance-right:9pt;mso-wrap-distance-bottom:0;mso-position-horizontal:right;mso-position-horizontal-relative:page;mso-position-vertical:absolute;mso-position-vertical-relative:text;v-text-anchor:middle" coordsize="1191260,39878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FTkplAIAAJsFAAAOAAAAZHJzL2Uyb0RvYy54bWysVEtv2zAMvg/YfxB0Xx1nfQZ1iiBFtwFF W7TdelZkKdEgiZqkxM5+/SjZTtJtlw7zwSDFl/TxIy+vWqPJRvigwFa0PBpRIiyHWtllRb8+33w4 pyREZmumwYqKbkWgV9P37y4bNxFjWIGuhSeYxIZJ4yq6itFNiiLwlTAsHIETFo0SvGERVb8sas8a zG50MR6NTosGfO08cBECnl53RjrN+aUUPN5LGUQkuqJ4t5j/Pv8X6V9ML9lk6ZlbKd5fg/3DLQxT FovuUl2zyMjaqz9SGcU9BJDxiIMpQErFRX4DvqYc/faapxVzIr8FwQluB1P4f2n53ebJPXiEoXFh ElBMr2ilN0Rq5T5jT2mWviUp2fDOpM0AbncAijYSjodleVGOTxFnjraPF+dn5xnhosuYop0P8ZMA Q5JQ0WCVKx+xSzk129yGmFGsiWUG6cLq71jeaOzJhmlyMsIv9Qwz9s4oDTlTZACt6huldVYSi8Rc e4LBFY3tuI995aVt8rWQorrU6aTY45GluNUi+Wn7KCRRdYagK+KXi1SjYxXSHt8/cAtvlwOSo8T8 b4ztQ1K0yGR+Y/wuKNcHG3fxRlnwGfQ8anuQdCx7kGTnP0DRAZCwiO2iRQQSIXreLKDePiAC0M1X cPxGYX9vWYgPzGPzEBJcEvEef1JDU1HoJUpW4H/+7Tz5I8/RSkmDA4pk+bFmXlCiv1icgIvy+DhN dFaOT87GqPhDy+LQYtdmDsgBZDPeLovJP+pBlB7MC+6SWaqKJmY51q4oj35Q5rFrMW4jLmaz7IZT 7Fi8tU+ODwOS6PjcvjDvepJHHI87GIa5Z27HtL1v6pCF2TqCVDEZE9Idrr2CGwClVyvmUM9e+506 /QUAAP//AwBQSwMEFAAGAAgAAAAhAPAuRFjbAAAABgEAAA8AAABkcnMvZG93bnJldi54bWxMj8FO wzAQRO9I/IO1SNxaG9QGE+JUCIkLSEEtfIATbxMLex3FbhP+HvcEp9VoRjNvq93iHTvjFG0gBXdr AQypC8ZSr+Dr83UlgcWkyWgXCBX8YIRdfX1V6dKEmfZ4PqSe5RKKpVYwpDSWnMduQK/jOoxI2TuG yeuU5dRzM+k5l3vH74UouNeW8sKgR3wZsPs+nLwCd3yXm+0bNVZ8NOJx08xWtrNStzfL8xOwhEv6 C8MFP6NDnZnacCITmVOQH0kKVkW+F1c+FMBaBdtCAq8r/h+//gUAAP//AwBQSwECLQAUAAYACAAA ACEAtoM4kv4AAADhAQAAEwAAAAAAAAAAAAAAAAAAAAAAW0NvbnRlbnRfVHlwZXNdLnhtbFBLAQIt ABQABgAIAAAAIQA4/SH/1gAAAJQBAAALAAAAAAAAAAAAAAAAAC8BAABfcmVscy8ucmVsc1BLAQIt ABQABgAIAAAAIQAKFTkplAIAAJsFAAAOAAAAAAAAAAAAAAAAAC4CAABkcnMvZTJvRG9jLnhtbFBL AQItABQABgAIAAAAIQDwLkRY2wAAAAYBAAAPAAAAAAAAAAAAAAAAAO4EAABkcnMvZG93bnJldi54 bWxQSwUGAAAAAAQABADzAAAA9gUAAAAA " adj="-11796480,,5400" path="m,l991870,r199390,199390l1191260,398780,,398780,,xe" fillcolor="#3a3363 [3215]" stroked="f">
              <v:stroke joinstyle="miter"/>
              <v:formulas/>
              <v:path arrowok="t" o:connecttype="custom" o:connectlocs="0,0;991870,0;1191260,199390;1191260,398780;0,398780;0,0" o:connectangles="0,0,0,0,0,0" textboxrect="0,0,1191260,398780"/>
              <v:textbox>
                <w:txbxContent>
                  <w:p w14:paraId="7EBE1D6A" w14:textId="77777777" w:rsidR="004B3027" w:rsidRPr="008759A8" w:rsidRDefault="004B3027" w:rsidP="004B3027">
                    <w:pPr>
                      <w:pStyle w:val="Sous-titre"/>
                      <w:rPr>
                        <w:color w:val="FFFFFF" w:themeColor="background1"/>
                      </w:rPr>
                    </w:pP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A8B"/>
    <w:multiLevelType w:val="multilevel"/>
    <w:tmpl w:val="157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60FA"/>
    <w:multiLevelType w:val="multilevel"/>
    <w:tmpl w:val="398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F291F"/>
    <w:multiLevelType w:val="multilevel"/>
    <w:tmpl w:val="9C7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30E75"/>
    <w:multiLevelType w:val="multilevel"/>
    <w:tmpl w:val="88A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B529A"/>
    <w:multiLevelType w:val="multilevel"/>
    <w:tmpl w:val="643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94861"/>
    <w:multiLevelType w:val="multilevel"/>
    <w:tmpl w:val="023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7265"/>
    <w:multiLevelType w:val="multilevel"/>
    <w:tmpl w:val="DB5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C02EA"/>
    <w:multiLevelType w:val="multilevel"/>
    <w:tmpl w:val="F9EE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22D23"/>
    <w:multiLevelType w:val="multilevel"/>
    <w:tmpl w:val="92E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60985"/>
    <w:multiLevelType w:val="multilevel"/>
    <w:tmpl w:val="B2C8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32B9D"/>
    <w:multiLevelType w:val="hybridMultilevel"/>
    <w:tmpl w:val="6614790A"/>
    <w:lvl w:ilvl="0" w:tplc="EAB6DB1A">
      <w:start w:val="1"/>
      <w:numFmt w:val="bullet"/>
      <w:pStyle w:val="Listenumros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52715F"/>
    <w:multiLevelType w:val="hybridMultilevel"/>
    <w:tmpl w:val="F50A13CE"/>
    <w:lvl w:ilvl="0" w:tplc="E5907D64">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A95A15"/>
    <w:multiLevelType w:val="multilevel"/>
    <w:tmpl w:val="59C8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FB3D0B"/>
    <w:multiLevelType w:val="multilevel"/>
    <w:tmpl w:val="0E2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D7337"/>
    <w:multiLevelType w:val="multilevel"/>
    <w:tmpl w:val="BD1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83B38"/>
    <w:multiLevelType w:val="multilevel"/>
    <w:tmpl w:val="457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105E7"/>
    <w:multiLevelType w:val="multilevel"/>
    <w:tmpl w:val="455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224C9"/>
    <w:multiLevelType w:val="multilevel"/>
    <w:tmpl w:val="B2CE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C017B"/>
    <w:multiLevelType w:val="multilevel"/>
    <w:tmpl w:val="EBE8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1C5C78"/>
    <w:multiLevelType w:val="multilevel"/>
    <w:tmpl w:val="59FC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A6DAB"/>
    <w:multiLevelType w:val="multilevel"/>
    <w:tmpl w:val="23F6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74508"/>
    <w:multiLevelType w:val="hybridMultilevel"/>
    <w:tmpl w:val="8D5CA3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09741C7"/>
    <w:multiLevelType w:val="hybridMultilevel"/>
    <w:tmpl w:val="7056FB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7C14EB"/>
    <w:multiLevelType w:val="multilevel"/>
    <w:tmpl w:val="B0B20D5A"/>
    <w:lvl w:ilvl="0">
      <w:start w:val="1"/>
      <w:numFmt w:val="bullet"/>
      <w:pStyle w:val="Listepuces"/>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24" w15:restartNumberingAfterBreak="0">
    <w:nsid w:val="6BBF4393"/>
    <w:multiLevelType w:val="multilevel"/>
    <w:tmpl w:val="5A4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16046"/>
    <w:multiLevelType w:val="multilevel"/>
    <w:tmpl w:val="4F283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553639">
    <w:abstractNumId w:val="23"/>
  </w:num>
  <w:num w:numId="2" w16cid:durableId="181824017">
    <w:abstractNumId w:val="10"/>
  </w:num>
  <w:num w:numId="3" w16cid:durableId="1844856628">
    <w:abstractNumId w:val="2"/>
  </w:num>
  <w:num w:numId="4" w16cid:durableId="1296595910">
    <w:abstractNumId w:val="14"/>
  </w:num>
  <w:num w:numId="5" w16cid:durableId="1791968392">
    <w:abstractNumId w:val="22"/>
  </w:num>
  <w:num w:numId="6" w16cid:durableId="1159082115">
    <w:abstractNumId w:val="8"/>
  </w:num>
  <w:num w:numId="7" w16cid:durableId="192622505">
    <w:abstractNumId w:val="19"/>
  </w:num>
  <w:num w:numId="8" w16cid:durableId="1254120868">
    <w:abstractNumId w:val="24"/>
  </w:num>
  <w:num w:numId="9" w16cid:durableId="179971776">
    <w:abstractNumId w:val="13"/>
  </w:num>
  <w:num w:numId="10" w16cid:durableId="2014411673">
    <w:abstractNumId w:val="11"/>
  </w:num>
  <w:num w:numId="11" w16cid:durableId="1468739430">
    <w:abstractNumId w:val="7"/>
  </w:num>
  <w:num w:numId="12" w16cid:durableId="107704814">
    <w:abstractNumId w:val="12"/>
  </w:num>
  <w:num w:numId="13" w16cid:durableId="1602446420">
    <w:abstractNumId w:val="18"/>
  </w:num>
  <w:num w:numId="14" w16cid:durableId="1859730207">
    <w:abstractNumId w:val="21"/>
  </w:num>
  <w:num w:numId="15" w16cid:durableId="1181748071">
    <w:abstractNumId w:val="9"/>
  </w:num>
  <w:num w:numId="16" w16cid:durableId="1520698224">
    <w:abstractNumId w:val="16"/>
  </w:num>
  <w:num w:numId="17" w16cid:durableId="233469460">
    <w:abstractNumId w:val="6"/>
  </w:num>
  <w:num w:numId="18" w16cid:durableId="436407113">
    <w:abstractNumId w:val="0"/>
  </w:num>
  <w:num w:numId="19" w16cid:durableId="1005982532">
    <w:abstractNumId w:val="4"/>
  </w:num>
  <w:num w:numId="20" w16cid:durableId="1129322674">
    <w:abstractNumId w:val="17"/>
  </w:num>
  <w:num w:numId="21" w16cid:durableId="191454332">
    <w:abstractNumId w:val="3"/>
  </w:num>
  <w:num w:numId="22" w16cid:durableId="1507328480">
    <w:abstractNumId w:val="20"/>
  </w:num>
  <w:num w:numId="23" w16cid:durableId="538013553">
    <w:abstractNumId w:val="25"/>
  </w:num>
  <w:num w:numId="24" w16cid:durableId="1753311073">
    <w:abstractNumId w:val="1"/>
  </w:num>
  <w:num w:numId="25" w16cid:durableId="1321234482">
    <w:abstractNumId w:val="15"/>
  </w:num>
  <w:num w:numId="26" w16cid:durableId="983462122">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15"/>
    <w:rsid w:val="00006898"/>
    <w:rsid w:val="0001582A"/>
    <w:rsid w:val="00017F69"/>
    <w:rsid w:val="0002111D"/>
    <w:rsid w:val="00023011"/>
    <w:rsid w:val="000268D3"/>
    <w:rsid w:val="000346DC"/>
    <w:rsid w:val="00034856"/>
    <w:rsid w:val="000418E4"/>
    <w:rsid w:val="0005060D"/>
    <w:rsid w:val="00051A13"/>
    <w:rsid w:val="00065DB6"/>
    <w:rsid w:val="000808BC"/>
    <w:rsid w:val="00092661"/>
    <w:rsid w:val="00095B28"/>
    <w:rsid w:val="000B0CD2"/>
    <w:rsid w:val="000C4415"/>
    <w:rsid w:val="000D0131"/>
    <w:rsid w:val="000D6CB6"/>
    <w:rsid w:val="000D73B2"/>
    <w:rsid w:val="00113780"/>
    <w:rsid w:val="001343BB"/>
    <w:rsid w:val="00140A70"/>
    <w:rsid w:val="00140C3D"/>
    <w:rsid w:val="00145892"/>
    <w:rsid w:val="001539EE"/>
    <w:rsid w:val="001725DA"/>
    <w:rsid w:val="00177B4F"/>
    <w:rsid w:val="00184B35"/>
    <w:rsid w:val="001865F2"/>
    <w:rsid w:val="00193A3F"/>
    <w:rsid w:val="00194A07"/>
    <w:rsid w:val="001A30C0"/>
    <w:rsid w:val="001C33F2"/>
    <w:rsid w:val="001D0D9C"/>
    <w:rsid w:val="001D5526"/>
    <w:rsid w:val="001E59F3"/>
    <w:rsid w:val="001F5546"/>
    <w:rsid w:val="001F6E1A"/>
    <w:rsid w:val="002011D3"/>
    <w:rsid w:val="0020276F"/>
    <w:rsid w:val="00204ACC"/>
    <w:rsid w:val="002063EE"/>
    <w:rsid w:val="002079C1"/>
    <w:rsid w:val="002117CE"/>
    <w:rsid w:val="00226FF2"/>
    <w:rsid w:val="00246C95"/>
    <w:rsid w:val="0025390C"/>
    <w:rsid w:val="00267C22"/>
    <w:rsid w:val="002A1C0E"/>
    <w:rsid w:val="002A56F7"/>
    <w:rsid w:val="002B0314"/>
    <w:rsid w:val="002B6B9C"/>
    <w:rsid w:val="002B6D8D"/>
    <w:rsid w:val="002D73A9"/>
    <w:rsid w:val="002E2A62"/>
    <w:rsid w:val="002F001D"/>
    <w:rsid w:val="002F76C3"/>
    <w:rsid w:val="0030324B"/>
    <w:rsid w:val="003040DD"/>
    <w:rsid w:val="0033209D"/>
    <w:rsid w:val="00342438"/>
    <w:rsid w:val="003456BE"/>
    <w:rsid w:val="00353C28"/>
    <w:rsid w:val="00353C5E"/>
    <w:rsid w:val="003540D0"/>
    <w:rsid w:val="0035602F"/>
    <w:rsid w:val="003667D9"/>
    <w:rsid w:val="00380E14"/>
    <w:rsid w:val="003811BF"/>
    <w:rsid w:val="003833E2"/>
    <w:rsid w:val="0038420C"/>
    <w:rsid w:val="003978EB"/>
    <w:rsid w:val="003C5DDD"/>
    <w:rsid w:val="003D4A1C"/>
    <w:rsid w:val="003E2CE7"/>
    <w:rsid w:val="003E4E90"/>
    <w:rsid w:val="003E58BC"/>
    <w:rsid w:val="003E6C8B"/>
    <w:rsid w:val="003E7C4D"/>
    <w:rsid w:val="003F429C"/>
    <w:rsid w:val="003F431E"/>
    <w:rsid w:val="003F7BD9"/>
    <w:rsid w:val="00405811"/>
    <w:rsid w:val="004269F8"/>
    <w:rsid w:val="00432E35"/>
    <w:rsid w:val="0043344C"/>
    <w:rsid w:val="00434B81"/>
    <w:rsid w:val="00441A81"/>
    <w:rsid w:val="00442B83"/>
    <w:rsid w:val="00456426"/>
    <w:rsid w:val="00457601"/>
    <w:rsid w:val="004616FE"/>
    <w:rsid w:val="00484496"/>
    <w:rsid w:val="00497164"/>
    <w:rsid w:val="004B3027"/>
    <w:rsid w:val="004B3B37"/>
    <w:rsid w:val="004B3EAF"/>
    <w:rsid w:val="004B488A"/>
    <w:rsid w:val="004B5118"/>
    <w:rsid w:val="004B6FD0"/>
    <w:rsid w:val="004B7120"/>
    <w:rsid w:val="004C2EBF"/>
    <w:rsid w:val="004C6A85"/>
    <w:rsid w:val="004D27C8"/>
    <w:rsid w:val="004D7F70"/>
    <w:rsid w:val="004E354E"/>
    <w:rsid w:val="004E55E5"/>
    <w:rsid w:val="004F0295"/>
    <w:rsid w:val="0050269D"/>
    <w:rsid w:val="00503E5E"/>
    <w:rsid w:val="00505E1E"/>
    <w:rsid w:val="00507C4B"/>
    <w:rsid w:val="00511BCC"/>
    <w:rsid w:val="00512BAC"/>
    <w:rsid w:val="005248C3"/>
    <w:rsid w:val="0052632B"/>
    <w:rsid w:val="00527720"/>
    <w:rsid w:val="0053508D"/>
    <w:rsid w:val="00540993"/>
    <w:rsid w:val="00540CD7"/>
    <w:rsid w:val="00577305"/>
    <w:rsid w:val="00581F8A"/>
    <w:rsid w:val="005876DE"/>
    <w:rsid w:val="0059668E"/>
    <w:rsid w:val="005A1D68"/>
    <w:rsid w:val="005A547C"/>
    <w:rsid w:val="005A59FB"/>
    <w:rsid w:val="005A784F"/>
    <w:rsid w:val="005B7875"/>
    <w:rsid w:val="005C07CB"/>
    <w:rsid w:val="005C13F0"/>
    <w:rsid w:val="005C2E0B"/>
    <w:rsid w:val="005D2A31"/>
    <w:rsid w:val="005E2FE7"/>
    <w:rsid w:val="00622EF4"/>
    <w:rsid w:val="00625C39"/>
    <w:rsid w:val="0064080D"/>
    <w:rsid w:val="00657C64"/>
    <w:rsid w:val="0066500C"/>
    <w:rsid w:val="00670718"/>
    <w:rsid w:val="00674C12"/>
    <w:rsid w:val="00677854"/>
    <w:rsid w:val="00683D56"/>
    <w:rsid w:val="006A5C84"/>
    <w:rsid w:val="006B0259"/>
    <w:rsid w:val="006B3903"/>
    <w:rsid w:val="006C3A25"/>
    <w:rsid w:val="006D25D5"/>
    <w:rsid w:val="006E45F9"/>
    <w:rsid w:val="006F17AD"/>
    <w:rsid w:val="006F5E4F"/>
    <w:rsid w:val="00702D08"/>
    <w:rsid w:val="00711ED3"/>
    <w:rsid w:val="0072347A"/>
    <w:rsid w:val="00732F57"/>
    <w:rsid w:val="00734EB6"/>
    <w:rsid w:val="00737DC3"/>
    <w:rsid w:val="007427E7"/>
    <w:rsid w:val="00745D1C"/>
    <w:rsid w:val="00746E4E"/>
    <w:rsid w:val="0075129D"/>
    <w:rsid w:val="00760843"/>
    <w:rsid w:val="00764337"/>
    <w:rsid w:val="00773CC0"/>
    <w:rsid w:val="007746BE"/>
    <w:rsid w:val="00785010"/>
    <w:rsid w:val="007865F6"/>
    <w:rsid w:val="00787299"/>
    <w:rsid w:val="0078791E"/>
    <w:rsid w:val="007926E6"/>
    <w:rsid w:val="00794A60"/>
    <w:rsid w:val="007B0DFA"/>
    <w:rsid w:val="007B2975"/>
    <w:rsid w:val="007B6E11"/>
    <w:rsid w:val="007B72C8"/>
    <w:rsid w:val="007D4034"/>
    <w:rsid w:val="007D7F69"/>
    <w:rsid w:val="007E01C5"/>
    <w:rsid w:val="007E5E59"/>
    <w:rsid w:val="008039E7"/>
    <w:rsid w:val="00823D33"/>
    <w:rsid w:val="008259A5"/>
    <w:rsid w:val="00841D26"/>
    <w:rsid w:val="00847CC5"/>
    <w:rsid w:val="00847CCD"/>
    <w:rsid w:val="00852A9D"/>
    <w:rsid w:val="00857DE9"/>
    <w:rsid w:val="00860C45"/>
    <w:rsid w:val="008671E0"/>
    <w:rsid w:val="008713BA"/>
    <w:rsid w:val="00873947"/>
    <w:rsid w:val="00875825"/>
    <w:rsid w:val="008759A8"/>
    <w:rsid w:val="008905B2"/>
    <w:rsid w:val="00896B0A"/>
    <w:rsid w:val="008A19FD"/>
    <w:rsid w:val="008B164D"/>
    <w:rsid w:val="008B39D1"/>
    <w:rsid w:val="008B46AB"/>
    <w:rsid w:val="008C1205"/>
    <w:rsid w:val="008C5B55"/>
    <w:rsid w:val="008D1A4C"/>
    <w:rsid w:val="008D50DA"/>
    <w:rsid w:val="008E707B"/>
    <w:rsid w:val="008E7424"/>
    <w:rsid w:val="008F08D6"/>
    <w:rsid w:val="008F42BB"/>
    <w:rsid w:val="009022EA"/>
    <w:rsid w:val="0090326F"/>
    <w:rsid w:val="00911CD5"/>
    <w:rsid w:val="00915DEA"/>
    <w:rsid w:val="009210A6"/>
    <w:rsid w:val="00921B9A"/>
    <w:rsid w:val="00921F31"/>
    <w:rsid w:val="00923265"/>
    <w:rsid w:val="00924378"/>
    <w:rsid w:val="00925450"/>
    <w:rsid w:val="00933FD6"/>
    <w:rsid w:val="00942A95"/>
    <w:rsid w:val="00942D78"/>
    <w:rsid w:val="0094358C"/>
    <w:rsid w:val="00944BB2"/>
    <w:rsid w:val="00944D7A"/>
    <w:rsid w:val="0094550B"/>
    <w:rsid w:val="00950C06"/>
    <w:rsid w:val="0095317D"/>
    <w:rsid w:val="00953AB4"/>
    <w:rsid w:val="00962886"/>
    <w:rsid w:val="00985DA4"/>
    <w:rsid w:val="00992AF4"/>
    <w:rsid w:val="00997DB2"/>
    <w:rsid w:val="009A0F76"/>
    <w:rsid w:val="009A4579"/>
    <w:rsid w:val="009A766F"/>
    <w:rsid w:val="009B4A78"/>
    <w:rsid w:val="009C474B"/>
    <w:rsid w:val="009C702D"/>
    <w:rsid w:val="009D11B7"/>
    <w:rsid w:val="009D140C"/>
    <w:rsid w:val="009F6632"/>
    <w:rsid w:val="00A01C3D"/>
    <w:rsid w:val="00A03BCD"/>
    <w:rsid w:val="00A25811"/>
    <w:rsid w:val="00A27027"/>
    <w:rsid w:val="00A31E87"/>
    <w:rsid w:val="00A32486"/>
    <w:rsid w:val="00A340EA"/>
    <w:rsid w:val="00A61923"/>
    <w:rsid w:val="00A62F6E"/>
    <w:rsid w:val="00A7217A"/>
    <w:rsid w:val="00A748AB"/>
    <w:rsid w:val="00A74A9E"/>
    <w:rsid w:val="00A757DE"/>
    <w:rsid w:val="00A75B03"/>
    <w:rsid w:val="00A77182"/>
    <w:rsid w:val="00A86068"/>
    <w:rsid w:val="00A91D75"/>
    <w:rsid w:val="00A94865"/>
    <w:rsid w:val="00A97D85"/>
    <w:rsid w:val="00AB1173"/>
    <w:rsid w:val="00AC343A"/>
    <w:rsid w:val="00AD40CF"/>
    <w:rsid w:val="00AF1516"/>
    <w:rsid w:val="00AF3168"/>
    <w:rsid w:val="00AF4BDE"/>
    <w:rsid w:val="00B01502"/>
    <w:rsid w:val="00B03927"/>
    <w:rsid w:val="00B2686A"/>
    <w:rsid w:val="00B54E68"/>
    <w:rsid w:val="00B75089"/>
    <w:rsid w:val="00B8172F"/>
    <w:rsid w:val="00B837A1"/>
    <w:rsid w:val="00BA71DB"/>
    <w:rsid w:val="00BB2426"/>
    <w:rsid w:val="00BC4123"/>
    <w:rsid w:val="00BC467B"/>
    <w:rsid w:val="00BC4A4D"/>
    <w:rsid w:val="00BC752B"/>
    <w:rsid w:val="00BD717C"/>
    <w:rsid w:val="00BE0EEB"/>
    <w:rsid w:val="00BF07AE"/>
    <w:rsid w:val="00BF622D"/>
    <w:rsid w:val="00C07550"/>
    <w:rsid w:val="00C16A09"/>
    <w:rsid w:val="00C16AC3"/>
    <w:rsid w:val="00C20549"/>
    <w:rsid w:val="00C24014"/>
    <w:rsid w:val="00C30237"/>
    <w:rsid w:val="00C32AB7"/>
    <w:rsid w:val="00C333E9"/>
    <w:rsid w:val="00C35F3A"/>
    <w:rsid w:val="00C47255"/>
    <w:rsid w:val="00C50FEA"/>
    <w:rsid w:val="00C51AB6"/>
    <w:rsid w:val="00C553C6"/>
    <w:rsid w:val="00C6323A"/>
    <w:rsid w:val="00C809EF"/>
    <w:rsid w:val="00C83759"/>
    <w:rsid w:val="00C849DB"/>
    <w:rsid w:val="00C87193"/>
    <w:rsid w:val="00C95653"/>
    <w:rsid w:val="00CA5A5A"/>
    <w:rsid w:val="00CB27A1"/>
    <w:rsid w:val="00CB7D47"/>
    <w:rsid w:val="00CC7AEA"/>
    <w:rsid w:val="00CD783C"/>
    <w:rsid w:val="00CE15CE"/>
    <w:rsid w:val="00CE22C7"/>
    <w:rsid w:val="00CF5554"/>
    <w:rsid w:val="00D013B0"/>
    <w:rsid w:val="00D06E22"/>
    <w:rsid w:val="00D14385"/>
    <w:rsid w:val="00D237D9"/>
    <w:rsid w:val="00D34766"/>
    <w:rsid w:val="00D37046"/>
    <w:rsid w:val="00D43466"/>
    <w:rsid w:val="00D43A50"/>
    <w:rsid w:val="00D476F7"/>
    <w:rsid w:val="00D53528"/>
    <w:rsid w:val="00D55CBC"/>
    <w:rsid w:val="00D563F7"/>
    <w:rsid w:val="00D67A8E"/>
    <w:rsid w:val="00D718F2"/>
    <w:rsid w:val="00D766ED"/>
    <w:rsid w:val="00D8187C"/>
    <w:rsid w:val="00D8631A"/>
    <w:rsid w:val="00D86E41"/>
    <w:rsid w:val="00D87CD8"/>
    <w:rsid w:val="00D92A1B"/>
    <w:rsid w:val="00DA268B"/>
    <w:rsid w:val="00DA4A10"/>
    <w:rsid w:val="00DA79DB"/>
    <w:rsid w:val="00DB4041"/>
    <w:rsid w:val="00DC3E22"/>
    <w:rsid w:val="00DC7DC7"/>
    <w:rsid w:val="00DD4833"/>
    <w:rsid w:val="00DE1667"/>
    <w:rsid w:val="00DE41C2"/>
    <w:rsid w:val="00DF1CFA"/>
    <w:rsid w:val="00DF5855"/>
    <w:rsid w:val="00DF6CD2"/>
    <w:rsid w:val="00E14E95"/>
    <w:rsid w:val="00E1794E"/>
    <w:rsid w:val="00E22688"/>
    <w:rsid w:val="00E4676E"/>
    <w:rsid w:val="00E523C3"/>
    <w:rsid w:val="00E5388E"/>
    <w:rsid w:val="00E6016B"/>
    <w:rsid w:val="00E66435"/>
    <w:rsid w:val="00E66F47"/>
    <w:rsid w:val="00E678F6"/>
    <w:rsid w:val="00E71C1E"/>
    <w:rsid w:val="00E736F8"/>
    <w:rsid w:val="00E75237"/>
    <w:rsid w:val="00E93008"/>
    <w:rsid w:val="00E94B95"/>
    <w:rsid w:val="00E96057"/>
    <w:rsid w:val="00EA6032"/>
    <w:rsid w:val="00EC3237"/>
    <w:rsid w:val="00EC3D5A"/>
    <w:rsid w:val="00ED6905"/>
    <w:rsid w:val="00ED7E4E"/>
    <w:rsid w:val="00EF64C7"/>
    <w:rsid w:val="00F006C1"/>
    <w:rsid w:val="00F0153B"/>
    <w:rsid w:val="00F10361"/>
    <w:rsid w:val="00F105D1"/>
    <w:rsid w:val="00F17DC7"/>
    <w:rsid w:val="00F31148"/>
    <w:rsid w:val="00F3726E"/>
    <w:rsid w:val="00F40CF9"/>
    <w:rsid w:val="00F4748D"/>
    <w:rsid w:val="00F52574"/>
    <w:rsid w:val="00F56415"/>
    <w:rsid w:val="00F64A53"/>
    <w:rsid w:val="00F87983"/>
    <w:rsid w:val="00F90AFD"/>
    <w:rsid w:val="00F9653C"/>
    <w:rsid w:val="00F966D6"/>
    <w:rsid w:val="00F96DB6"/>
    <w:rsid w:val="00F97154"/>
    <w:rsid w:val="00FA20D5"/>
    <w:rsid w:val="00FC675C"/>
    <w:rsid w:val="00FD0301"/>
    <w:rsid w:val="00FE0D74"/>
    <w:rsid w:val="00FE15DE"/>
    <w:rsid w:val="00FE1A1B"/>
    <w:rsid w:val="00FE1BFA"/>
    <w:rsid w:val="00FE3D2C"/>
    <w:rsid w:val="00FF08D7"/>
    <w:rsid w:val="00FF78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761E7A"/>
  <w15:docId w15:val="{B95C9619-F0CB-4FFE-BAB6-D8AB30C4D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fr-FR"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87C"/>
    <w:pPr>
      <w:spacing w:after="0" w:line="240" w:lineRule="auto"/>
      <w:jc w:val="both"/>
    </w:pPr>
    <w:rPr>
      <w:rFonts w:ascii="Arial" w:hAnsi="Arial"/>
      <w:color w:val="262140" w:themeColor="text1"/>
      <w:sz w:val="24"/>
    </w:rPr>
  </w:style>
  <w:style w:type="paragraph" w:styleId="Titre1">
    <w:name w:val="heading 1"/>
    <w:basedOn w:val="Normal"/>
    <w:next w:val="Normal"/>
    <w:link w:val="Titre1Car"/>
    <w:uiPriority w:val="7"/>
    <w:qFormat/>
    <w:rsid w:val="003811BF"/>
    <w:pPr>
      <w:spacing w:before="480" w:after="120"/>
      <w:outlineLvl w:val="0"/>
    </w:pPr>
    <w:rPr>
      <w:rFonts w:eastAsiaTheme="majorEastAsia" w:cstheme="majorBidi"/>
      <w:b/>
      <w:bCs/>
      <w:caps/>
      <w:sz w:val="48"/>
    </w:rPr>
  </w:style>
  <w:style w:type="paragraph" w:styleId="Titre2">
    <w:name w:val="heading 2"/>
    <w:basedOn w:val="Normal"/>
    <w:next w:val="Normal"/>
    <w:link w:val="Titre2Car"/>
    <w:uiPriority w:val="7"/>
    <w:unhideWhenUsed/>
    <w:qFormat/>
    <w:rsid w:val="000D0131"/>
    <w:pPr>
      <w:keepNext/>
      <w:keepLines/>
      <w:spacing w:before="240"/>
      <w:outlineLvl w:val="1"/>
    </w:pPr>
    <w:rPr>
      <w:rFonts w:eastAsiaTheme="majorEastAsia" w:cstheme="majorBidi"/>
      <w:b/>
      <w:bCs/>
      <w:sz w:val="28"/>
    </w:rPr>
  </w:style>
  <w:style w:type="paragraph" w:styleId="Titre3">
    <w:name w:val="heading 3"/>
    <w:basedOn w:val="Normal"/>
    <w:next w:val="Normal"/>
    <w:link w:val="Titre3Car"/>
    <w:uiPriority w:val="7"/>
    <w:unhideWhenUsed/>
    <w:qFormat/>
    <w:pPr>
      <w:keepNext/>
      <w:keepLines/>
      <w:spacing w:after="60"/>
      <w:ind w:left="29" w:right="29"/>
      <w:jc w:val="right"/>
      <w:outlineLvl w:val="2"/>
    </w:pPr>
    <w:rPr>
      <w:rFonts w:asciiTheme="majorHAnsi" w:eastAsiaTheme="majorEastAsia" w:hAnsiTheme="majorHAnsi" w:cstheme="majorBidi"/>
      <w:b/>
      <w:color w:val="ECBD17" w:themeColor="accent1" w:themeShade="BF"/>
      <w:sz w:val="36"/>
      <w:szCs w:val="24"/>
    </w:rPr>
  </w:style>
  <w:style w:type="paragraph" w:styleId="Titre4">
    <w:name w:val="heading 4"/>
    <w:basedOn w:val="Normal"/>
    <w:next w:val="Normal"/>
    <w:link w:val="Titre4Car"/>
    <w:uiPriority w:val="7"/>
    <w:unhideWhenUsed/>
    <w:qFormat/>
    <w:rsid w:val="003456BE"/>
    <w:pPr>
      <w:keepNext/>
      <w:keepLines/>
      <w:spacing w:before="40"/>
      <w:outlineLvl w:val="3"/>
    </w:pPr>
    <w:rPr>
      <w:rFonts w:asciiTheme="majorHAnsi" w:eastAsiaTheme="majorEastAsia" w:hAnsiTheme="majorHAnsi" w:cstheme="majorBidi"/>
      <w:i/>
      <w:iCs/>
      <w:color w:val="ECBD17" w:themeColor="accent1" w:themeShade="BF"/>
    </w:rPr>
  </w:style>
  <w:style w:type="paragraph" w:styleId="Titre5">
    <w:name w:val="heading 5"/>
    <w:basedOn w:val="Normal"/>
    <w:next w:val="Normal"/>
    <w:link w:val="Titre5Car"/>
    <w:uiPriority w:val="7"/>
    <w:unhideWhenUsed/>
    <w:qFormat/>
    <w:rsid w:val="00D237D9"/>
    <w:pPr>
      <w:keepNext/>
      <w:keepLines/>
      <w:spacing w:before="40"/>
      <w:outlineLvl w:val="4"/>
    </w:pPr>
    <w:rPr>
      <w:rFonts w:asciiTheme="majorHAnsi" w:eastAsiaTheme="majorEastAsia" w:hAnsiTheme="majorHAnsi" w:cstheme="majorBidi"/>
      <w:color w:val="ECBD17"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pPr>
      <w:ind w:left="29" w:right="144"/>
    </w:pPr>
    <w:rPr>
      <w:color w:val="ECBD17" w:themeColor="accent1" w:themeShade="BF"/>
    </w:rPr>
  </w:style>
  <w:style w:type="character" w:customStyle="1" w:styleId="PieddepageCar">
    <w:name w:val="Pied de page Car"/>
    <w:basedOn w:val="Policepardfaut"/>
    <w:link w:val="Pieddepage"/>
    <w:uiPriority w:val="99"/>
    <w:rPr>
      <w:color w:val="ECBD17" w:themeColor="accent1" w:themeShade="BF"/>
    </w:rPr>
  </w:style>
  <w:style w:type="paragraph" w:styleId="Sous-titre">
    <w:name w:val="Subtitle"/>
    <w:basedOn w:val="Normal"/>
    <w:link w:val="Sous-titreCar"/>
    <w:uiPriority w:val="2"/>
    <w:unhideWhenUsed/>
    <w:qFormat/>
    <w:rsid w:val="00A91D75"/>
    <w:rPr>
      <w:rFonts w:asciiTheme="majorHAnsi" w:hAnsiTheme="majorHAnsi"/>
      <w:b/>
      <w:color w:val="3A3363" w:themeColor="text2"/>
      <w:sz w:val="36"/>
      <w:szCs w:val="36"/>
    </w:rPr>
  </w:style>
  <w:style w:type="paragraph" w:customStyle="1" w:styleId="Page">
    <w:name w:val="Page"/>
    <w:basedOn w:val="Normal"/>
    <w:next w:val="Normal"/>
    <w:uiPriority w:val="97"/>
    <w:unhideWhenUsed/>
    <w:qFormat/>
    <w:pPr>
      <w:spacing w:after="40"/>
    </w:pPr>
    <w:rPr>
      <w:sz w:val="36"/>
    </w:rPr>
  </w:style>
  <w:style w:type="paragraph" w:styleId="En-tte">
    <w:name w:val="header"/>
    <w:basedOn w:val="Normal"/>
    <w:link w:val="En-tteCar"/>
    <w:uiPriority w:val="99"/>
    <w:pPr>
      <w:spacing w:after="380"/>
    </w:pPr>
  </w:style>
  <w:style w:type="character" w:customStyle="1" w:styleId="En-tteCar">
    <w:name w:val="En-tête Car"/>
    <w:basedOn w:val="Policepardfaut"/>
    <w:link w:val="En-tte"/>
    <w:uiPriority w:val="99"/>
    <w:rPr>
      <w:color w:val="4E4484" w:themeColor="text1" w:themeTint="BF"/>
      <w:sz w:val="20"/>
    </w:rPr>
  </w:style>
  <w:style w:type="table" w:styleId="Grilledutableau">
    <w:name w:val="Table Grid"/>
    <w:basedOn w:val="Tableau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itre3Car">
    <w:name w:val="Titre 3 Car"/>
    <w:basedOn w:val="Policepardfaut"/>
    <w:link w:val="Titre3"/>
    <w:uiPriority w:val="7"/>
    <w:rPr>
      <w:rFonts w:asciiTheme="majorHAnsi" w:eastAsiaTheme="majorEastAsia" w:hAnsiTheme="majorHAnsi" w:cstheme="majorBidi"/>
      <w:b/>
      <w:color w:val="ECBD17" w:themeColor="accent1" w:themeShade="BF"/>
      <w:sz w:val="36"/>
      <w:szCs w:val="24"/>
    </w:rPr>
  </w:style>
  <w:style w:type="paragraph" w:styleId="Titre">
    <w:name w:val="Title"/>
    <w:basedOn w:val="Normal"/>
    <w:link w:val="TitreCar"/>
    <w:uiPriority w:val="1"/>
    <w:qFormat/>
    <w:rsid w:val="001E59F3"/>
    <w:pPr>
      <w:framePr w:hSpace="180" w:wrap="around" w:vAnchor="text" w:hAnchor="text" w:x="-19" w:y="9067"/>
    </w:pPr>
    <w:rPr>
      <w:rFonts w:asciiTheme="majorHAnsi" w:eastAsiaTheme="majorEastAsia" w:hAnsiTheme="majorHAnsi" w:cstheme="majorBidi"/>
      <w:b/>
      <w:bCs/>
      <w:color w:val="FFFFFF" w:themeColor="background1"/>
      <w:sz w:val="72"/>
      <w:szCs w:val="90"/>
    </w:rPr>
  </w:style>
  <w:style w:type="character" w:customStyle="1" w:styleId="TitreCar">
    <w:name w:val="Titre Car"/>
    <w:basedOn w:val="Policepardfaut"/>
    <w:link w:val="Titre"/>
    <w:uiPriority w:val="1"/>
    <w:rsid w:val="001E59F3"/>
    <w:rPr>
      <w:rFonts w:asciiTheme="majorHAnsi" w:eastAsiaTheme="majorEastAsia" w:hAnsiTheme="majorHAnsi" w:cstheme="majorBidi"/>
      <w:b/>
      <w:bCs/>
      <w:color w:val="FFFFFF" w:themeColor="background1"/>
      <w:sz w:val="72"/>
      <w:szCs w:val="90"/>
    </w:rPr>
  </w:style>
  <w:style w:type="character" w:styleId="Textedelespacerserv">
    <w:name w:val="Placeholder Text"/>
    <w:basedOn w:val="Policepardfaut"/>
    <w:uiPriority w:val="99"/>
    <w:semiHidden/>
    <w:rPr>
      <w:color w:val="808080"/>
    </w:rPr>
  </w:style>
  <w:style w:type="paragraph" w:styleId="Textedebulles">
    <w:name w:val="Balloon Text"/>
    <w:basedOn w:val="Normal"/>
    <w:link w:val="TextedebullesCar"/>
    <w:uiPriority w:val="99"/>
    <w:semiHidden/>
    <w:unhideWhenUsed/>
    <w:rPr>
      <w:rFonts w:ascii="Tahoma" w:hAnsi="Tahoma" w:cs="Tahoma"/>
      <w:sz w:val="16"/>
    </w:rPr>
  </w:style>
  <w:style w:type="character" w:customStyle="1" w:styleId="TextedebullesCar">
    <w:name w:val="Texte de bulles Car"/>
    <w:basedOn w:val="Policepardfaut"/>
    <w:link w:val="Textedebulles"/>
    <w:uiPriority w:val="99"/>
    <w:semiHidden/>
    <w:rPr>
      <w:rFonts w:ascii="Tahoma" w:hAnsi="Tahoma" w:cs="Tahoma"/>
      <w:sz w:val="16"/>
    </w:rPr>
  </w:style>
  <w:style w:type="character" w:styleId="lev">
    <w:name w:val="Strong"/>
    <w:basedOn w:val="Policepardfaut"/>
    <w:uiPriority w:val="22"/>
    <w:qFormat/>
    <w:rPr>
      <w:b/>
      <w:bCs/>
    </w:rPr>
  </w:style>
  <w:style w:type="character" w:customStyle="1" w:styleId="Sous-titreCar">
    <w:name w:val="Sous-titre Car"/>
    <w:basedOn w:val="Policepardfaut"/>
    <w:link w:val="Sous-titre"/>
    <w:uiPriority w:val="2"/>
    <w:rsid w:val="00A91D75"/>
    <w:rPr>
      <w:rFonts w:asciiTheme="majorHAnsi" w:hAnsiTheme="majorHAnsi"/>
      <w:b/>
      <w:color w:val="3A3363" w:themeColor="text2"/>
      <w:sz w:val="36"/>
      <w:szCs w:val="36"/>
    </w:rPr>
  </w:style>
  <w:style w:type="paragraph" w:styleId="Sansinterligne">
    <w:name w:val="No Spacing"/>
    <w:link w:val="SansinterligneCar"/>
    <w:uiPriority w:val="98"/>
    <w:unhideWhenUsed/>
    <w:qFormat/>
    <w:pPr>
      <w:spacing w:after="0" w:line="240" w:lineRule="auto"/>
    </w:pPr>
  </w:style>
  <w:style w:type="paragraph" w:customStyle="1" w:styleId="Coordonnes">
    <w:name w:val="Coordonnées"/>
    <w:basedOn w:val="Normal"/>
    <w:uiPriority w:val="5"/>
    <w:qFormat/>
    <w:pPr>
      <w:ind w:left="29" w:right="144"/>
    </w:pPr>
    <w:rPr>
      <w:color w:val="ECBD17" w:themeColor="accent1" w:themeShade="BF"/>
    </w:rPr>
  </w:style>
  <w:style w:type="paragraph" w:styleId="TM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Titre1Car">
    <w:name w:val="Titre 1 Car"/>
    <w:basedOn w:val="Policepardfaut"/>
    <w:link w:val="Titre1"/>
    <w:uiPriority w:val="7"/>
    <w:rsid w:val="003811BF"/>
    <w:rPr>
      <w:rFonts w:ascii="Arial" w:eastAsiaTheme="majorEastAsia" w:hAnsi="Arial" w:cstheme="majorBidi"/>
      <w:b/>
      <w:bCs/>
      <w:caps/>
      <w:color w:val="262140" w:themeColor="text1"/>
      <w:sz w:val="48"/>
    </w:rPr>
  </w:style>
  <w:style w:type="paragraph" w:styleId="En-ttedetabledesmatires">
    <w:name w:val="TOC Heading"/>
    <w:basedOn w:val="Titre1"/>
    <w:next w:val="Normal"/>
    <w:uiPriority w:val="39"/>
    <w:unhideWhenUsed/>
    <w:qFormat/>
    <w:rsid w:val="003811BF"/>
    <w:pPr>
      <w:pageBreakBefore/>
      <w:spacing w:before="0" w:after="360"/>
      <w:outlineLvl w:val="9"/>
    </w:pPr>
    <w:rPr>
      <w:kern w:val="20"/>
      <w:sz w:val="44"/>
    </w:rPr>
  </w:style>
  <w:style w:type="character" w:customStyle="1" w:styleId="Titre2Car">
    <w:name w:val="Titre 2 Car"/>
    <w:basedOn w:val="Policepardfaut"/>
    <w:link w:val="Titre2"/>
    <w:uiPriority w:val="7"/>
    <w:rsid w:val="000D0131"/>
    <w:rPr>
      <w:rFonts w:ascii="Arial" w:eastAsiaTheme="majorEastAsia" w:hAnsi="Arial" w:cstheme="majorBidi"/>
      <w:b/>
      <w:bCs/>
      <w:color w:val="262140" w:themeColor="text1"/>
      <w:sz w:val="28"/>
    </w:rPr>
  </w:style>
  <w:style w:type="paragraph" w:styleId="Citation">
    <w:name w:val="Quote"/>
    <w:basedOn w:val="Normal"/>
    <w:next w:val="Normal"/>
    <w:link w:val="CitationCar"/>
    <w:uiPriority w:val="3"/>
    <w:unhideWhenUsed/>
    <w:qFormat/>
    <w:rsid w:val="00D55CBC"/>
    <w:rPr>
      <w:b/>
      <w:i/>
      <w:iCs/>
      <w:color w:val="ECBD17" w:themeColor="accent1" w:themeShade="BF"/>
      <w:kern w:val="20"/>
      <w:sz w:val="36"/>
    </w:rPr>
  </w:style>
  <w:style w:type="character" w:customStyle="1" w:styleId="CitationCar">
    <w:name w:val="Citation Car"/>
    <w:basedOn w:val="Policepardfaut"/>
    <w:link w:val="Citation"/>
    <w:uiPriority w:val="3"/>
    <w:rsid w:val="00D55CBC"/>
    <w:rPr>
      <w:b/>
      <w:i/>
      <w:iCs/>
      <w:color w:val="ECBD17" w:themeColor="accent1" w:themeShade="BF"/>
      <w:kern w:val="20"/>
      <w:sz w:val="36"/>
    </w:rPr>
  </w:style>
  <w:style w:type="paragraph" w:styleId="Signature">
    <w:name w:val="Signature"/>
    <w:basedOn w:val="Normal"/>
    <w:link w:val="SignatureCar"/>
    <w:uiPriority w:val="8"/>
    <w:unhideWhenUsed/>
    <w:qFormat/>
    <w:rsid w:val="00E523C3"/>
    <w:pPr>
      <w:spacing w:before="720" w:line="312" w:lineRule="auto"/>
    </w:pPr>
    <w:rPr>
      <w:b/>
      <w:kern w:val="20"/>
    </w:rPr>
  </w:style>
  <w:style w:type="character" w:customStyle="1" w:styleId="SignatureCar">
    <w:name w:val="Signature Car"/>
    <w:basedOn w:val="Policepardfaut"/>
    <w:link w:val="Signature"/>
    <w:uiPriority w:val="8"/>
    <w:rsid w:val="00E523C3"/>
    <w:rPr>
      <w:b/>
      <w:color w:val="262140" w:themeColor="text1"/>
      <w:kern w:val="20"/>
      <w:sz w:val="24"/>
    </w:rPr>
  </w:style>
  <w:style w:type="character" w:customStyle="1" w:styleId="SansinterligneCar">
    <w:name w:val="Sans interligne Car"/>
    <w:basedOn w:val="Policepardfaut"/>
    <w:link w:val="Sansinterligne"/>
    <w:uiPriority w:val="98"/>
  </w:style>
  <w:style w:type="paragraph" w:styleId="Listepuces">
    <w:name w:val="List Bullet"/>
    <w:basedOn w:val="Normal"/>
    <w:uiPriority w:val="11"/>
    <w:qFormat/>
    <w:rsid w:val="002063EE"/>
    <w:pPr>
      <w:numPr>
        <w:numId w:val="1"/>
      </w:numPr>
      <w:spacing w:before="40" w:after="40" w:line="288" w:lineRule="auto"/>
    </w:pPr>
    <w:rPr>
      <w:szCs w:val="22"/>
      <w:lang w:eastAsia="en-US"/>
    </w:rPr>
  </w:style>
  <w:style w:type="paragraph" w:styleId="Listenumros">
    <w:name w:val="List Number"/>
    <w:basedOn w:val="Listenumros2"/>
    <w:uiPriority w:val="9"/>
    <w:unhideWhenUsed/>
    <w:qFormat/>
    <w:rsid w:val="00D476F7"/>
  </w:style>
  <w:style w:type="paragraph" w:styleId="Listenumros2">
    <w:name w:val="List Number 2"/>
    <w:basedOn w:val="Normal"/>
    <w:uiPriority w:val="10"/>
    <w:qFormat/>
    <w:rsid w:val="001865F2"/>
    <w:pPr>
      <w:numPr>
        <w:numId w:val="2"/>
      </w:numPr>
    </w:pPr>
  </w:style>
  <w:style w:type="table" w:customStyle="1" w:styleId="Tableaufinancier">
    <w:name w:val="Tableau financier"/>
    <w:basedOn w:val="TableauNormal"/>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Marquedecommentaire">
    <w:name w:val="annotation reference"/>
    <w:basedOn w:val="Policepardfaut"/>
    <w:uiPriority w:val="99"/>
    <w:semiHidden/>
    <w:unhideWhenUsed/>
    <w:rPr>
      <w:sz w:val="16"/>
    </w:rPr>
  </w:style>
  <w:style w:type="paragraph" w:styleId="Commentaire">
    <w:name w:val="annotation text"/>
    <w:basedOn w:val="Normal"/>
    <w:link w:val="CommentaireCar"/>
    <w:uiPriority w:val="99"/>
    <w:semiHidden/>
    <w:unhideWhenUsed/>
  </w:style>
  <w:style w:type="character" w:customStyle="1" w:styleId="CommentaireCar">
    <w:name w:val="Commentaire Car"/>
    <w:basedOn w:val="Policepardfaut"/>
    <w:link w:val="Commentaire"/>
    <w:uiPriority w:val="99"/>
    <w:semiHidden/>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b/>
      <w:bCs/>
    </w:rPr>
  </w:style>
  <w:style w:type="table" w:styleId="Ombrageclair">
    <w:name w:val="Light Shading"/>
    <w:basedOn w:val="TableauNormal"/>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sation">
    <w:name w:val="Organisation"/>
    <w:basedOn w:val="Normal"/>
    <w:uiPriority w:val="4"/>
    <w:qFormat/>
    <w:pPr>
      <w:spacing w:after="60"/>
      <w:ind w:left="-2318" w:right="29"/>
    </w:pPr>
    <w:rPr>
      <w:b/>
      <w:bCs/>
      <w:color w:val="ECBD17" w:themeColor="accent1" w:themeShade="BF"/>
      <w:sz w:val="36"/>
    </w:rPr>
  </w:style>
  <w:style w:type="paragraph" w:styleId="Lgende">
    <w:name w:val="caption"/>
    <w:basedOn w:val="Normal"/>
    <w:uiPriority w:val="35"/>
    <w:qFormat/>
    <w:rsid w:val="00577305"/>
    <w:pPr>
      <w:spacing w:after="120"/>
    </w:pPr>
    <w:rPr>
      <w:iCs/>
      <w:color w:val="auto"/>
      <w:sz w:val="18"/>
      <w:szCs w:val="18"/>
    </w:rPr>
  </w:style>
  <w:style w:type="paragraph" w:styleId="Citationintense">
    <w:name w:val="Intense Quote"/>
    <w:basedOn w:val="Normal"/>
    <w:next w:val="Normal"/>
    <w:link w:val="CitationintenseCar"/>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CitationintenseCar">
    <w:name w:val="Citation intense Car"/>
    <w:basedOn w:val="Policepardfaut"/>
    <w:link w:val="Citationintense"/>
    <w:uiPriority w:val="30"/>
    <w:semiHidden/>
    <w:rsid w:val="00FE3D2C"/>
    <w:rPr>
      <w:i/>
      <w:iCs/>
      <w:color w:val="ECBD17" w:themeColor="accent1" w:themeShade="BF"/>
    </w:rPr>
  </w:style>
  <w:style w:type="paragraph" w:customStyle="1" w:styleId="Miseenvidence2">
    <w:name w:val="Mise en évidence 2"/>
    <w:basedOn w:val="Normal"/>
    <w:link w:val="Caractredemiseenvidence2"/>
    <w:uiPriority w:val="8"/>
    <w:qFormat/>
    <w:rsid w:val="002063EE"/>
    <w:pPr>
      <w:spacing w:before="240" w:after="240" w:line="288" w:lineRule="auto"/>
    </w:pPr>
    <w:rPr>
      <w:b/>
      <w:spacing w:val="20"/>
    </w:rPr>
  </w:style>
  <w:style w:type="character" w:customStyle="1" w:styleId="Caractredemiseenvidence2">
    <w:name w:val="Caractère de mise en évidence 2"/>
    <w:basedOn w:val="Policepardfaut"/>
    <w:link w:val="Miseenvidence2"/>
    <w:uiPriority w:val="8"/>
    <w:rsid w:val="002063EE"/>
    <w:rPr>
      <w:b/>
      <w:color w:val="262140" w:themeColor="text1"/>
      <w:spacing w:val="20"/>
      <w:sz w:val="24"/>
    </w:rPr>
  </w:style>
  <w:style w:type="paragraph" w:styleId="TM2">
    <w:name w:val="toc 2"/>
    <w:basedOn w:val="Normal"/>
    <w:next w:val="Normal"/>
    <w:autoRedefine/>
    <w:uiPriority w:val="39"/>
    <w:unhideWhenUsed/>
    <w:rsid w:val="00E523C3"/>
    <w:pPr>
      <w:spacing w:after="100"/>
      <w:ind w:left="240"/>
    </w:pPr>
  </w:style>
  <w:style w:type="character" w:styleId="Lienhypertexte">
    <w:name w:val="Hyperlink"/>
    <w:basedOn w:val="Policepardfaut"/>
    <w:uiPriority w:val="99"/>
    <w:unhideWhenUsed/>
    <w:rsid w:val="00E523C3"/>
    <w:rPr>
      <w:color w:val="ECBE18" w:themeColor="hyperlink"/>
      <w:u w:val="single"/>
    </w:rPr>
  </w:style>
  <w:style w:type="table" w:styleId="TableauListe1Clair-Accentuation6">
    <w:name w:val="List Table 1 Light Accent 6"/>
    <w:basedOn w:val="TableauNormal"/>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character" w:customStyle="1" w:styleId="Titre4Car">
    <w:name w:val="Titre 4 Car"/>
    <w:basedOn w:val="Policepardfaut"/>
    <w:link w:val="Titre4"/>
    <w:uiPriority w:val="7"/>
    <w:rsid w:val="003456BE"/>
    <w:rPr>
      <w:rFonts w:asciiTheme="majorHAnsi" w:eastAsiaTheme="majorEastAsia" w:hAnsiTheme="majorHAnsi" w:cstheme="majorBidi"/>
      <w:i/>
      <w:iCs/>
      <w:color w:val="ECBD17" w:themeColor="accent1" w:themeShade="BF"/>
      <w:sz w:val="24"/>
    </w:rPr>
  </w:style>
  <w:style w:type="paragraph" w:styleId="Paragraphedeliste">
    <w:name w:val="List Paragraph"/>
    <w:basedOn w:val="Normal"/>
    <w:uiPriority w:val="34"/>
    <w:semiHidden/>
    <w:qFormat/>
    <w:rsid w:val="00503E5E"/>
    <w:pPr>
      <w:ind w:left="720"/>
      <w:contextualSpacing/>
    </w:pPr>
  </w:style>
  <w:style w:type="character" w:styleId="Mentionnonrsolue">
    <w:name w:val="Unresolved Mention"/>
    <w:basedOn w:val="Policepardfaut"/>
    <w:uiPriority w:val="99"/>
    <w:semiHidden/>
    <w:unhideWhenUsed/>
    <w:rsid w:val="00FD0301"/>
    <w:rPr>
      <w:color w:val="605E5C"/>
      <w:shd w:val="clear" w:color="auto" w:fill="E1DFDD"/>
    </w:rPr>
  </w:style>
  <w:style w:type="paragraph" w:styleId="NormalWeb">
    <w:name w:val="Normal (Web)"/>
    <w:basedOn w:val="Normal"/>
    <w:uiPriority w:val="99"/>
    <w:semiHidden/>
    <w:unhideWhenUsed/>
    <w:rsid w:val="002B0314"/>
    <w:rPr>
      <w:rFonts w:ascii="Times New Roman" w:hAnsi="Times New Roman" w:cs="Times New Roman"/>
      <w:szCs w:val="24"/>
    </w:rPr>
  </w:style>
  <w:style w:type="character" w:customStyle="1" w:styleId="Titre5Car">
    <w:name w:val="Titre 5 Car"/>
    <w:basedOn w:val="Policepardfaut"/>
    <w:link w:val="Titre5"/>
    <w:uiPriority w:val="7"/>
    <w:rsid w:val="00D237D9"/>
    <w:rPr>
      <w:rFonts w:asciiTheme="majorHAnsi" w:eastAsiaTheme="majorEastAsia" w:hAnsiTheme="majorHAnsi" w:cstheme="majorBidi"/>
      <w:color w:val="ECBD17" w:themeColor="accent1" w:themeShade="BF"/>
      <w:sz w:val="24"/>
    </w:rPr>
  </w:style>
  <w:style w:type="table" w:styleId="TableauGrille2-Accentuation6">
    <w:name w:val="Grid Table 2 Accent 6"/>
    <w:basedOn w:val="TableauNormal"/>
    <w:uiPriority w:val="47"/>
    <w:rsid w:val="000D73B2"/>
    <w:pPr>
      <w:spacing w:after="0" w:line="240" w:lineRule="auto"/>
    </w:pPr>
    <w:tblPr>
      <w:tblStyleRowBandSize w:val="1"/>
      <w:tblStyleColBandSize w:val="1"/>
      <w:tblBorders>
        <w:top w:val="single" w:sz="2" w:space="0" w:color="7E7EB9" w:themeColor="accent6" w:themeTint="99"/>
        <w:bottom w:val="single" w:sz="2" w:space="0" w:color="7E7EB9" w:themeColor="accent6" w:themeTint="99"/>
        <w:insideH w:val="single" w:sz="2" w:space="0" w:color="7E7EB9" w:themeColor="accent6" w:themeTint="99"/>
        <w:insideV w:val="single" w:sz="2" w:space="0" w:color="7E7EB9" w:themeColor="accent6" w:themeTint="99"/>
      </w:tblBorders>
    </w:tblPr>
    <w:tblStylePr w:type="firstRow">
      <w:rPr>
        <w:b/>
        <w:bCs/>
      </w:rPr>
      <w:tblPr/>
      <w:tcPr>
        <w:tcBorders>
          <w:top w:val="nil"/>
          <w:bottom w:val="single" w:sz="12" w:space="0" w:color="7E7EB9" w:themeColor="accent6" w:themeTint="99"/>
          <w:insideH w:val="nil"/>
          <w:insideV w:val="nil"/>
        </w:tcBorders>
        <w:shd w:val="clear" w:color="auto" w:fill="FFFFFF" w:themeFill="background1"/>
      </w:tcPr>
    </w:tblStylePr>
    <w:tblStylePr w:type="lastRow">
      <w:rPr>
        <w:b/>
        <w:bCs/>
      </w:rPr>
      <w:tblPr/>
      <w:tcPr>
        <w:tcBorders>
          <w:top w:val="double" w:sz="2" w:space="0" w:color="7E7EB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character" w:styleId="CodeHTML">
    <w:name w:val="HTML Code"/>
    <w:basedOn w:val="Policepardfaut"/>
    <w:uiPriority w:val="99"/>
    <w:semiHidden/>
    <w:unhideWhenUsed/>
    <w:rsid w:val="00405811"/>
    <w:rPr>
      <w:rFonts w:ascii="Courier New" w:eastAsia="Times New Roman" w:hAnsi="Courier New" w:cs="Courier New"/>
      <w:sz w:val="20"/>
      <w:szCs w:val="20"/>
    </w:rPr>
  </w:style>
  <w:style w:type="character" w:styleId="Lienhypertextesuivivisit">
    <w:name w:val="FollowedHyperlink"/>
    <w:basedOn w:val="Policepardfaut"/>
    <w:uiPriority w:val="99"/>
    <w:semiHidden/>
    <w:unhideWhenUsed/>
    <w:rsid w:val="00456426"/>
    <w:rPr>
      <w:color w:val="ECBE1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ec.europa.eu/eurostat/web/products-eurostat-news/w/ddn-20241126-2"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en.wikipedia.org/wiki/List_of_countries_by_rail_transport_network_size"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uic.hafas.cloud/hafas-res/download/Ecopassenger_Methodology_Dat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ran\AppData\Roaming\Microsoft\Templates\Rapport%20annuel%20(conception%20Rouge%20et%20noi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5673EB22844FB483ED2F0F8999A35E"/>
        <w:category>
          <w:name w:val="Général"/>
          <w:gallery w:val="placeholder"/>
        </w:category>
        <w:types>
          <w:type w:val="bbPlcHdr"/>
        </w:types>
        <w:behaviors>
          <w:behavior w:val="content"/>
        </w:behaviors>
        <w:guid w:val="{EA98BE0F-97B6-41D1-92F7-4FEA976F259B}"/>
      </w:docPartPr>
      <w:docPartBody>
        <w:p w:rsidR="008450CA" w:rsidRDefault="008450CA" w:rsidP="008450CA">
          <w:pPr>
            <w:pStyle w:val="7E5673EB22844FB483ED2F0F8999A35E"/>
          </w:pPr>
          <w:r>
            <w:rPr>
              <w:rStyle w:val="Textedelespacerserv"/>
            </w:rPr>
            <w:t>[Auteur]</w:t>
          </w:r>
        </w:p>
      </w:docPartBody>
    </w:docPart>
    <w:docPart>
      <w:docPartPr>
        <w:name w:val="DF54BA748B654C6EA769E9930B39A4EF"/>
        <w:category>
          <w:name w:val="Général"/>
          <w:gallery w:val="placeholder"/>
        </w:category>
        <w:types>
          <w:type w:val="bbPlcHdr"/>
        </w:types>
        <w:behaviors>
          <w:behavior w:val="content"/>
        </w:behaviors>
        <w:guid w:val="{ACB2E31B-41F5-4D2D-99D4-E1C372752D85}"/>
      </w:docPartPr>
      <w:docPartBody>
        <w:p w:rsidR="006F7B59" w:rsidRDefault="00190B9D" w:rsidP="00190B9D">
          <w:pPr>
            <w:pStyle w:val="DF54BA748B654C6EA769E9930B39A4EF"/>
          </w:pPr>
          <w:r>
            <w:rPr>
              <w:rStyle w:val="Textedelespacerserv"/>
            </w:rPr>
            <w:t>[Auteur]</w:t>
          </w:r>
        </w:p>
      </w:docPartBody>
    </w:docPart>
    <w:docPart>
      <w:docPartPr>
        <w:name w:val="3654B77337BE47E0A1BA2B0A16CEBAB4"/>
        <w:category>
          <w:name w:val="Général"/>
          <w:gallery w:val="placeholder"/>
        </w:category>
        <w:types>
          <w:type w:val="bbPlcHdr"/>
        </w:types>
        <w:behaviors>
          <w:behavior w:val="content"/>
        </w:behaviors>
        <w:guid w:val="{C21203C7-F1FB-4B35-9661-C265B371853B}"/>
      </w:docPartPr>
      <w:docPartBody>
        <w:p w:rsidR="006F7B59" w:rsidRDefault="00190B9D" w:rsidP="00190B9D">
          <w:pPr>
            <w:pStyle w:val="3654B77337BE47E0A1BA2B0A16CEBAB4"/>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32B9D"/>
    <w:multiLevelType w:val="hybridMultilevel"/>
    <w:tmpl w:val="6614790A"/>
    <w:lvl w:ilvl="0" w:tplc="EAB6DB1A">
      <w:start w:val="1"/>
      <w:numFmt w:val="bullet"/>
      <w:pStyle w:val="Listenumros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17C14EB"/>
    <w:multiLevelType w:val="multilevel"/>
    <w:tmpl w:val="B0B20D5A"/>
    <w:lvl w:ilvl="0">
      <w:start w:val="1"/>
      <w:numFmt w:val="bullet"/>
      <w:pStyle w:val="Listepuces"/>
      <w:lvlText w:val=""/>
      <w:lvlJc w:val="left"/>
      <w:pPr>
        <w:ind w:left="360" w:hanging="360"/>
      </w:pPr>
      <w:rPr>
        <w:rFonts w:ascii="Symbol" w:hAnsi="Symbol" w:hint="default"/>
        <w:color w:val="156082" w:themeColor="accent1"/>
      </w:rPr>
    </w:lvl>
    <w:lvl w:ilvl="1">
      <w:start w:val="1"/>
      <w:numFmt w:val="bullet"/>
      <w:lvlText w:val="•"/>
      <w:lvlJc w:val="left"/>
      <w:pPr>
        <w:tabs>
          <w:tab w:val="num" w:pos="648"/>
        </w:tabs>
        <w:ind w:left="720" w:hanging="360"/>
      </w:pPr>
      <w:rPr>
        <w:rFonts w:ascii="Cambria" w:hAnsi="Cambria" w:hint="default"/>
        <w:color w:val="156082" w:themeColor="accent1"/>
      </w:rPr>
    </w:lvl>
    <w:lvl w:ilvl="2">
      <w:start w:val="1"/>
      <w:numFmt w:val="bullet"/>
      <w:lvlText w:val="•"/>
      <w:lvlJc w:val="left"/>
      <w:pPr>
        <w:tabs>
          <w:tab w:val="num" w:pos="1008"/>
        </w:tabs>
        <w:ind w:left="1080" w:hanging="360"/>
      </w:pPr>
      <w:rPr>
        <w:rFonts w:ascii="Cambria" w:hAnsi="Cambria" w:hint="default"/>
        <w:color w:val="156082" w:themeColor="accent1"/>
      </w:rPr>
    </w:lvl>
    <w:lvl w:ilvl="3">
      <w:start w:val="1"/>
      <w:numFmt w:val="bullet"/>
      <w:lvlText w:val="•"/>
      <w:lvlJc w:val="left"/>
      <w:pPr>
        <w:tabs>
          <w:tab w:val="num" w:pos="1368"/>
        </w:tabs>
        <w:ind w:left="1440" w:hanging="360"/>
      </w:pPr>
      <w:rPr>
        <w:rFonts w:ascii="Cambria" w:hAnsi="Cambria" w:hint="default"/>
        <w:color w:val="156082" w:themeColor="accent1"/>
      </w:rPr>
    </w:lvl>
    <w:lvl w:ilvl="4">
      <w:start w:val="1"/>
      <w:numFmt w:val="bullet"/>
      <w:lvlText w:val="•"/>
      <w:lvlJc w:val="left"/>
      <w:pPr>
        <w:tabs>
          <w:tab w:val="num" w:pos="1728"/>
        </w:tabs>
        <w:ind w:left="1800" w:hanging="360"/>
      </w:pPr>
      <w:rPr>
        <w:rFonts w:ascii="Cambria" w:hAnsi="Cambria" w:hint="default"/>
        <w:color w:val="156082" w:themeColor="accent1"/>
      </w:rPr>
    </w:lvl>
    <w:lvl w:ilvl="5">
      <w:start w:val="1"/>
      <w:numFmt w:val="bullet"/>
      <w:lvlText w:val=""/>
      <w:lvlJc w:val="left"/>
      <w:pPr>
        <w:tabs>
          <w:tab w:val="num" w:pos="2088"/>
        </w:tabs>
        <w:ind w:left="2160" w:hanging="360"/>
      </w:pPr>
      <w:rPr>
        <w:rFonts w:ascii="Wingdings" w:hAnsi="Wingdings" w:hint="default"/>
        <w:color w:val="156082" w:themeColor="accent1"/>
      </w:rPr>
    </w:lvl>
    <w:lvl w:ilvl="6">
      <w:start w:val="1"/>
      <w:numFmt w:val="bullet"/>
      <w:lvlText w:val=""/>
      <w:lvlJc w:val="left"/>
      <w:pPr>
        <w:tabs>
          <w:tab w:val="num" w:pos="2448"/>
        </w:tabs>
        <w:ind w:left="2520" w:hanging="360"/>
      </w:pPr>
      <w:rPr>
        <w:rFonts w:ascii="Symbol" w:hAnsi="Symbol" w:hint="default"/>
        <w:color w:val="156082" w:themeColor="accent1"/>
      </w:rPr>
    </w:lvl>
    <w:lvl w:ilvl="7">
      <w:start w:val="1"/>
      <w:numFmt w:val="bullet"/>
      <w:lvlText w:val="o"/>
      <w:lvlJc w:val="left"/>
      <w:pPr>
        <w:tabs>
          <w:tab w:val="num" w:pos="2808"/>
        </w:tabs>
        <w:ind w:left="2880" w:hanging="360"/>
      </w:pPr>
      <w:rPr>
        <w:rFonts w:ascii="Courier New" w:hAnsi="Courier New" w:hint="default"/>
        <w:color w:val="156082" w:themeColor="accent1"/>
      </w:rPr>
    </w:lvl>
    <w:lvl w:ilvl="8">
      <w:start w:val="1"/>
      <w:numFmt w:val="bullet"/>
      <w:lvlText w:val=""/>
      <w:lvlJc w:val="left"/>
      <w:pPr>
        <w:tabs>
          <w:tab w:val="num" w:pos="3168"/>
        </w:tabs>
        <w:ind w:left="3240" w:hanging="360"/>
      </w:pPr>
      <w:rPr>
        <w:rFonts w:ascii="Wingdings" w:hAnsi="Wingdings" w:hint="default"/>
        <w:color w:val="156082" w:themeColor="accent1"/>
      </w:rPr>
    </w:lvl>
  </w:abstractNum>
  <w:num w:numId="1" w16cid:durableId="1146625185">
    <w:abstractNumId w:val="0"/>
  </w:num>
  <w:num w:numId="2" w16cid:durableId="1423146179">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EE"/>
    <w:rsid w:val="000561EE"/>
    <w:rsid w:val="00065DB6"/>
    <w:rsid w:val="000D6CB6"/>
    <w:rsid w:val="00177B4F"/>
    <w:rsid w:val="00190B9D"/>
    <w:rsid w:val="001E0718"/>
    <w:rsid w:val="001F17D3"/>
    <w:rsid w:val="0021656D"/>
    <w:rsid w:val="002C1798"/>
    <w:rsid w:val="00353C5E"/>
    <w:rsid w:val="003C2F15"/>
    <w:rsid w:val="00516AF9"/>
    <w:rsid w:val="00540993"/>
    <w:rsid w:val="00657C64"/>
    <w:rsid w:val="00677854"/>
    <w:rsid w:val="006C4FD3"/>
    <w:rsid w:val="006F7B59"/>
    <w:rsid w:val="0075129D"/>
    <w:rsid w:val="007B6E11"/>
    <w:rsid w:val="00825773"/>
    <w:rsid w:val="00826F72"/>
    <w:rsid w:val="008450CA"/>
    <w:rsid w:val="00962CD4"/>
    <w:rsid w:val="00985DA4"/>
    <w:rsid w:val="00C47255"/>
    <w:rsid w:val="00C809EF"/>
    <w:rsid w:val="00D86E41"/>
    <w:rsid w:val="00D9616E"/>
    <w:rsid w:val="00DB4041"/>
    <w:rsid w:val="00E66435"/>
    <w:rsid w:val="00E75237"/>
    <w:rsid w:val="00F65298"/>
    <w:rsid w:val="00F97154"/>
    <w:rsid w:val="00FF78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0"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numros">
    <w:name w:val="List Number"/>
    <w:basedOn w:val="Listenumros2"/>
    <w:uiPriority w:val="9"/>
    <w:unhideWhenUsed/>
    <w:qFormat/>
    <w:pPr>
      <w:numPr>
        <w:numId w:val="0"/>
      </w:numPr>
    </w:pPr>
  </w:style>
  <w:style w:type="paragraph" w:styleId="Listenumros2">
    <w:name w:val="List Number 2"/>
    <w:basedOn w:val="Normal"/>
    <w:uiPriority w:val="10"/>
    <w:qFormat/>
    <w:pPr>
      <w:numPr>
        <w:numId w:val="1"/>
      </w:numPr>
      <w:spacing w:after="0" w:line="360" w:lineRule="auto"/>
      <w:ind w:left="0" w:firstLine="0"/>
      <w:contextualSpacing/>
    </w:pPr>
    <w:rPr>
      <w:rFonts w:eastAsiaTheme="minorHAnsi"/>
      <w:color w:val="000000" w:themeColor="text1"/>
      <w:kern w:val="0"/>
      <w:szCs w:val="20"/>
      <w:lang w:eastAsia="ja-JP"/>
      <w14:ligatures w14:val="none"/>
    </w:rPr>
  </w:style>
  <w:style w:type="paragraph" w:styleId="Listepuces">
    <w:name w:val="List Bullet"/>
    <w:basedOn w:val="Normal"/>
    <w:uiPriority w:val="11"/>
    <w:qFormat/>
    <w:pPr>
      <w:numPr>
        <w:numId w:val="2"/>
      </w:numPr>
      <w:spacing w:before="40" w:after="40" w:line="288" w:lineRule="auto"/>
      <w:ind w:left="0" w:firstLine="0"/>
      <w:contextualSpacing/>
    </w:pPr>
    <w:rPr>
      <w:rFonts w:eastAsiaTheme="minorHAnsi"/>
      <w:color w:val="000000" w:themeColor="text1"/>
      <w:kern w:val="0"/>
      <w:szCs w:val="22"/>
      <w:lang w:eastAsia="en-US"/>
      <w14:ligatures w14:val="none"/>
    </w:rPr>
  </w:style>
  <w:style w:type="character" w:customStyle="1" w:styleId="Textedelespacerserv">
    <w:name w:val="Texte de l’espace réservé"/>
    <w:basedOn w:val="Policepardfaut"/>
    <w:uiPriority w:val="99"/>
    <w:semiHidden/>
    <w:rsid w:val="00190B9D"/>
    <w:rPr>
      <w:color w:val="808080"/>
    </w:rPr>
  </w:style>
  <w:style w:type="paragraph" w:customStyle="1" w:styleId="7E5673EB22844FB483ED2F0F8999A35E">
    <w:name w:val="7E5673EB22844FB483ED2F0F8999A35E"/>
    <w:rsid w:val="008450CA"/>
  </w:style>
  <w:style w:type="paragraph" w:customStyle="1" w:styleId="DF54BA748B654C6EA769E9930B39A4EF">
    <w:name w:val="DF54BA748B654C6EA769E9930B39A4EF"/>
    <w:rsid w:val="00190B9D"/>
  </w:style>
  <w:style w:type="paragraph" w:customStyle="1" w:styleId="3654B77337BE47E0A1BA2B0A16CEBAB4">
    <w:name w:val="3654B77337BE47E0A1BA2B0A16CEBAB4"/>
    <w:rsid w:val="00190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14BCA-FCB0-4598-B582-5448D30CA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C:\Users\duran\AppData\Roaming\Microsoft\Templates\Rapport annuel (conception Rouge et noir).dotx</Template>
  <TotalTime>2981</TotalTime>
  <Pages>16</Pages>
  <Words>6234</Words>
  <Characters>34292</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Promottion b3 2025-26</dc:creator>
  <cp:keywords/>
  <cp:lastModifiedBy>LACROIX Lohan</cp:lastModifiedBy>
  <cp:revision>252</cp:revision>
  <dcterms:created xsi:type="dcterms:W3CDTF">2026-02-25T09:11:00Z</dcterms:created>
  <dcterms:modified xsi:type="dcterms:W3CDTF">2026-03-13T10:56:00Z</dcterms:modifie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97245e1f-a7fb-49ac-9a18-3dd1bbb52277</vt:lpwstr>
  </property>
</Properties>
</file>